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 xml:space="preserve">NAME OF REGISTRANT: </w:t>
      </w:r>
      <w:r>
        <w:rPr>
          <w:rFonts w:ascii="Times New Roman" w:cs="Times New Roman" w:eastAsia="Times New Roman" w:hAnsi="Times New Roman"/>
          <w:sz w:val="18"/>
          <w:szCs w:val="18"/>
          <w:color w:val="auto"/>
        </w:rPr>
        <w:t>Bloomin’ Brands,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PERSON RELYING ON EXEMPTION: </w:t>
      </w:r>
      <w:r>
        <w:rPr>
          <w:rFonts w:ascii="Times New Roman" w:cs="Times New Roman" w:eastAsia="Times New Roman" w:hAnsi="Times New Roman"/>
          <w:sz w:val="18"/>
          <w:szCs w:val="18"/>
          <w:color w:val="auto"/>
        </w:rPr>
        <w:t>Green Century Capital Management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ADDRESS OF PERSON RELYING ON EXEMPTION: </w:t>
      </w:r>
      <w:r>
        <w:rPr>
          <w:rFonts w:ascii="Times New Roman" w:cs="Times New Roman" w:eastAsia="Times New Roman" w:hAnsi="Times New Roman"/>
          <w:sz w:val="18"/>
          <w:szCs w:val="18"/>
          <w:color w:val="auto"/>
        </w:rPr>
        <w:t>114 State Street, Suite 200, Boston, MA 02109</w:t>
      </w:r>
    </w:p>
    <w:p>
      <w:pPr>
        <w:spacing w:after="0" w:line="203"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1A1A1A"/>
        </w:rPr>
        <w:t>Written materials are submitted pursuant to Rule 14a-6(g)(1) promulgated under the Securities Exchange Act of 1934. Submission is not required of this filer under the terms of the Rule but is made voluntarily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36130" cy="595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595630"/>
                    </a:xfrm>
                    <a:prstGeom prst="rect">
                      <a:avLst/>
                    </a:prstGeom>
                    <a:noFill/>
                  </pic:spPr>
                </pic:pic>
              </a:graphicData>
            </a:graphic>
          </wp:anchor>
        </w:drawing>
      </w:r>
    </w:p>
    <w:p>
      <w:pPr>
        <w:spacing w:after="0" w:line="17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Shareholder Proposal No. 7 on Bloomin’ Brands, Inc. 2023 Proxy Statement:</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Issue near- and long-term science-based GHG reduction targets covering full supply chain</w:t>
      </w:r>
    </w:p>
    <w:p>
      <w:pPr>
        <w:spacing w:after="0" w:line="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Bloomin’ Brands, Inc. Symbol: BLMN</w:t>
      </w:r>
    </w:p>
    <w:p>
      <w:pPr>
        <w:spacing w:after="0" w:line="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Filed by: Green Century Capital Management</w:t>
      </w:r>
    </w:p>
    <w:p>
      <w:pPr>
        <w:spacing w:after="0" w:line="230" w:lineRule="exact"/>
        <w:rPr>
          <w:sz w:val="24"/>
          <w:szCs w:val="24"/>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 xml:space="preserve">Green Century Capital Management seeks your support for the climate and deforestation-related proposal filed at </w:t>
      </w:r>
      <w:r>
        <w:rPr>
          <w:rFonts w:ascii="Times New Roman" w:cs="Times New Roman" w:eastAsia="Times New Roman" w:hAnsi="Times New Roman"/>
          <w:sz w:val="18"/>
          <w:szCs w:val="18"/>
          <w:b w:val="1"/>
          <w:bCs w:val="1"/>
          <w:color w:val="auto"/>
        </w:rPr>
        <w:t>Bloomin’ Brands, Inc.</w:t>
      </w:r>
      <w:r>
        <w:rPr>
          <w:rFonts w:ascii="Times New Roman" w:cs="Times New Roman" w:eastAsia="Times New Roman" w:hAnsi="Times New Roman"/>
          <w:sz w:val="18"/>
          <w:szCs w:val="18"/>
          <w:color w:val="auto"/>
        </w:rPr>
        <w:t xml:space="preserve"> (hereby referred to as “Bloomin’” or “the Company”) in its 2023 proxy statement asking the Company to issue near- and long-term science-based GHG reduction targets, with particular attention to addressing supply chain (Scope 3) emissions. The Proponent believes taking such action would serve the long-term interests of the Company by mitigating potential supply chain, competitive, and reputational risks.</w:t>
      </w:r>
    </w:p>
    <w:p>
      <w:pPr>
        <w:spacing w:after="0" w:line="176" w:lineRule="exact"/>
        <w:rPr>
          <w:sz w:val="24"/>
          <w:szCs w:val="24"/>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Shareholders request that Bloomin’ Brands, within a year, issue near- and long-term science-based GHG reduction targets aligned with the Paris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ambition of maintaining global temperature rise to 1.5 degrees Celsius and summarize plans to achieve them. The targets should cover the company’s full range of operational and supply chain emissions (including Scopes 1, 2 and 3).</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Supporting Statement</w:t>
      </w:r>
      <w:r>
        <w:rPr>
          <w:rFonts w:ascii="Times New Roman" w:cs="Times New Roman" w:eastAsia="Times New Roman" w:hAnsi="Times New Roman"/>
          <w:sz w:val="18"/>
          <w:szCs w:val="18"/>
          <w:color w:val="auto"/>
        </w:rPr>
        <w:t>: In assessing targets, proponents recommend:</w:t>
      </w:r>
    </w:p>
    <w:p>
      <w:pPr>
        <w:spacing w:after="0" w:line="31"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approaches used by advisory groups such as the Science Based Targets initiative;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transition plan that shows how the company plans to meet its goals;</w:t>
      </w:r>
    </w:p>
    <w:p>
      <w:pPr>
        <w:spacing w:after="0" w:line="9"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emissions reduction targets inclusive of all GHG Protocol-defined sources of Scope 3 emissions—including from agriculture, land use change, and deforestation;</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 no-deforestation policy for all forest-risk commodities in the company’s supply chain.</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RATIONALE FOR A “YES” VOTE</w:t>
      </w:r>
    </w:p>
    <w:p>
      <w:pPr>
        <w:spacing w:after="0" w:line="225" w:lineRule="exact"/>
        <w:rPr>
          <w:sz w:val="24"/>
          <w:szCs w:val="24"/>
          <w:color w:val="auto"/>
        </w:rPr>
      </w:pPr>
    </w:p>
    <w:p>
      <w:pPr>
        <w:ind w:left="660" w:right="520" w:hanging="328"/>
        <w:spacing w:after="0" w:line="263"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Operational risk </w:t>
      </w:r>
      <w:r>
        <w:rPr>
          <w:rFonts w:ascii="Times New Roman" w:cs="Times New Roman" w:eastAsia="Times New Roman" w:hAnsi="Times New Roman"/>
          <w:sz w:val="18"/>
          <w:szCs w:val="18"/>
          <w:color w:val="auto"/>
        </w:rPr>
        <w:t>– The environmental impacts of climate change and deforestation can affect agricultural productivity, which could lead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supply chain disruptions and associated expenses.</w:t>
      </w:r>
    </w:p>
    <w:p>
      <w:pPr>
        <w:ind w:left="660" w:right="1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Competitive risk </w:t>
      </w:r>
      <w:r>
        <w:rPr>
          <w:rFonts w:ascii="Times New Roman" w:cs="Times New Roman" w:eastAsia="Times New Roman" w:hAnsi="Times New Roman"/>
          <w:sz w:val="18"/>
          <w:szCs w:val="18"/>
          <w:color w:val="auto"/>
        </w:rPr>
        <w:t>- Bloomin’ lacks supply chain greenhouse gas emission reduction targets and is consequently ceding competitive advantage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peers, which have set and made progress toward scope 3 emissions reduction targets and related cross-commodity no-deforestation goals.</w:t>
      </w:r>
    </w:p>
    <w:p>
      <w:pPr>
        <w:jc w:val="both"/>
        <w:ind w:left="660" w:right="14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Limited disclosure </w:t>
      </w:r>
      <w:r>
        <w:rPr>
          <w:rFonts w:ascii="Times New Roman" w:cs="Times New Roman" w:eastAsia="Times New Roman" w:hAnsi="Times New Roman"/>
          <w:sz w:val="18"/>
          <w:szCs w:val="18"/>
          <w:color w:val="auto"/>
        </w:rPr>
        <w:t>– Investors are increasingly expecting companies to make climate-related risk disclosures and set targets for mitigating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risks. Bloomin’ is not aligned with these expectations, particularly in light of the </w:t>
      </w:r>
      <w:r>
        <w:rPr>
          <w:rFonts w:ascii="Times New Roman" w:cs="Times New Roman" w:eastAsia="Times New Roman" w:hAnsi="Times New Roman"/>
          <w:sz w:val="18"/>
          <w:szCs w:val="18"/>
          <w:u w:val="single" w:color="auto"/>
          <w:color w:val="auto"/>
        </w:rPr>
        <w:t>76% majority vote in 2021</w:t>
      </w:r>
      <w:r>
        <w:rPr>
          <w:rFonts w:ascii="Times New Roman" w:cs="Times New Roman" w:eastAsia="Times New Roman" w:hAnsi="Times New Roman"/>
          <w:sz w:val="18"/>
          <w:szCs w:val="18"/>
          <w:color w:val="auto"/>
        </w:rPr>
        <w:t xml:space="preserve"> asking the company to outline if and how it could increase efforts to reduce its total contribution to climate change, </w:t>
      </w:r>
      <w:r>
        <w:rPr>
          <w:rFonts w:ascii="Times New Roman" w:cs="Times New Roman" w:eastAsia="Times New Roman" w:hAnsi="Times New Roman"/>
          <w:sz w:val="18"/>
          <w:szCs w:val="18"/>
          <w:u w:val="single" w:color="auto"/>
          <w:color w:val="auto"/>
        </w:rPr>
        <w:t>including supply chain emissions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right="10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Reputational risk </w:t>
      </w:r>
      <w:r>
        <w:rPr>
          <w:rFonts w:ascii="Times New Roman" w:cs="Times New Roman" w:eastAsia="Times New Roman" w:hAnsi="Times New Roman"/>
          <w:sz w:val="18"/>
          <w:szCs w:val="18"/>
          <w:color w:val="auto"/>
        </w:rPr>
        <w:t>– Failure to adequately mitigate supply chain greenhouse gas emissions exposes Bloomin’ to numerous risks, including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awareness campaigns targeting companies linked to negative environmental impacts.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136130" cy="4413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441325"/>
                    </a:xfrm>
                    <a:prstGeom prst="rect">
                      <a:avLst/>
                    </a:prstGeom>
                    <a:noFill/>
                  </pic:spPr>
                </pic:pic>
              </a:graphicData>
            </a:graphic>
          </wp:anchor>
        </w:drawing>
      </w:r>
    </w:p>
    <w:p>
      <w:pPr>
        <w:spacing w:after="0" w:line="184" w:lineRule="exact"/>
        <w:rPr>
          <w:sz w:val="24"/>
          <w:szCs w:val="24"/>
          <w:color w:val="auto"/>
        </w:rPr>
      </w:pPr>
    </w:p>
    <w:p>
      <w:pPr>
        <w:jc w:val="both"/>
        <w:ind w:left="20" w:right="20"/>
        <w:spacing w:after="0" w:line="268" w:lineRule="auto"/>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 Please DO NOT send us your proxy card; Green Century Capital Management is not able to vote your proxies, nor does this communication contemplate such an event. Green Century Capital Management urges shareholders to vote for Item Number 6 following the instruction provided on the management’s proxy mailing.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4"/>
          <w:szCs w:val="14"/>
          <w:color w:val="auto"/>
        </w:rPr>
        <w:t xml:space="preserve">2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33"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b w:val="1"/>
          <w:bCs w:val="1"/>
          <w:color w:val="auto"/>
        </w:rPr>
        <w:t xml:space="preserve">The US Commodity Futures Trading Commission identifies climate change as a systemic risk </w:t>
      </w:r>
      <w:r>
        <w:rPr>
          <w:rFonts w:ascii="Times New Roman" w:cs="Times New Roman" w:eastAsia="Times New Roman" w:hAnsi="Times New Roman"/>
          <w:sz w:val="18"/>
          <w:szCs w:val="18"/>
          <w:color w:val="auto"/>
        </w:rPr>
        <w:t>that threatens the stability of financial markets.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temperatures, increased drought, and changing precipitation patterns resulting from climate change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pose material financial risks to businesses all along the agricultural supply chain in the form of lower crop yields, reduced agricultural productivity,</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and increased costs for irrigation and transportation.</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Companies reliant on agricultural products are exposed to variability of supply as well as price volatility.</w:t>
      </w:r>
      <w:r>
        <w:rPr>
          <w:rFonts w:ascii="Times New Roman" w:cs="Times New Roman" w:eastAsia="Times New Roman" w:hAnsi="Times New Roman"/>
          <w:sz w:val="29"/>
          <w:szCs w:val="29"/>
          <w:color w:val="auto"/>
          <w:vertAlign w:val="superscript"/>
        </w:rPr>
        <w:t>5</w:t>
      </w:r>
    </w:p>
    <w:p>
      <w:pPr>
        <w:spacing w:after="0" w:line="73"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Biodiversity loss is a comparably significant systemic risk </w:t>
      </w:r>
      <w:r>
        <w:rPr>
          <w:rFonts w:ascii="Times New Roman" w:cs="Times New Roman" w:eastAsia="Times New Roman" w:hAnsi="Times New Roman"/>
          <w:sz w:val="17"/>
          <w:szCs w:val="17"/>
          <w:color w:val="auto"/>
        </w:rPr>
        <w:t>that threatens the stability of industries dependent on ecosystem services such 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restaurant industry. Biodiversity helps ensure the resilience of natural capital assets, and its loss reduces the quantity, quality and resilience of ecosystem</w:t>
      </w:r>
    </w:p>
    <w:p>
      <w:pPr>
        <w:spacing w:after="0" w:line="1" w:lineRule="exact"/>
        <w:rPr>
          <w:sz w:val="20"/>
          <w:szCs w:val="20"/>
          <w:color w:val="auto"/>
        </w:rPr>
      </w:pPr>
    </w:p>
    <w:p>
      <w:pPr>
        <w:ind w:right="460"/>
        <w:spacing w:after="0" w:line="228" w:lineRule="auto"/>
        <w:rPr>
          <w:sz w:val="20"/>
          <w:szCs w:val="20"/>
          <w:color w:val="auto"/>
        </w:rPr>
      </w:pPr>
      <w:r>
        <w:rPr>
          <w:rFonts w:ascii="Times New Roman" w:cs="Times New Roman" w:eastAsia="Times New Roman" w:hAnsi="Times New Roman"/>
          <w:sz w:val="18"/>
          <w:szCs w:val="18"/>
          <w:color w:val="auto"/>
        </w:rPr>
        <w:t>services.</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Over half of the world’s gross domestic product (US$44 trillion) is moderately or highly dependent on nature and its services – such as the provision of food, fiber and fuel – and the unprecedented loss of biodiversity places this value at risk.</w:t>
      </w:r>
      <w:r>
        <w:rPr>
          <w:rFonts w:ascii="Times New Roman" w:cs="Times New Roman" w:eastAsia="Times New Roman" w:hAnsi="Times New Roman"/>
          <w:sz w:val="29"/>
          <w:szCs w:val="29"/>
          <w:color w:val="auto"/>
          <w:vertAlign w:val="superscript"/>
        </w:rPr>
        <w:t>7</w:t>
      </w:r>
    </w:p>
    <w:p>
      <w:pPr>
        <w:spacing w:after="0" w:line="81"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b w:val="1"/>
          <w:bCs w:val="1"/>
          <w:color w:val="auto"/>
        </w:rPr>
        <w:t>One of the leading drivers of both climate change and biodiversity loss is deforestation</w:t>
      </w:r>
      <w:r>
        <w:rPr>
          <w:rFonts w:ascii="Times New Roman" w:cs="Times New Roman" w:eastAsia="Times New Roman" w:hAnsi="Times New Roman"/>
          <w:sz w:val="18"/>
          <w:szCs w:val="18"/>
          <w:color w:val="auto"/>
        </w:rPr>
        <w:t>, accounting for roughly 12% of anthropogenic emissions</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according to the Intergovernmental Panel on Climate Change. Agricultural expansion drives almost 90% of global deforestation, and livestock grazing in particular is responsible for almost 40% of forest loss.</w:t>
      </w:r>
      <w:r>
        <w:rPr>
          <w:rFonts w:ascii="Times New Roman" w:cs="Times New Roman" w:eastAsia="Times New Roman" w:hAnsi="Times New Roman"/>
          <w:sz w:val="29"/>
          <w:szCs w:val="29"/>
          <w:color w:val="auto"/>
          <w:vertAlign w:val="superscript"/>
        </w:rPr>
        <w:t>9</w:t>
      </w:r>
    </w:p>
    <w:p>
      <w:pPr>
        <w:spacing w:after="0" w:line="7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Mitigating deforestation risk may be less costly than perpetuating deforestation. </w:t>
      </w:r>
      <w:r>
        <w:rPr>
          <w:rFonts w:ascii="Times New Roman" w:cs="Times New Roman" w:eastAsia="Times New Roman" w:hAnsi="Times New Roman"/>
          <w:sz w:val="18"/>
          <w:szCs w:val="18"/>
          <w:color w:val="auto"/>
        </w:rPr>
        <w:t>A 2022 joint Carbon Disclosure Project (CDP) and Accountability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Framework initiative (AFi) report found that 211 companies disclosing through CDP identified forest-related risks with a potential financial impact worth over US</w:t>
      </w:r>
      <w:r>
        <w:rPr>
          <w:rFonts w:ascii="Times New Roman" w:cs="Times New Roman" w:eastAsia="Times New Roman" w:hAnsi="Times New Roman"/>
          <w:sz w:val="18"/>
          <w:szCs w:val="18"/>
          <w:color w:val="222222"/>
        </w:rPr>
        <w:t>$79.2</w:t>
      </w:r>
      <w:r>
        <w:rPr>
          <w:rFonts w:ascii="Times New Roman" w:cs="Times New Roman" w:eastAsia="Times New Roman" w:hAnsi="Times New Roman"/>
          <w:sz w:val="18"/>
          <w:szCs w:val="18"/>
          <w:color w:val="auto"/>
        </w:rPr>
        <w:t xml:space="preserve"> billion if actions are not taken to curb deforestation. By contrast, the complete cost of responding to identified risk was estimated at only US$6.7 billion by 267 companies, and 182 companies reported forest-related opportunities from taking action on deforestation valued at over US$50.9 billion.</w:t>
      </w:r>
      <w:r>
        <w:rPr>
          <w:rFonts w:ascii="Times New Roman" w:cs="Times New Roman" w:eastAsia="Times New Roman" w:hAnsi="Times New Roman"/>
          <w:sz w:val="29"/>
          <w:szCs w:val="29"/>
          <w:color w:val="auto"/>
          <w:vertAlign w:val="superscript"/>
        </w:rPr>
        <w:t>10</w:t>
      </w:r>
    </w:p>
    <w:p>
      <w:pPr>
        <w:spacing w:after="0" w:line="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Recognizing the substantial risks posed by climate change, companies are working to reduce their carbon emissions by setting science-based emissions reduction targets for Scopes 1, 2, and 3 emissions</w:t>
      </w:r>
      <w:r>
        <w:rPr>
          <w:rFonts w:ascii="Times New Roman" w:cs="Times New Roman" w:eastAsia="Times New Roman" w:hAnsi="Times New Roman"/>
          <w:sz w:val="18"/>
          <w:szCs w:val="18"/>
          <w:color w:val="auto"/>
        </w:rPr>
        <w:t>. By the end of 2022, over 4,000 companies covering more than a third of the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economy’s total market capitalization had set targets or committed to do so via the Science-Based Targets Initiative (SBTi), a partnership between CDP, the UN Global Compact, the World Resources Institute (WRI) and the World Wide Fund for Nature (WWF) that works with companies to set ambitious</w:t>
      </w:r>
    </w:p>
    <w:p>
      <w:pPr>
        <w:spacing w:after="0" w:line="3" w:lineRule="exact"/>
        <w:rPr>
          <w:sz w:val="20"/>
          <w:szCs w:val="20"/>
          <w:color w:val="auto"/>
        </w:rPr>
      </w:pPr>
    </w:p>
    <w:p>
      <w:pPr>
        <w:ind w:right="40"/>
        <w:spacing w:after="0" w:line="214" w:lineRule="auto"/>
        <w:rPr>
          <w:sz w:val="20"/>
          <w:szCs w:val="20"/>
          <w:color w:val="auto"/>
        </w:rPr>
      </w:pPr>
      <w:r>
        <w:rPr>
          <w:rFonts w:ascii="Times New Roman" w:cs="Times New Roman" w:eastAsia="Times New Roman" w:hAnsi="Times New Roman"/>
          <w:sz w:val="18"/>
          <w:szCs w:val="18"/>
          <w:color w:val="auto"/>
        </w:rPr>
        <w:t>climate goals aligned with the Paris Agreement.</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Scope 3 emissions, or emissions from a company’s supply chain, including those from deforestation and other land use change, comprise an estimated 87% of food companies' climate emissions, according to CDP,</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and adopting no-deforestation policies for forest-risk commodities is a common and effective way to reduce them.</w:t>
      </w:r>
      <w:r>
        <w:rPr>
          <w:rFonts w:ascii="Times New Roman" w:cs="Times New Roman" w:eastAsia="Times New Roman" w:hAnsi="Times New Roman"/>
          <w:sz w:val="29"/>
          <w:szCs w:val="29"/>
          <w:color w:val="auto"/>
          <w:vertAlign w:val="superscript"/>
        </w:rPr>
        <w:t>13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ind w:left="120" w:hanging="112"/>
        <w:spacing w:after="0" w:line="200" w:lineRule="auto"/>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0563C1"/>
        </w:rPr>
        <w:t>https://www.theregreview.org/2020/11/04/ramani-climate-change-systemic-financial-risk/</w:t>
      </w:r>
    </w:p>
    <w:p>
      <w:pPr>
        <w:spacing w:after="0" w:line="42"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000000"/>
          <w:vertAlign w:val="superscript"/>
        </w:rPr>
        <w:t>2</w:t>
      </w:r>
      <w:r>
        <w:rPr>
          <w:rFonts w:ascii="Times New Roman" w:cs="Times New Roman" w:eastAsia="Times New Roman" w:hAnsi="Times New Roman"/>
          <w:sz w:val="18"/>
          <w:szCs w:val="18"/>
          <w:color w:val="0563C1"/>
        </w:rPr>
        <w:t xml:space="preserve"> https://climate.nasa.gov/effects/</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000000"/>
          <w:vertAlign w:val="superscript"/>
        </w:rPr>
        <w:t>3</w:t>
      </w:r>
      <w:r>
        <w:rPr>
          <w:rFonts w:ascii="Times New Roman" w:cs="Times New Roman" w:eastAsia="Times New Roman" w:hAnsi="Times New Roman"/>
          <w:sz w:val="18"/>
          <w:szCs w:val="18"/>
          <w:color w:val="0563C1"/>
        </w:rPr>
        <w:t xml:space="preserve"> https://www.ucsusa.org/resources/climate-change-and-agriculture</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000000"/>
          <w:vertAlign w:val="superscript"/>
        </w:rPr>
        <w:t>4</w:t>
      </w:r>
      <w:r>
        <w:rPr>
          <w:rFonts w:ascii="Times New Roman" w:cs="Times New Roman" w:eastAsia="Times New Roman" w:hAnsi="Times New Roman"/>
          <w:sz w:val="18"/>
          <w:szCs w:val="18"/>
          <w:color w:val="1155CC"/>
        </w:rPr>
        <w:t xml:space="preserve"> https://19january2017snapshot.epa.gov/climate-impacts/climate-impacts-transportation_.html</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000000"/>
          <w:vertAlign w:val="superscript"/>
        </w:rPr>
        <w:t>5</w:t>
      </w:r>
      <w:r>
        <w:rPr>
          <w:rFonts w:ascii="Times New Roman" w:cs="Times New Roman" w:eastAsia="Times New Roman" w:hAnsi="Times New Roman"/>
          <w:sz w:val="18"/>
          <w:szCs w:val="18"/>
          <w:color w:val="0563C1"/>
        </w:rPr>
        <w:t xml:space="preserve"> https://www.economicshelp.org/blog/4977/economics/problems-of-agriculture-market-failure/</w:t>
      </w:r>
    </w:p>
    <w:p>
      <w:pPr>
        <w:ind w:right="3100"/>
        <w:spacing w:after="0" w:line="237"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000000"/>
          <w:vertAlign w:val="superscript"/>
        </w:rPr>
        <w:t>6</w:t>
      </w:r>
      <w:r>
        <w:rPr>
          <w:rFonts w:ascii="Times New Roman" w:cs="Times New Roman" w:eastAsia="Times New Roman" w:hAnsi="Times New Roman"/>
          <w:sz w:val="17"/>
          <w:szCs w:val="17"/>
          <w:color w:val="1155CC"/>
        </w:rPr>
        <w:t xml:space="preserve"> https://naturalcapitalcoalition.org/wp-content/uploads/2020/03/FramingGuidance_ConsultationMarch2020.pdf </w:t>
      </w:r>
      <w:r>
        <w:rPr>
          <w:rFonts w:ascii="Times New Roman" w:cs="Times New Roman" w:eastAsia="Times New Roman" w:hAnsi="Times New Roman"/>
          <w:sz w:val="28"/>
          <w:szCs w:val="28"/>
          <w:color w:val="000000"/>
          <w:vertAlign w:val="superscript"/>
        </w:rPr>
        <w:t>7</w:t>
      </w:r>
      <w:r>
        <w:rPr>
          <w:rFonts w:ascii="Times New Roman" w:cs="Times New Roman" w:eastAsia="Times New Roman" w:hAnsi="Times New Roman"/>
          <w:sz w:val="17"/>
          <w:szCs w:val="17"/>
          <w:color w:val="1155CC"/>
        </w:rPr>
        <w:t xml:space="preserve"> https://www3.weforum.org/docs/WEF_New_Nature_Economy_Report_2020.pdf</w:t>
      </w:r>
    </w:p>
    <w:p>
      <w:pPr>
        <w:spacing w:after="0" w:line="2"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000000"/>
          <w:vertAlign w:val="superscript"/>
        </w:rPr>
        <w:t>8</w:t>
      </w:r>
      <w:r>
        <w:rPr>
          <w:rFonts w:ascii="Times New Roman" w:cs="Times New Roman" w:eastAsia="Times New Roman" w:hAnsi="Times New Roman"/>
          <w:sz w:val="18"/>
          <w:szCs w:val="18"/>
          <w:color w:val="0563C1"/>
        </w:rPr>
        <w:t xml:space="preserve"> https://www.tsijournals.com/abstract/deforestation-causing-global-warming-and-climate-change-11492.html</w:t>
      </w:r>
      <w:r>
        <w:rPr>
          <w:rFonts w:ascii="Times New Roman" w:cs="Times New Roman" w:eastAsia="Times New Roman" w:hAnsi="Times New Roman"/>
          <w:sz w:val="18"/>
          <w:szCs w:val="18"/>
          <w:color w:val="000000"/>
        </w:rPr>
        <w:t>.</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000000"/>
          <w:vertAlign w:val="superscript"/>
        </w:rPr>
        <w:t>9</w:t>
      </w:r>
      <w:r>
        <w:rPr>
          <w:rFonts w:ascii="Times New Roman" w:cs="Times New Roman" w:eastAsia="Times New Roman" w:hAnsi="Times New Roman"/>
          <w:sz w:val="18"/>
          <w:szCs w:val="18"/>
          <w:color w:val="1155CC"/>
        </w:rPr>
        <w:t xml:space="preserve"> https://www.fao.org/newsroom/detail/cop26-agricultural-expansion-drives-almost-90-percent-of-global-deforestation/en</w:t>
      </w:r>
    </w:p>
    <w:p>
      <w:pPr>
        <w:ind w:right="240"/>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000000"/>
          <w:vertAlign w:val="superscript"/>
        </w:rPr>
        <w:t>10</w:t>
      </w:r>
      <w:r>
        <w:rPr>
          <w:rFonts w:ascii="Times New Roman" w:cs="Times New Roman" w:eastAsia="Times New Roman" w:hAnsi="Times New Roman"/>
          <w:sz w:val="18"/>
          <w:szCs w:val="18"/>
          <w:color w:val="1155CC"/>
        </w:rPr>
        <w:t xml:space="preserve"> https://cdn.cdp.net/cdp-production/cms/reports/documents/000/006/368/original/CDP_AFI_Forest_Report_2022_%2814%29.pdf?1654614758</w:t>
      </w:r>
      <w:r>
        <w:rPr>
          <w:rFonts w:ascii="Times New Roman" w:cs="Times New Roman" w:eastAsia="Times New Roman" w:hAnsi="Times New Roman"/>
          <w:sz w:val="18"/>
          <w:szCs w:val="18"/>
          <w:color w:val="000000"/>
        </w:rPr>
        <w:t>, p. 19</w:t>
      </w:r>
      <w:r>
        <w:rPr>
          <w:rFonts w:ascii="Times New Roman" w:cs="Times New Roman" w:eastAsia="Times New Roman" w:hAnsi="Times New Roman"/>
          <w:sz w:val="18"/>
          <w:szCs w:val="18"/>
          <w:color w:val="1155CC"/>
        </w:rPr>
        <w:t xml:space="preserve"> </w:t>
      </w:r>
      <w:r>
        <w:rPr>
          <w:rFonts w:ascii="Times New Roman" w:cs="Times New Roman" w:eastAsia="Times New Roman" w:hAnsi="Times New Roman"/>
          <w:sz w:val="29"/>
          <w:szCs w:val="29"/>
          <w:color w:val="000000"/>
          <w:vertAlign w:val="superscript"/>
        </w:rPr>
        <w:t>11</w:t>
      </w:r>
      <w:r>
        <w:rPr>
          <w:rFonts w:ascii="Times New Roman" w:cs="Times New Roman" w:eastAsia="Times New Roman" w:hAnsi="Times New Roman"/>
          <w:sz w:val="18"/>
          <w:szCs w:val="18"/>
          <w:color w:val="0563C1"/>
        </w:rPr>
        <w:t xml:space="preserve"> https://sciencebasedtargets.org/about-us#who-we-are</w:t>
      </w:r>
    </w:p>
    <w:p>
      <w:pPr>
        <w:spacing w:after="0" w:line="1" w:lineRule="exact"/>
        <w:rPr>
          <w:rFonts w:ascii="Times New Roman" w:cs="Times New Roman" w:eastAsia="Times New Roman" w:hAnsi="Times New Roman"/>
          <w:sz w:val="30"/>
          <w:szCs w:val="30"/>
          <w:color w:val="auto"/>
          <w:vertAlign w:val="superscript"/>
        </w:rPr>
      </w:pPr>
    </w:p>
    <w:p>
      <w:pPr>
        <w:ind w:right="3240"/>
        <w:spacing w:after="0" w:line="213"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000000"/>
          <w:vertAlign w:val="superscript"/>
        </w:rPr>
        <w:t>12</w:t>
      </w:r>
      <w:r>
        <w:rPr>
          <w:rFonts w:ascii="Times New Roman" w:cs="Times New Roman" w:eastAsia="Times New Roman" w:hAnsi="Times New Roman"/>
          <w:sz w:val="18"/>
          <w:szCs w:val="18"/>
          <w:color w:val="1155CC"/>
        </w:rPr>
        <w:t xml:space="preserve"> https://www.wri.org/update/trends-show-companies-are-ready-scope-3-reporting-us-climate-disclosure-rule </w:t>
      </w:r>
      <w:r>
        <w:rPr>
          <w:rFonts w:ascii="Times New Roman" w:cs="Times New Roman" w:eastAsia="Times New Roman" w:hAnsi="Times New Roman"/>
          <w:sz w:val="29"/>
          <w:szCs w:val="29"/>
          <w:color w:val="000000"/>
          <w:vertAlign w:val="superscript"/>
        </w:rPr>
        <w:t>13</w:t>
      </w:r>
      <w:r>
        <w:rPr>
          <w:rFonts w:ascii="Times New Roman" w:cs="Times New Roman" w:eastAsia="Times New Roman" w:hAnsi="Times New Roman"/>
          <w:sz w:val="18"/>
          <w:szCs w:val="18"/>
          <w:color w:val="0563C1"/>
        </w:rPr>
        <w:t xml:space="preserve"> https://engagethechain.org/investor-guide-deforestation-and-climate-change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14"/>
          <w:szCs w:val="14"/>
          <w:color w:val="auto"/>
        </w:rPr>
        <w:t xml:space="preserve">3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p>
      <w:pPr>
        <w:spacing w:after="0" w:line="39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OPERATIONAL RISK</w:t>
      </w:r>
    </w:p>
    <w:p>
      <w:pPr>
        <w:spacing w:after="0" w:line="233" w:lineRule="exact"/>
        <w:rPr>
          <w:sz w:val="20"/>
          <w:szCs w:val="20"/>
          <w:color w:val="auto"/>
        </w:rPr>
      </w:pPr>
    </w:p>
    <w:p>
      <w:pPr>
        <w:ind w:right="280"/>
        <w:spacing w:after="0" w:line="225" w:lineRule="auto"/>
        <w:rPr>
          <w:sz w:val="20"/>
          <w:szCs w:val="20"/>
          <w:color w:val="auto"/>
        </w:rPr>
      </w:pPr>
      <w:r>
        <w:rPr>
          <w:rFonts w:ascii="Times New Roman" w:cs="Times New Roman" w:eastAsia="Times New Roman" w:hAnsi="Times New Roman"/>
          <w:sz w:val="17"/>
          <w:szCs w:val="17"/>
          <w:color w:val="auto"/>
        </w:rPr>
        <w:t>In its 2022 10-K, Bloomin’ acknowledges that climate change may adversely affect commodity costs and operating results.</w:t>
      </w:r>
      <w:r>
        <w:rPr>
          <w:rFonts w:ascii="Times New Roman" w:cs="Times New Roman" w:eastAsia="Times New Roman" w:hAnsi="Times New Roman"/>
          <w:sz w:val="28"/>
          <w:szCs w:val="28"/>
          <w:color w:val="auto"/>
          <w:vertAlign w:val="superscript"/>
        </w:rPr>
        <w:t>14</w:t>
      </w:r>
      <w:r>
        <w:rPr>
          <w:rFonts w:ascii="Times New Roman" w:cs="Times New Roman" w:eastAsia="Times New Roman" w:hAnsi="Times New Roman"/>
          <w:sz w:val="17"/>
          <w:szCs w:val="17"/>
          <w:color w:val="auto"/>
        </w:rPr>
        <w:t xml:space="preserve"> Beef, poultry, and fish are central menu items in Bloomin’s restaurants and are high greenhouse gas-emitting commodities that can be linked to deforestation directly or indirectly</w:t>
      </w:r>
    </w:p>
    <w:p>
      <w:pPr>
        <w:spacing w:after="0" w:line="2" w:lineRule="exact"/>
        <w:rPr>
          <w:sz w:val="20"/>
          <w:szCs w:val="20"/>
          <w:color w:val="auto"/>
        </w:rPr>
      </w:pPr>
    </w:p>
    <w:p>
      <w:pPr>
        <w:ind w:right="160"/>
        <w:spacing w:after="0" w:line="209" w:lineRule="auto"/>
        <w:rPr>
          <w:sz w:val="20"/>
          <w:szCs w:val="20"/>
          <w:color w:val="auto"/>
        </w:rPr>
      </w:pPr>
      <w:r>
        <w:rPr>
          <w:rFonts w:ascii="Times New Roman" w:cs="Times New Roman" w:eastAsia="Times New Roman" w:hAnsi="Times New Roman"/>
          <w:sz w:val="18"/>
          <w:szCs w:val="18"/>
          <w:color w:val="auto"/>
        </w:rPr>
        <w:t>through feed (the majority of soy is used for animal feed).</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 xml:space="preserve"> These commodities are subject to price volatility and changing availability in response to the impacts of climate change.</w:t>
      </w:r>
    </w:p>
    <w:p>
      <w:pPr>
        <w:spacing w:after="0" w:line="196" w:lineRule="exact"/>
        <w:rPr>
          <w:sz w:val="20"/>
          <w:szCs w:val="20"/>
          <w:color w:val="auto"/>
        </w:rPr>
      </w:pPr>
    </w:p>
    <w:p>
      <w:pPr>
        <w:ind w:right="600"/>
        <w:spacing w:after="0" w:line="295" w:lineRule="auto"/>
        <w:rPr>
          <w:sz w:val="20"/>
          <w:szCs w:val="20"/>
          <w:color w:val="auto"/>
        </w:rPr>
      </w:pPr>
      <w:r>
        <w:rPr>
          <w:rFonts w:ascii="Times New Roman" w:cs="Times New Roman" w:eastAsia="Times New Roman" w:hAnsi="Times New Roman"/>
          <w:sz w:val="18"/>
          <w:szCs w:val="18"/>
          <w:b w:val="1"/>
          <w:bCs w:val="1"/>
          <w:color w:val="auto"/>
        </w:rPr>
        <w:t>Beef production is a major contributor to climate change; its carbon intensity increases when linked to deforestation. Beef accounts for the majority of Bloomin’s purchased proteins.</w:t>
      </w:r>
      <w:r>
        <w:rPr>
          <w:rFonts w:ascii="Times New Roman" w:cs="Times New Roman" w:eastAsia="Times New Roman" w:hAnsi="Times New Roman"/>
          <w:sz w:val="29"/>
          <w:szCs w:val="29"/>
          <w:b w:val="1"/>
          <w:bCs w:val="1"/>
          <w:color w:val="auto"/>
          <w:vertAlign w:val="superscript"/>
        </w:rPr>
        <w:t>16</w:t>
      </w:r>
    </w:p>
    <w:p>
      <w:pPr>
        <w:spacing w:after="0" w:line="28" w:lineRule="exact"/>
        <w:rPr>
          <w:sz w:val="20"/>
          <w:szCs w:val="20"/>
          <w:color w:val="auto"/>
        </w:rPr>
      </w:pPr>
    </w:p>
    <w:p>
      <w:pPr>
        <w:ind w:left="660" w:hanging="328"/>
        <w:spacing w:after="0" w:line="21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 Food and Agriculture Organization study found that an estimated 14.5% of manmade carbon emissions come from food production, 41% of which stem from beef.</w:t>
      </w: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8"/>
          <w:szCs w:val="18"/>
          <w:color w:val="auto"/>
        </w:rPr>
        <w:t xml:space="preserve"> Beef production emits more greenhouse gasses per kilogram of product than any other food, at around 60 kg of carbon dioxide equivalent per kilogram.</w:t>
      </w: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 xml:space="preserve"> The second closest food emits less than half the amount of carbon dioxide equivalent per kilogram.</w:t>
      </w:r>
      <w:r>
        <w:rPr>
          <w:rFonts w:ascii="Times New Roman" w:cs="Times New Roman" w:eastAsia="Times New Roman" w:hAnsi="Times New Roman"/>
          <w:sz w:val="29"/>
          <w:szCs w:val="29"/>
          <w:color w:val="auto"/>
          <w:vertAlign w:val="superscript"/>
        </w:rPr>
        <w:t>19</w:t>
      </w:r>
    </w:p>
    <w:p>
      <w:pPr>
        <w:spacing w:after="0" w:line="2" w:lineRule="exact"/>
        <w:rPr>
          <w:rFonts w:ascii="Times New Roman" w:cs="Times New Roman" w:eastAsia="Times New Roman" w:hAnsi="Times New Roman"/>
          <w:sz w:val="18"/>
          <w:szCs w:val="18"/>
          <w:color w:val="auto"/>
        </w:rPr>
      </w:pPr>
    </w:p>
    <w:p>
      <w:pPr>
        <w:ind w:left="660" w:right="600" w:hanging="328"/>
        <w:spacing w:after="0" w:line="182" w:lineRule="auto"/>
        <w:tabs>
          <w:tab w:leader="none" w:pos="66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6"/>
          <w:szCs w:val="16"/>
          <w:color w:val="auto"/>
        </w:rPr>
        <w:t>Bloomin’ sources beef for its restaurants,</w:t>
      </w:r>
      <w:r>
        <w:rPr>
          <w:rFonts w:ascii="Times New Roman" w:cs="Times New Roman" w:eastAsia="Times New Roman" w:hAnsi="Times New Roman"/>
          <w:sz w:val="24"/>
          <w:szCs w:val="24"/>
          <w:color w:val="auto"/>
          <w:vertAlign w:val="superscript"/>
        </w:rPr>
        <w:t>20</w:t>
      </w:r>
      <w:r>
        <w:rPr>
          <w:rFonts w:ascii="Times New Roman" w:cs="Times New Roman" w:eastAsia="Times New Roman" w:hAnsi="Times New Roman"/>
          <w:sz w:val="16"/>
          <w:szCs w:val="16"/>
          <w:color w:val="auto"/>
        </w:rPr>
        <w:t xml:space="preserve"> including from Brazil where the risk of cattle-driven deforestation is high,</w:t>
      </w:r>
      <w:r>
        <w:rPr>
          <w:rFonts w:ascii="Times New Roman" w:cs="Times New Roman" w:eastAsia="Times New Roman" w:hAnsi="Times New Roman"/>
          <w:sz w:val="24"/>
          <w:szCs w:val="24"/>
          <w:color w:val="auto"/>
          <w:vertAlign w:val="superscript"/>
        </w:rPr>
        <w:t>21</w:t>
      </w:r>
      <w:r>
        <w:rPr>
          <w:rFonts w:ascii="Times New Roman" w:cs="Times New Roman" w:eastAsia="Times New Roman" w:hAnsi="Times New Roman"/>
          <w:sz w:val="16"/>
          <w:szCs w:val="16"/>
          <w:color w:val="auto"/>
        </w:rPr>
        <w:t xml:space="preserve"> particularly in the Brazilian Amazon where deforestation hit a new record during the first half of 2022.</w:t>
      </w:r>
      <w:r>
        <w:rPr>
          <w:rFonts w:ascii="Times New Roman" w:cs="Times New Roman" w:eastAsia="Times New Roman" w:hAnsi="Times New Roman"/>
          <w:sz w:val="24"/>
          <w:szCs w:val="24"/>
          <w:color w:val="auto"/>
          <w:vertAlign w:val="superscript"/>
        </w:rPr>
        <w:t>22</w:t>
      </w:r>
    </w:p>
    <w:p>
      <w:pPr>
        <w:spacing w:after="0" w:line="1" w:lineRule="exact"/>
        <w:rPr>
          <w:rFonts w:ascii="Times New Roman" w:cs="Times New Roman" w:eastAsia="Times New Roman" w:hAnsi="Times New Roman"/>
          <w:sz w:val="30"/>
          <w:szCs w:val="30"/>
          <w:color w:val="auto"/>
          <w:vertAlign w:val="superscript"/>
        </w:rPr>
      </w:pPr>
    </w:p>
    <w:p>
      <w:pPr>
        <w:ind w:left="660" w:right="200" w:hanging="328"/>
        <w:spacing w:after="0" w:line="27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Meatpackers JBS, Marfrig and Minerva dominate the Brazilian cattle industry, where deforestation linked to indirect suppliers is most prevalent and these companies do not monitor all indirect supply.</w:t>
      </w:r>
      <w:r>
        <w:rPr>
          <w:rFonts w:ascii="Times New Roman" w:cs="Times New Roman" w:eastAsia="Times New Roman" w:hAnsi="Times New Roman"/>
          <w:sz w:val="29"/>
          <w:szCs w:val="29"/>
          <w:color w:val="auto"/>
          <w:vertAlign w:val="superscript"/>
        </w:rPr>
        <w:t>23</w:t>
      </w:r>
    </w:p>
    <w:p>
      <w:pPr>
        <w:spacing w:after="0" w:line="3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Bloomin’s extensive beef consumption, including beef with possible ties to deforestation, contributes to the Company’s greenhouse gas emissions and poses operational risk.</w:t>
      </w:r>
    </w:p>
    <w:p>
      <w:pPr>
        <w:spacing w:after="0" w:line="159" w:lineRule="exact"/>
        <w:rPr>
          <w:sz w:val="20"/>
          <w:szCs w:val="20"/>
          <w:color w:val="auto"/>
        </w:rPr>
      </w:pPr>
    </w:p>
    <w:p>
      <w:pPr>
        <w:ind w:left="660" w:right="60" w:hanging="328"/>
        <w:spacing w:after="0" w:line="23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scale and geographical scope of Bloomin’s beef sourcing and peer greenhouse gas emission disclosures (99% of McDonald’s 2020 GHG were Scope 3</w:t>
      </w:r>
      <w:r>
        <w:rPr>
          <w:rFonts w:ascii="Times New Roman" w:cs="Times New Roman" w:eastAsia="Times New Roman" w:hAnsi="Times New Roman"/>
          <w:sz w:val="29"/>
          <w:szCs w:val="29"/>
          <w:color w:val="auto"/>
          <w:vertAlign w:val="superscript"/>
        </w:rPr>
        <w:t>24</w:t>
      </w:r>
      <w:r>
        <w:rPr>
          <w:rFonts w:ascii="Times New Roman" w:cs="Times New Roman" w:eastAsia="Times New Roman" w:hAnsi="Times New Roman"/>
          <w:sz w:val="18"/>
          <w:szCs w:val="18"/>
          <w:color w:val="auto"/>
        </w:rPr>
        <w:t>; 93% of Chipotle’s 2021 GHG emissions were Scope 3</w:t>
      </w:r>
      <w:r>
        <w:rPr>
          <w:rFonts w:ascii="Times New Roman" w:cs="Times New Roman" w:eastAsia="Times New Roman" w:hAnsi="Times New Roman"/>
          <w:sz w:val="29"/>
          <w:szCs w:val="29"/>
          <w:color w:val="auto"/>
          <w:vertAlign w:val="superscript"/>
        </w:rPr>
        <w:t>25</w:t>
      </w:r>
      <w:r>
        <w:rPr>
          <w:rFonts w:ascii="Times New Roman" w:cs="Times New Roman" w:eastAsia="Times New Roman" w:hAnsi="Times New Roman"/>
          <w:sz w:val="18"/>
          <w:szCs w:val="18"/>
          <w:color w:val="auto"/>
        </w:rPr>
        <w:t>), the overwhelming majority of Bloomin’s contribution to climate change in all likelihood comes from its Scope 3 emissions, which include land use change emissions driven by forest-risk commodities such as beef and soy.</w:t>
      </w:r>
    </w:p>
    <w:p>
      <w:pPr>
        <w:ind w:left="660" w:right="40" w:hanging="328"/>
        <w:spacing w:after="0" w:line="199" w:lineRule="auto"/>
        <w:tabs>
          <w:tab w:leader="none" w:pos="66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Climate change and deforestation create volatility in commodity markets, generate risk for global food security,</w:t>
      </w:r>
      <w:r>
        <w:rPr>
          <w:rFonts w:ascii="Times New Roman" w:cs="Times New Roman" w:eastAsia="Times New Roman" w:hAnsi="Times New Roman"/>
          <w:sz w:val="29"/>
          <w:szCs w:val="29"/>
          <w:color w:val="auto"/>
          <w:vertAlign w:val="superscript"/>
        </w:rPr>
        <w:t>26</w:t>
      </w:r>
      <w:r>
        <w:rPr>
          <w:rFonts w:ascii="Times New Roman" w:cs="Times New Roman" w:eastAsia="Times New Roman" w:hAnsi="Times New Roman"/>
          <w:sz w:val="18"/>
          <w:szCs w:val="18"/>
          <w:color w:val="auto"/>
        </w:rPr>
        <w:t xml:space="preserve"> and pose risks to supply chain continuity for companies sourcing agricultural commodities. Without robust assessment of and goals to address Scope 3 emissions, Bloomin’ may remain exposed to systemic risks impacting its long-term sustainability.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200" w:hanging="192"/>
        <w:spacing w:after="0" w:line="211" w:lineRule="auto"/>
        <w:tabs>
          <w:tab w:leader="none" w:pos="200" w:val="left"/>
        </w:tabs>
        <w:numPr>
          <w:ilvl w:val="0"/>
          <w:numId w:val="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1155CC"/>
        </w:rPr>
        <w:t>https://investors.bloominbrands.com/static-files/082d94f0-181a-4fe6-8bc8-00a59e0fac2d</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0563C1"/>
        </w:rPr>
        <w:t>https://news.mongabay.com/2019/01/brazilian-hunger-for-meat-fattened-on-soy-is-deforesting-the-cerrado-report/</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https://investors.bloominbrands.com/static-files/082d94f0-181a-4fe6-8bc8-00a59e0fac2d</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0563C1"/>
        </w:rPr>
        <w:t>https://www.wri.org/blog/2019/04/6-pressing-questions-about-beef-and-climate-change-answered</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0563C1"/>
        </w:rPr>
        <w:t>https://ourworldindata.org/environmental-impacts-of-food</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0563C1"/>
        </w:rPr>
        <w:t>https://ourworldindata.org/environmental-impacts-of-food</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https://investors.bloominbrands.com/static-files/082d94f0-181a-4fe6-8bc8-00a59e0fac2d</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0563C1"/>
        </w:rPr>
        <w:t>https://chainreactionresearch.com/report/cattle-driven-deforestation-a-major-risk-to-brazilian-retailers/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https://www.washingtonpost.com/climate-environment/2022/07/08/amazon-rainforest-deforestation-record-climate/</w:t>
      </w:r>
    </w:p>
    <w:p>
      <w:pPr>
        <w:spacing w:after="0" w:line="42" w:lineRule="exact"/>
        <w:rPr>
          <w:rFonts w:ascii="Times New Roman" w:cs="Times New Roman" w:eastAsia="Times New Roman" w:hAnsi="Times New Roman"/>
          <w:sz w:val="23"/>
          <w:szCs w:val="23"/>
          <w:color w:val="auto"/>
          <w:vertAlign w:val="superscript"/>
        </w:rPr>
      </w:pPr>
    </w:p>
    <w:p>
      <w:pPr>
        <w:ind w:right="60" w:firstLine="8"/>
        <w:spacing w:after="0"/>
        <w:tabs>
          <w:tab w:leader="none" w:pos="195" w:val="left"/>
        </w:tabs>
        <w:numPr>
          <w:ilvl w:val="0"/>
          <w:numId w:val="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1155CC"/>
        </w:rPr>
        <w:t>https://chainreactionresearch.com/wp-content/uploads/2022/11/JBS-Marfrig-and-Minerva-Unlikely-Compliant-with-Upcoming-EU-Deforestation-Law-1.pdf</w:t>
      </w:r>
    </w:p>
    <w:p>
      <w:pPr>
        <w:spacing w:after="0" w:line="108" w:lineRule="exact"/>
        <w:rPr>
          <w:rFonts w:ascii="Times New Roman" w:cs="Times New Roman" w:eastAsia="Times New Roman" w:hAnsi="Times New Roman"/>
          <w:sz w:val="28"/>
          <w:szCs w:val="28"/>
          <w:color w:val="auto"/>
          <w:vertAlign w:val="superscript"/>
        </w:rPr>
      </w:pPr>
    </w:p>
    <w:p>
      <w:pPr>
        <w:ind w:left="200" w:hanging="192"/>
        <w:spacing w:after="0" w:line="191" w:lineRule="auto"/>
        <w:tabs>
          <w:tab w:leader="none" w:pos="200" w:val="left"/>
        </w:tabs>
        <w:numPr>
          <w:ilvl w:val="0"/>
          <w:numId w:val="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1155CC"/>
        </w:rPr>
        <w:t>https://corporate.mcdonalds.com/corpmcd/our-purpose-and-impact/our-planet/climate-action.html#ourPerformance</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https://www.chipotle.com/content/dam/chipotle/global-site-design/en/documents/sustainability/CHP_2021_SustainabilityReport_Revised_5-20.pdf</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0563C1"/>
        </w:rPr>
        <w:t>https://www.nytimes.com/2019/08/08/climate/climate-change-food-supply.html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14"/>
          <w:szCs w:val="14"/>
          <w:color w:val="auto"/>
        </w:rPr>
        <w:t xml:space="preserve">4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39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COMPETITIVE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Bloomin’ cites “growing competition from quick service and fast-casual restaurants, the supermarket industry and meal kit and food delivery providers” as</w:t>
      </w:r>
    </w:p>
    <w:p>
      <w:pPr>
        <w:spacing w:after="0" w:line="27" w:lineRule="exact"/>
        <w:rPr>
          <w:sz w:val="20"/>
          <w:szCs w:val="20"/>
          <w:color w:val="auto"/>
        </w:rPr>
      </w:pPr>
    </w:p>
    <w:p>
      <w:pPr>
        <w:ind w:right="300"/>
        <w:spacing w:after="0" w:line="221" w:lineRule="auto"/>
        <w:rPr>
          <w:sz w:val="20"/>
          <w:szCs w:val="20"/>
          <w:color w:val="auto"/>
        </w:rPr>
      </w:pPr>
      <w:r>
        <w:rPr>
          <w:rFonts w:ascii="Times New Roman" w:cs="Times New Roman" w:eastAsia="Times New Roman" w:hAnsi="Times New Roman"/>
          <w:sz w:val="18"/>
          <w:szCs w:val="18"/>
          <w:color w:val="auto"/>
        </w:rPr>
        <w:t>a risk in its 2022 10-K.</w:t>
      </w:r>
      <w:r>
        <w:rPr>
          <w:rFonts w:ascii="Times New Roman" w:cs="Times New Roman" w:eastAsia="Times New Roman" w:hAnsi="Times New Roman"/>
          <w:sz w:val="29"/>
          <w:szCs w:val="29"/>
          <w:color w:val="auto"/>
          <w:vertAlign w:val="superscript"/>
        </w:rPr>
        <w:t>27</w:t>
      </w:r>
      <w:r>
        <w:rPr>
          <w:rFonts w:ascii="Times New Roman" w:cs="Times New Roman" w:eastAsia="Times New Roman" w:hAnsi="Times New Roman"/>
          <w:sz w:val="18"/>
          <w:szCs w:val="18"/>
          <w:color w:val="auto"/>
        </w:rPr>
        <w:t xml:space="preserve"> However, Bloomin’ lags peers in adopting greenhouse gas emissions reduction targets covering its supply chain as well as no-deforestation policies that would help mitigate the Company’s exposure to climate-related risks. Many of Bloomin’s quick service and fast-casual competitors have developed such policies in recent years:</w:t>
      </w:r>
    </w:p>
    <w:p>
      <w:pPr>
        <w:spacing w:after="0" w:line="194" w:lineRule="exact"/>
        <w:rPr>
          <w:sz w:val="20"/>
          <w:szCs w:val="20"/>
          <w:color w:val="auto"/>
        </w:rPr>
      </w:pPr>
    </w:p>
    <w:p>
      <w:pPr>
        <w:jc w:val="both"/>
        <w:ind w:left="660" w:right="280" w:hanging="328"/>
        <w:spacing w:after="0" w:line="253"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McDonald’s </w:t>
      </w:r>
      <w:r>
        <w:rPr>
          <w:rFonts w:ascii="Times New Roman" w:cs="Times New Roman" w:eastAsia="Times New Roman" w:hAnsi="Times New Roman"/>
          <w:sz w:val="17"/>
          <w:szCs w:val="17"/>
          <w:color w:val="auto"/>
        </w:rPr>
        <w:t>set Scopes 1, 2, and 3 climate targets in 2018 and has committed to adapting those targets in line with keeping global temperature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rises below 1.5°C. In 2021, it joined the UN Race to Zero campaign, committing to achieve net zero emissions by 2050. The company publicly discloses Scopes 1, 2, and 3 emissions annually and encourages suppliers to set SBTs and report on their progress to CDP.</w:t>
      </w:r>
      <w:r>
        <w:rPr>
          <w:rFonts w:ascii="Times New Roman" w:cs="Times New Roman" w:eastAsia="Times New Roman" w:hAnsi="Times New Roman"/>
          <w:sz w:val="28"/>
          <w:szCs w:val="28"/>
          <w:color w:val="auto"/>
          <w:vertAlign w:val="superscript"/>
        </w:rPr>
        <w:t>28</w:t>
      </w:r>
    </w:p>
    <w:p>
      <w:pPr>
        <w:spacing w:after="0" w:line="1" w:lineRule="exact"/>
        <w:rPr>
          <w:rFonts w:ascii="Times New Roman" w:cs="Times New Roman" w:eastAsia="Times New Roman" w:hAnsi="Times New Roman"/>
          <w:sz w:val="17"/>
          <w:szCs w:val="17"/>
          <w:color w:val="auto"/>
        </w:rPr>
      </w:pPr>
    </w:p>
    <w:p>
      <w:pPr>
        <w:ind w:left="660" w:hanging="328"/>
        <w:spacing w:after="0" w:line="182" w:lineRule="auto"/>
        <w:tabs>
          <w:tab w:leader="none" w:pos="66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6"/>
          <w:szCs w:val="16"/>
          <w:b w:val="1"/>
          <w:bCs w:val="1"/>
          <w:color w:val="auto"/>
        </w:rPr>
        <w:t xml:space="preserve">Chipotle </w:t>
      </w:r>
      <w:r>
        <w:rPr>
          <w:rFonts w:ascii="Times New Roman" w:cs="Times New Roman" w:eastAsia="Times New Roman" w:hAnsi="Times New Roman"/>
          <w:sz w:val="16"/>
          <w:szCs w:val="16"/>
          <w:color w:val="auto"/>
        </w:rPr>
        <w:t>accelerated the timeline of its goal to measure and report on its Scope 3 emissions from 2025 to 2021</w:t>
      </w:r>
      <w:r>
        <w:rPr>
          <w:rFonts w:ascii="Times New Roman" w:cs="Times New Roman" w:eastAsia="Times New Roman" w:hAnsi="Times New Roman"/>
          <w:sz w:val="24"/>
          <w:szCs w:val="24"/>
          <w:color w:val="auto"/>
          <w:vertAlign w:val="superscript"/>
        </w:rPr>
        <w:t>29</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had Scopes 1, 2 and 3 targets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verified by SBTi in 2021.</w:t>
      </w:r>
      <w:r>
        <w:rPr>
          <w:rFonts w:ascii="Times New Roman" w:cs="Times New Roman" w:eastAsia="Times New Roman" w:hAnsi="Times New Roman"/>
          <w:sz w:val="24"/>
          <w:szCs w:val="24"/>
          <w:color w:val="auto"/>
          <w:vertAlign w:val="superscript"/>
        </w:rPr>
        <w:t>30</w:t>
      </w:r>
    </w:p>
    <w:p>
      <w:pPr>
        <w:spacing w:after="0" w:line="1" w:lineRule="exact"/>
        <w:rPr>
          <w:rFonts w:ascii="Times New Roman" w:cs="Times New Roman" w:eastAsia="Times New Roman" w:hAnsi="Times New Roman"/>
          <w:sz w:val="30"/>
          <w:szCs w:val="30"/>
          <w:color w:val="auto"/>
          <w:vertAlign w:val="superscript"/>
        </w:rPr>
      </w:pPr>
    </w:p>
    <w:p>
      <w:pPr>
        <w:ind w:left="660" w:right="240" w:hanging="328"/>
        <w:spacing w:after="0" w:line="209"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Yum! Brands </w:t>
      </w:r>
      <w:r>
        <w:rPr>
          <w:rFonts w:ascii="Times New Roman" w:cs="Times New Roman" w:eastAsia="Times New Roman" w:hAnsi="Times New Roman"/>
          <w:sz w:val="18"/>
          <w:szCs w:val="18"/>
          <w:color w:val="auto"/>
        </w:rPr>
        <w:t>announced in 2021 its target to reduce total emissions by 46% by 2030, compared to a 2019 baseline, and its ambition to achieve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net-zero emissions by 2050. </w:t>
      </w:r>
      <w:r>
        <w:rPr>
          <w:rFonts w:ascii="Times New Roman" w:cs="Times New Roman" w:eastAsia="Times New Roman" w:hAnsi="Times New Roman"/>
          <w:sz w:val="29"/>
          <w:szCs w:val="29"/>
          <w:color w:val="auto"/>
          <w:vertAlign w:val="superscript"/>
        </w:rPr>
        <w:t>31</w:t>
      </w:r>
    </w:p>
    <w:p>
      <w:pPr>
        <w:spacing w:after="0" w:line="1" w:lineRule="exact"/>
        <w:rPr>
          <w:rFonts w:ascii="Times New Roman" w:cs="Times New Roman" w:eastAsia="Times New Roman" w:hAnsi="Times New Roman"/>
          <w:sz w:val="18"/>
          <w:szCs w:val="18"/>
          <w:color w:val="auto"/>
        </w:rPr>
      </w:pPr>
    </w:p>
    <w:p>
      <w:pPr>
        <w:ind w:left="660" w:right="260" w:hanging="328"/>
        <w:spacing w:after="0" w:line="26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Restaurant Brands International </w:t>
      </w:r>
      <w:r>
        <w:rPr>
          <w:rFonts w:ascii="Times New Roman" w:cs="Times New Roman" w:eastAsia="Times New Roman" w:hAnsi="Times New Roman"/>
          <w:sz w:val="18"/>
          <w:szCs w:val="18"/>
          <w:color w:val="auto"/>
        </w:rPr>
        <w:t>has set a long-term target to become net-zero emissions by 2050 or sooner, and by 2030 aims to reduce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absolute Scope 1 and 2 emissions by 50% by as well as Scope 3 emissions intensity by 50% per metric ton of food and per franchise restaurant, compared to a 2019 base year. These targets were approved by SBTi and based on the SBTi criteria and recommendations.</w:t>
      </w:r>
      <w:r>
        <w:rPr>
          <w:rFonts w:ascii="Times New Roman" w:cs="Times New Roman" w:eastAsia="Times New Roman" w:hAnsi="Times New Roman"/>
          <w:sz w:val="29"/>
          <w:szCs w:val="29"/>
          <w:color w:val="auto"/>
          <w:vertAlign w:val="superscript"/>
        </w:rPr>
        <w:t>32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Many of Bloomin’s competitors have policies specific to eliminating supply chain deforestation.</w:t>
      </w:r>
    </w:p>
    <w:p>
      <w:pPr>
        <w:spacing w:after="0" w:line="225" w:lineRule="exact"/>
        <w:rPr>
          <w:sz w:val="20"/>
          <w:szCs w:val="20"/>
          <w:color w:val="auto"/>
        </w:rPr>
      </w:pPr>
    </w:p>
    <w:p>
      <w:pPr>
        <w:ind w:left="660" w:right="40" w:hanging="328"/>
        <w:spacing w:after="0" w:line="20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McDonald’s </w:t>
      </w:r>
      <w:r>
        <w:rPr>
          <w:rFonts w:ascii="Times New Roman" w:cs="Times New Roman" w:eastAsia="Times New Roman" w:hAnsi="Times New Roman"/>
          <w:sz w:val="18"/>
          <w:szCs w:val="18"/>
          <w:color w:val="auto"/>
        </w:rPr>
        <w:t>achieved 97.7% deforestation-free supply chains for its five priority commodities at the end of 2021 and has committed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eliminating deforestation from its global supply chains by 2030.</w:t>
      </w:r>
      <w:r>
        <w:rPr>
          <w:rFonts w:ascii="Times New Roman" w:cs="Times New Roman" w:eastAsia="Times New Roman" w:hAnsi="Times New Roman"/>
          <w:sz w:val="29"/>
          <w:szCs w:val="29"/>
          <w:color w:val="auto"/>
          <w:vertAlign w:val="superscript"/>
        </w:rPr>
        <w:t>33</w:t>
      </w:r>
      <w:r>
        <w:rPr>
          <w:rFonts w:ascii="Times New Roman" w:cs="Times New Roman" w:eastAsia="Times New Roman" w:hAnsi="Times New Roman"/>
          <w:sz w:val="18"/>
          <w:szCs w:val="18"/>
          <w:color w:val="auto"/>
        </w:rPr>
        <w:t xml:space="preserve"> The company is a signatory of the New York Declaration on Forests and the Cerrado Manifesto</w:t>
      </w:r>
      <w:r>
        <w:rPr>
          <w:rFonts w:ascii="Times New Roman" w:cs="Times New Roman" w:eastAsia="Times New Roman" w:hAnsi="Times New Roman"/>
          <w:sz w:val="29"/>
          <w:szCs w:val="29"/>
          <w:color w:val="auto"/>
          <w:vertAlign w:val="superscript"/>
        </w:rPr>
        <w:t>34</w:t>
      </w:r>
      <w:r>
        <w:rPr>
          <w:rFonts w:ascii="Times New Roman" w:cs="Times New Roman" w:eastAsia="Times New Roman" w:hAnsi="Times New Roman"/>
          <w:sz w:val="18"/>
          <w:szCs w:val="18"/>
          <w:color w:val="auto"/>
        </w:rPr>
        <w:t xml:space="preserve"> and is a member of the Roundtable on Sustainable Palm Oil.</w:t>
      </w:r>
      <w:r>
        <w:rPr>
          <w:rFonts w:ascii="Times New Roman" w:cs="Times New Roman" w:eastAsia="Times New Roman" w:hAnsi="Times New Roman"/>
          <w:sz w:val="29"/>
          <w:szCs w:val="29"/>
          <w:color w:val="auto"/>
          <w:vertAlign w:val="superscript"/>
        </w:rPr>
        <w:t>35</w:t>
      </w:r>
      <w:r>
        <w:rPr>
          <w:rFonts w:ascii="Times New Roman" w:cs="Times New Roman" w:eastAsia="Times New Roman" w:hAnsi="Times New Roman"/>
          <w:sz w:val="18"/>
          <w:szCs w:val="18"/>
          <w:color w:val="auto"/>
        </w:rPr>
        <w:t xml:space="preserve"> It ensures transparency by aligning its progress reporting with the Accountability Framework initiative.</w:t>
      </w:r>
      <w:r>
        <w:rPr>
          <w:rFonts w:ascii="Times New Roman" w:cs="Times New Roman" w:eastAsia="Times New Roman" w:hAnsi="Times New Roman"/>
          <w:sz w:val="29"/>
          <w:szCs w:val="29"/>
          <w:color w:val="auto"/>
          <w:vertAlign w:val="superscript"/>
        </w:rPr>
        <w:t>36</w:t>
      </w:r>
    </w:p>
    <w:p>
      <w:pPr>
        <w:spacing w:after="0" w:line="3" w:lineRule="exact"/>
        <w:rPr>
          <w:rFonts w:ascii="Times New Roman" w:cs="Times New Roman" w:eastAsia="Times New Roman" w:hAnsi="Times New Roman"/>
          <w:sz w:val="18"/>
          <w:szCs w:val="18"/>
          <w:color w:val="auto"/>
        </w:rPr>
      </w:pPr>
    </w:p>
    <w:p>
      <w:pPr>
        <w:ind w:left="660" w:right="180" w:hanging="328"/>
        <w:spacing w:after="0" w:line="188" w:lineRule="auto"/>
        <w:tabs>
          <w:tab w:leader="none" w:pos="660" w:val="left"/>
        </w:tabs>
        <w:numPr>
          <w:ilvl w:val="0"/>
          <w:numId w:val="1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 xml:space="preserve">Yum! Brands </w:t>
      </w:r>
      <w:r>
        <w:rPr>
          <w:rFonts w:ascii="Times New Roman" w:cs="Times New Roman" w:eastAsia="Times New Roman" w:hAnsi="Times New Roman"/>
          <w:sz w:val="18"/>
          <w:szCs w:val="18"/>
          <w:color w:val="auto"/>
        </w:rPr>
        <w:t>has a no-deforestation commitment for its four primary forest-risk commodity supply chains: palm, paper, beef and soy.</w:t>
      </w:r>
      <w:r>
        <w:rPr>
          <w:rFonts w:ascii="Times New Roman" w:cs="Times New Roman" w:eastAsia="Times New Roman" w:hAnsi="Times New Roman"/>
          <w:sz w:val="29"/>
          <w:szCs w:val="29"/>
          <w:color w:val="auto"/>
          <w:vertAlign w:val="superscript"/>
        </w:rPr>
        <w:t>37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a member of the Roundtable for Sustainable Palm Oil, the New York Declaration on Forests,</w:t>
      </w:r>
      <w:r>
        <w:rPr>
          <w:rFonts w:ascii="Times New Roman" w:cs="Times New Roman" w:eastAsia="Times New Roman" w:hAnsi="Times New Roman"/>
          <w:sz w:val="29"/>
          <w:szCs w:val="29"/>
          <w:color w:val="auto"/>
          <w:vertAlign w:val="superscript"/>
        </w:rPr>
        <w:t>38</w:t>
      </w:r>
      <w:r>
        <w:rPr>
          <w:rFonts w:ascii="Times New Roman" w:cs="Times New Roman" w:eastAsia="Times New Roman" w:hAnsi="Times New Roman"/>
          <w:sz w:val="18"/>
          <w:szCs w:val="18"/>
          <w:color w:val="auto"/>
        </w:rPr>
        <w:t xml:space="preserve"> and received an ‘A-‘score from CDP Forests for palm oil.</w:t>
      </w:r>
      <w:r>
        <w:rPr>
          <w:rFonts w:ascii="Times New Roman" w:cs="Times New Roman" w:eastAsia="Times New Roman" w:hAnsi="Times New Roman"/>
          <w:sz w:val="29"/>
          <w:szCs w:val="29"/>
          <w:color w:val="auto"/>
          <w:vertAlign w:val="superscript"/>
        </w:rPr>
        <w:t>39</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ind w:left="200" w:hanging="192"/>
        <w:spacing w:after="0" w:line="214" w:lineRule="auto"/>
        <w:tabs>
          <w:tab w:leader="none" w:pos="200" w:val="left"/>
        </w:tabs>
        <w:numPr>
          <w:ilvl w:val="0"/>
          <w:numId w:val="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1155CC"/>
        </w:rPr>
        <w:t>https://investors.bloominbrands.com/static-files/082d94f0-181a-4fe6-8bc8-00a59e0fac2d</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https://corporate.mcdonalds.com/corpmcd/our-purpose-and-impact/our-planet/climate-action.html</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0563C1"/>
        </w:rPr>
        <w:t>https://www.nrn.com/fast-casual/chipotle-will-be-tying-executive-compensation-diversity-and-sustainability-goals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https://www.chipotle.com/content/dam/chipotle/global-site-design/en/documents/sustainability/CHP_2021_SustainabilityReport_Revised_5-20.pdf</w:t>
      </w:r>
    </w:p>
    <w:p>
      <w:pPr>
        <w:spacing w:after="0" w:line="42" w:lineRule="exact"/>
        <w:rPr>
          <w:rFonts w:ascii="Times New Roman" w:cs="Times New Roman" w:eastAsia="Times New Roman" w:hAnsi="Times New Roman"/>
          <w:sz w:val="23"/>
          <w:szCs w:val="23"/>
          <w:color w:val="auto"/>
          <w:vertAlign w:val="superscript"/>
        </w:rPr>
      </w:pPr>
    </w:p>
    <w:p>
      <w:pPr>
        <w:ind w:right="2440" w:firstLine="8"/>
        <w:spacing w:after="0" w:line="199" w:lineRule="auto"/>
        <w:tabs>
          <w:tab w:leader="none" w:pos="195" w:val="left"/>
        </w:tabs>
        <w:numPr>
          <w:ilvl w:val="0"/>
          <w:numId w:val="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1155CC"/>
        </w:rPr>
        <w:t>https://www.yum.com/wps/wcm/connect/yumbrands/5c5d560b-8d77-4ea2-bdc0-bc9f595bdc2c/R4G-Report-2021.pdf? MOD=AJPERES&amp;CVID=o9EO5zQ</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1" w:lineRule="auto"/>
        <w:tabs>
          <w:tab w:leader="none" w:pos="200" w:val="left"/>
        </w:tabs>
        <w:numPr>
          <w:ilvl w:val="0"/>
          <w:numId w:val="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1155CC"/>
        </w:rPr>
        <w:t>https://www.rbi.com/English/sustainability/planet/climate-action/default.aspx</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https://corporate.mcdonalds.com/corpmcd/our-purpose-and-impact/our-planet/nature-forests-water.html#focusOnForests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https://www.plantbasednews.org/news/giants-mcdonalds-unilever-sign-manifesto-calling-responsible-soy-production</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https://rspo.org/members/908/McDonalds-Corporation</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0563C1"/>
        </w:rPr>
        <w:t>https://corporate.mcdonalds.com/corpmcd/our-purpose-and-impact/our-planet/conserving-forests.html</w:t>
      </w:r>
    </w:p>
    <w:p>
      <w:pPr>
        <w:spacing w:after="0" w:line="42" w:lineRule="exact"/>
        <w:rPr>
          <w:rFonts w:ascii="Times New Roman" w:cs="Times New Roman" w:eastAsia="Times New Roman" w:hAnsi="Times New Roman"/>
          <w:sz w:val="23"/>
          <w:szCs w:val="23"/>
          <w:color w:val="auto"/>
          <w:vertAlign w:val="superscript"/>
        </w:rPr>
      </w:pPr>
    </w:p>
    <w:p>
      <w:pPr>
        <w:ind w:right="2520" w:firstLine="8"/>
        <w:spacing w:after="0" w:line="199" w:lineRule="auto"/>
        <w:tabs>
          <w:tab w:leader="none" w:pos="195" w:val="left"/>
        </w:tabs>
        <w:numPr>
          <w:ilvl w:val="0"/>
          <w:numId w:val="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0563C1"/>
        </w:rPr>
        <w:t>https://www.yum.com/wps/wcm/connect/yumbrands/36baedf1-ae21-4ca2-9efd-366319419322/Yum%21+Brands+Global+Forest+Stewardship+Policy_FINAL.pdf?MOD=AJPERES&amp;CVID=ngx4TKe</w:t>
      </w:r>
    </w:p>
    <w:p>
      <w:pPr>
        <w:spacing w:after="0" w:line="23" w:lineRule="exact"/>
        <w:rPr>
          <w:rFonts w:ascii="Times New Roman" w:cs="Times New Roman" w:eastAsia="Times New Roman" w:hAnsi="Times New Roman"/>
          <w:sz w:val="28"/>
          <w:szCs w:val="28"/>
          <w:color w:val="auto"/>
          <w:vertAlign w:val="superscript"/>
        </w:rPr>
      </w:pPr>
    </w:p>
    <w:p>
      <w:pPr>
        <w:ind w:right="2060" w:firstLine="8"/>
        <w:spacing w:after="0" w:line="208" w:lineRule="auto"/>
        <w:tabs>
          <w:tab w:leader="none" w:pos="195" w:val="left"/>
        </w:tabs>
        <w:numPr>
          <w:ilvl w:val="0"/>
          <w:numId w:val="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0563C1"/>
        </w:rPr>
        <w:t>https://www.yum.com/wps/wcm/connect/yumbrands/f4734577-fc4b-42b1-981d-bf45d13faa38/2019-Citizenship-Planet.pdf? MOD=AJPERES&amp;CVID=nl1B6C</w:t>
      </w:r>
      <w:r>
        <w:rPr>
          <w:rFonts w:ascii="Times New Roman" w:cs="Times New Roman" w:eastAsia="Times New Roman" w:hAnsi="Times New Roman"/>
          <w:sz w:val="17"/>
          <w:szCs w:val="17"/>
          <w:color w:val="000000"/>
        </w:rPr>
        <w:t>.</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1" w:lineRule="auto"/>
        <w:tabs>
          <w:tab w:leader="none" w:pos="200" w:val="left"/>
        </w:tabs>
        <w:numPr>
          <w:ilvl w:val="0"/>
          <w:numId w:val="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1155CC"/>
        </w:rPr>
        <w:t>https://www.cdp.net/en/responses?queries%5Bname%5D=yum+brands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14"/>
          <w:szCs w:val="14"/>
          <w:color w:val="auto"/>
        </w:rPr>
        <w:t xml:space="preserve">5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p>
      <w:pPr>
        <w:spacing w:after="0" w:line="395" w:lineRule="exact"/>
        <w:rPr>
          <w:sz w:val="20"/>
          <w:szCs w:val="20"/>
          <w:color w:val="auto"/>
        </w:rPr>
      </w:pPr>
    </w:p>
    <w:p>
      <w:pPr>
        <w:ind w:left="660" w:right="140" w:hanging="328"/>
        <w:spacing w:after="0" w:line="29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Restaurant Brands International </w:t>
      </w:r>
      <w:r>
        <w:rPr>
          <w:rFonts w:ascii="Times New Roman" w:cs="Times New Roman" w:eastAsia="Times New Roman" w:hAnsi="Times New Roman"/>
          <w:sz w:val="18"/>
          <w:szCs w:val="18"/>
          <w:color w:val="auto"/>
        </w:rPr>
        <w:t>has committed to eliminating deforestation in its beef, palm oil, soy, coffee and fiber-based packaging supply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chains by 2030.</w:t>
      </w:r>
      <w:r>
        <w:rPr>
          <w:rFonts w:ascii="Times New Roman" w:cs="Times New Roman" w:eastAsia="Times New Roman" w:hAnsi="Times New Roman"/>
          <w:sz w:val="29"/>
          <w:szCs w:val="29"/>
          <w:color w:val="auto"/>
          <w:vertAlign w:val="superscript"/>
        </w:rPr>
        <w:t>40</w:t>
      </w:r>
    </w:p>
    <w:p>
      <w:pPr>
        <w:spacing w:after="0" w:line="24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FAILURE TO MEET INVESTOR EXPECTATIONS FOR DISCLOSURE AND CLIMATE RISK MITIGATION</w:t>
      </w:r>
    </w:p>
    <w:p>
      <w:pPr>
        <w:spacing w:after="0" w:line="229"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8"/>
          <w:szCs w:val="18"/>
          <w:color w:val="auto"/>
        </w:rPr>
        <w:t>Investor expectations on climate risk have shifted greatly in recent years, especially around climate-related disclosures, with more institutional investors expecting portfolio companies to provide comprehensive disclosure on climate and other material ESG risks. In 2022, a record high 263 financial institutions with US$31 trillion in assets under management pressed more than 1,400 high-impact global corporations to disclose environmental data through CDP.</w:t>
      </w:r>
      <w:r>
        <w:rPr>
          <w:rFonts w:ascii="Times New Roman" w:cs="Times New Roman" w:eastAsia="Times New Roman" w:hAnsi="Times New Roman"/>
          <w:sz w:val="29"/>
          <w:szCs w:val="29"/>
          <w:color w:val="auto"/>
          <w:vertAlign w:val="superscript"/>
        </w:rPr>
        <w:t>41</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Bloomin’s current reporting and disclosures are insufficient to inform both consumers and investors of company risks and risk mitigation efforts.</w:t>
      </w:r>
    </w:p>
    <w:p>
      <w:pPr>
        <w:spacing w:after="0" w:line="225" w:lineRule="exact"/>
        <w:rPr>
          <w:sz w:val="20"/>
          <w:szCs w:val="20"/>
          <w:color w:val="auto"/>
        </w:rPr>
      </w:pPr>
    </w:p>
    <w:p>
      <w:pPr>
        <w:ind w:left="660" w:right="380" w:hanging="328"/>
        <w:spacing w:after="0" w:line="22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Company has made insufficient changes to its public reporting following the 2021 76.2% majority vote </w:t>
      </w:r>
      <w:r>
        <w:rPr>
          <w:rFonts w:ascii="Times New Roman" w:cs="Times New Roman" w:eastAsia="Times New Roman" w:hAnsi="Times New Roman"/>
          <w:sz w:val="18"/>
          <w:szCs w:val="18"/>
          <w:color w:val="auto"/>
        </w:rPr>
        <w:t>in support of a shareholder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 requesting a report regarding reduction of the company’s “total contribution to climate change, including emissions from its supply chain.”</w:t>
      </w:r>
      <w:r>
        <w:rPr>
          <w:rFonts w:ascii="Times New Roman" w:cs="Times New Roman" w:eastAsia="Times New Roman" w:hAnsi="Times New Roman"/>
          <w:sz w:val="29"/>
          <w:szCs w:val="29"/>
          <w:color w:val="auto"/>
          <w:vertAlign w:val="superscript"/>
        </w:rPr>
        <w:t>42</w:t>
      </w:r>
    </w:p>
    <w:p>
      <w:pPr>
        <w:spacing w:after="0" w:line="2" w:lineRule="exact"/>
        <w:rPr>
          <w:rFonts w:ascii="Times New Roman" w:cs="Times New Roman" w:eastAsia="Times New Roman" w:hAnsi="Times New Roman"/>
          <w:sz w:val="18"/>
          <w:szCs w:val="18"/>
          <w:color w:val="auto"/>
        </w:rPr>
      </w:pPr>
    </w:p>
    <w:p>
      <w:pPr>
        <w:ind w:left="1300" w:right="240" w:hanging="320"/>
        <w:spacing w:after="0" w:line="221"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While the company has, since 2021, disclosed its Scopes 1 &amp; 2 emissions and declared “we aspire to reduce Scope 1 and Scope 2 total GHG emissions by approximately half by 2030 and to net zero by 2050, the targets necessary to limit global temperature increases to 1.5°C,” </w:t>
      </w:r>
      <w:r>
        <w:rPr>
          <w:rFonts w:ascii="Times New Roman" w:cs="Times New Roman" w:eastAsia="Times New Roman" w:hAnsi="Times New Roman"/>
          <w:sz w:val="18"/>
          <w:szCs w:val="18"/>
          <w:b w:val="1"/>
          <w:bCs w:val="1"/>
          <w:color w:val="auto"/>
        </w:rPr>
        <w:t>the Company does not assess Scope 3 emissions or address plans to reduce them</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43</w:t>
      </w:r>
    </w:p>
    <w:p>
      <w:pPr>
        <w:ind w:left="1300" w:right="40" w:hanging="320"/>
        <w:spacing w:after="0" w:line="220"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Bloomin’ has, since 2021, set one deforestation-related goal, which is “to source at least 60 percent of land-based proteins from suppliers that maintain a deforestation-free supply chain by 2025.”</w:t>
      </w:r>
      <w:r>
        <w:rPr>
          <w:rFonts w:ascii="Times New Roman" w:cs="Times New Roman" w:eastAsia="Times New Roman" w:hAnsi="Times New Roman"/>
          <w:sz w:val="29"/>
          <w:szCs w:val="29"/>
          <w:color w:val="auto"/>
          <w:vertAlign w:val="superscript"/>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However, this goal falls far short of a Scope 3 emissions assessment,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reduction target, and cross-commodity approach to deforestation risk that investors have asked for.</w:t>
      </w:r>
    </w:p>
    <w:p>
      <w:pPr>
        <w:spacing w:after="0" w:line="1" w:lineRule="exact"/>
        <w:rPr>
          <w:rFonts w:ascii="Times New Roman" w:cs="Times New Roman" w:eastAsia="Times New Roman" w:hAnsi="Times New Roman"/>
          <w:sz w:val="18"/>
          <w:szCs w:val="18"/>
          <w:color w:val="auto"/>
        </w:rPr>
      </w:pPr>
    </w:p>
    <w:p>
      <w:pPr>
        <w:ind w:left="660" w:hanging="328"/>
        <w:spacing w:after="0" w:line="180" w:lineRule="auto"/>
        <w:tabs>
          <w:tab w:leader="none" w:pos="660" w:val="left"/>
        </w:tabs>
        <w:numPr>
          <w:ilvl w:val="0"/>
          <w:numId w:val="1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Notably, Bloomin’s reporting is not TCFD-aligned.</w:t>
      </w:r>
      <w:r>
        <w:rPr>
          <w:rFonts w:ascii="Times New Roman" w:cs="Times New Roman" w:eastAsia="Times New Roman" w:hAnsi="Times New Roman"/>
          <w:sz w:val="29"/>
          <w:szCs w:val="29"/>
          <w:b w:val="1"/>
          <w:bCs w:val="1"/>
          <w:color w:val="auto"/>
          <w:vertAlign w:val="superscript"/>
        </w:rPr>
        <w:t>45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Bloomin’s largest shareholder,</w:t>
      </w:r>
      <w:r>
        <w:rPr>
          <w:rFonts w:ascii="Times New Roman" w:cs="Times New Roman" w:eastAsia="Times New Roman" w:hAnsi="Times New Roman"/>
          <w:sz w:val="29"/>
          <w:szCs w:val="29"/>
          <w:color w:val="auto"/>
          <w:vertAlign w:val="superscript"/>
        </w:rPr>
        <w:t>46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BlackRock, has asked all companies it invests in to align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reporting with TCFD.</w:t>
      </w:r>
      <w:r>
        <w:rPr>
          <w:rFonts w:ascii="Times New Roman" w:cs="Times New Roman" w:eastAsia="Times New Roman" w:hAnsi="Times New Roman"/>
          <w:sz w:val="29"/>
          <w:szCs w:val="29"/>
          <w:color w:val="auto"/>
          <w:vertAlign w:val="superscript"/>
        </w:rPr>
        <w:t>47</w:t>
      </w:r>
      <w:r>
        <w:rPr>
          <w:rFonts w:ascii="Times New Roman" w:cs="Times New Roman" w:eastAsia="Times New Roman" w:hAnsi="Times New Roman"/>
          <w:sz w:val="18"/>
          <w:szCs w:val="18"/>
          <w:color w:val="auto"/>
        </w:rPr>
        <w:t xml:space="preserve"> “Because better sustainability disclosures are in companies’ as well as investors’ own interests, I urge companies to move quickly to issue them rather than waiting for regulators to impose them,” said Larry Fink in his 2021 CEO letter.</w:t>
      </w:r>
      <w:r>
        <w:rPr>
          <w:rFonts w:ascii="Times New Roman" w:cs="Times New Roman" w:eastAsia="Times New Roman" w:hAnsi="Times New Roman"/>
          <w:sz w:val="29"/>
          <w:szCs w:val="29"/>
          <w:color w:val="auto"/>
          <w:vertAlign w:val="superscript"/>
        </w:rPr>
        <w:t>48</w:t>
      </w:r>
    </w:p>
    <w:p>
      <w:pPr>
        <w:ind w:left="660" w:right="360" w:hanging="328"/>
        <w:spacing w:after="0" w:line="203" w:lineRule="auto"/>
        <w:tabs>
          <w:tab w:leader="none" w:pos="660" w:val="left"/>
        </w:tabs>
        <w:numPr>
          <w:ilvl w:val="0"/>
          <w:numId w:val="14"/>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b w:val="1"/>
          <w:bCs w:val="1"/>
          <w:color w:val="auto"/>
        </w:rPr>
        <w:t>Bloomin’ does not does produce an annual sustainability report, nor does it report to CDP Climate Change or Forests</w:t>
      </w:r>
      <w:r>
        <w:rPr>
          <w:rFonts w:ascii="Times New Roman" w:cs="Times New Roman" w:eastAsia="Times New Roman" w:hAnsi="Times New Roman"/>
          <w:sz w:val="27"/>
          <w:szCs w:val="27"/>
          <w:b w:val="1"/>
          <w:bCs w:val="1"/>
          <w:color w:val="auto"/>
          <w:vertAlign w:val="superscript"/>
        </w:rPr>
        <w:t>49</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contrast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Yum! Brands </w:t>
      </w:r>
      <w:r>
        <w:rPr>
          <w:rFonts w:ascii="Times New Roman" w:cs="Times New Roman" w:eastAsia="Times New Roman" w:hAnsi="Times New Roman"/>
          <w:sz w:val="27"/>
          <w:szCs w:val="27"/>
          <w:color w:val="auto"/>
          <w:vertAlign w:val="superscript"/>
        </w:rPr>
        <w:t>50</w:t>
      </w:r>
      <w:r>
        <w:rPr>
          <w:rFonts w:ascii="Times New Roman" w:cs="Times New Roman" w:eastAsia="Times New Roman" w:hAnsi="Times New Roman"/>
          <w:sz w:val="17"/>
          <w:szCs w:val="17"/>
          <w:color w:val="auto"/>
        </w:rPr>
        <w:t xml:space="preserve">, McDonald’s </w:t>
      </w:r>
      <w:r>
        <w:rPr>
          <w:rFonts w:ascii="Times New Roman" w:cs="Times New Roman" w:eastAsia="Times New Roman" w:hAnsi="Times New Roman"/>
          <w:sz w:val="27"/>
          <w:szCs w:val="27"/>
          <w:color w:val="auto"/>
          <w:vertAlign w:val="superscript"/>
        </w:rPr>
        <w:t>51</w:t>
      </w:r>
      <w:r>
        <w:rPr>
          <w:rFonts w:ascii="Times New Roman" w:cs="Times New Roman" w:eastAsia="Times New Roman" w:hAnsi="Times New Roman"/>
          <w:sz w:val="17"/>
          <w:szCs w:val="17"/>
          <w:color w:val="auto"/>
        </w:rPr>
        <w:t xml:space="preserve"> and Restaurant Brands International,</w:t>
      </w:r>
      <w:r>
        <w:rPr>
          <w:rFonts w:ascii="Times New Roman" w:cs="Times New Roman" w:eastAsia="Times New Roman" w:hAnsi="Times New Roman"/>
          <w:sz w:val="27"/>
          <w:szCs w:val="27"/>
          <w:color w:val="auto"/>
          <w:vertAlign w:val="superscript"/>
        </w:rPr>
        <w:t>52</w:t>
      </w:r>
      <w:r>
        <w:rPr>
          <w:rFonts w:ascii="Times New Roman" w:cs="Times New Roman" w:eastAsia="Times New Roman" w:hAnsi="Times New Roman"/>
          <w:sz w:val="17"/>
          <w:szCs w:val="17"/>
          <w:color w:val="auto"/>
        </w:rPr>
        <w:t xml:space="preserve"> all of which submit reports both to CDP Climate Change and Forests.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200" w:hanging="192"/>
        <w:spacing w:after="0" w:line="211" w:lineRule="auto"/>
        <w:tabs>
          <w:tab w:leader="none" w:pos="20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1155CC"/>
        </w:rPr>
        <w:t>https://www.rbi.com/English/sustainability/planet/default.aspx</w:t>
      </w:r>
    </w:p>
    <w:p>
      <w:pPr>
        <w:spacing w:after="0" w:line="42" w:lineRule="exact"/>
        <w:rPr>
          <w:rFonts w:ascii="Times New Roman" w:cs="Times New Roman" w:eastAsia="Times New Roman" w:hAnsi="Times New Roman"/>
          <w:sz w:val="28"/>
          <w:szCs w:val="28"/>
          <w:color w:val="auto"/>
          <w:vertAlign w:val="superscript"/>
        </w:rPr>
      </w:pPr>
    </w:p>
    <w:p>
      <w:pPr>
        <w:ind w:right="200" w:firstLine="8"/>
        <w:spacing w:after="0" w:line="199" w:lineRule="auto"/>
        <w:tabs>
          <w:tab w:leader="none" w:pos="195"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1155CC"/>
        </w:rPr>
        <w:t>https://www.cdp.net/en/articles/investor/a-record-263-financial-institutions-with-us31-trillion-demand-environmental-data-from-1400-non-disclosing-companies</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1" w:lineRule="auto"/>
        <w:tabs>
          <w:tab w:leader="none" w:pos="20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1155CC"/>
        </w:rPr>
        <w:t>https://engagements.ceres.org/ceres_engagementdetailpage?recID=a0l1H00000BsuHFQAZ</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0563C1"/>
        </w:rPr>
        <w:t>https://www.bloominbrands.com/our-commitment/our-environment</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https://www.bloominbrands.com/our-commitment/our-ingredients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0563C1"/>
        </w:rPr>
        <w:t>https://www.tcfdhub.org/recommendations/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0563C1"/>
        </w:rPr>
        <w:t>https://investors.bloominbrands.com/static-files/dae745f6-ef7c-42a5-bd22-2c0d7a8a5c41</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0563C1"/>
        </w:rPr>
        <w:t>https://www.blackrock.com/corporate/investor-relations/2020-larry-fink-ceo-letter</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https://www.blackrock.com/corporate/investor-relations/2021-larry-fink-ceo-letter</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https://www.cdp.net/en/responses?queries%5Bname%5D=bloomin%27+brands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https://www.cdp.net/en/responses?queries%5Bname%5D=YUM+brands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0563C1"/>
        </w:rPr>
        <w:t>https://www.cdp.net/en/responses?utf8=%E2%9C%93&amp;queries%5Bname%5D=McDonald%27s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0563C1"/>
        </w:rPr>
        <w:t>https://www.cdp.net/en/responses?utf8=%E2%9C%93&amp;queries%5Bname%5D=restaurant+brands+international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14"/>
          <w:szCs w:val="14"/>
          <w:color w:val="auto"/>
        </w:rPr>
        <w:t xml:space="preserve">6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expectations for climate risk mitigation are evolving.</w:t>
      </w:r>
    </w:p>
    <w:p>
      <w:pPr>
        <w:spacing w:after="0" w:line="229" w:lineRule="exact"/>
        <w:rPr>
          <w:sz w:val="20"/>
          <w:szCs w:val="20"/>
          <w:color w:val="auto"/>
        </w:rPr>
      </w:pPr>
    </w:p>
    <w:p>
      <w:pPr>
        <w:ind w:left="660" w:right="180" w:hanging="328"/>
        <w:spacing w:after="0" w:line="20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BlackRock announced in 2021 that it expects all companies it invests in to disclose plans for aligning their business models with a net zero greenhouse gas emission economy by 2050.</w:t>
      </w:r>
      <w:r>
        <w:rPr>
          <w:rFonts w:ascii="Times New Roman" w:cs="Times New Roman" w:eastAsia="Times New Roman" w:hAnsi="Times New Roman"/>
          <w:sz w:val="29"/>
          <w:szCs w:val="29"/>
          <w:color w:val="auto"/>
          <w:vertAlign w:val="superscript"/>
        </w:rPr>
        <w:t>53</w:t>
      </w:r>
      <w:r>
        <w:rPr>
          <w:rFonts w:ascii="Times New Roman" w:cs="Times New Roman" w:eastAsia="Times New Roman" w:hAnsi="Times New Roman"/>
          <w:sz w:val="18"/>
          <w:szCs w:val="18"/>
          <w:color w:val="auto"/>
        </w:rPr>
        <w:t xml:space="preserve"> BlackRock also released commentary in March 2021 about natural capital as an investment issue, including its expectations for deforestation risk management.</w:t>
      </w:r>
      <w:r>
        <w:rPr>
          <w:rFonts w:ascii="Times New Roman" w:cs="Times New Roman" w:eastAsia="Times New Roman" w:hAnsi="Times New Roman"/>
          <w:sz w:val="29"/>
          <w:szCs w:val="29"/>
          <w:color w:val="auto"/>
          <w:vertAlign w:val="superscript"/>
        </w:rPr>
        <w:t>54</w:t>
      </w:r>
    </w:p>
    <w:p>
      <w:pPr>
        <w:spacing w:after="0" w:line="2" w:lineRule="exact"/>
        <w:rPr>
          <w:rFonts w:ascii="Times New Roman" w:cs="Times New Roman" w:eastAsia="Times New Roman" w:hAnsi="Times New Roman"/>
          <w:sz w:val="18"/>
          <w:szCs w:val="18"/>
          <w:color w:val="auto"/>
        </w:rPr>
      </w:pPr>
    </w:p>
    <w:p>
      <w:pPr>
        <w:ind w:left="660" w:right="140" w:hanging="328"/>
        <w:spacing w:after="0" w:line="23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a coalition of investors representing $11.4 trillion dollars in assets under management called on Bloomin’s quick service and fast-casual competitors, including McDonald’s, Chipotle and Wendy’s, to take meaningful action to address emissions in their meat and dairy supply chains.</w:t>
      </w:r>
      <w:r>
        <w:rPr>
          <w:rFonts w:ascii="Times New Roman" w:cs="Times New Roman" w:eastAsia="Times New Roman" w:hAnsi="Times New Roman"/>
          <w:sz w:val="29"/>
          <w:szCs w:val="29"/>
          <w:color w:val="auto"/>
          <w:vertAlign w:val="superscript"/>
        </w:rPr>
        <w:t>55</w:t>
      </w:r>
    </w:p>
    <w:p>
      <w:pPr>
        <w:ind w:left="660" w:right="40" w:hanging="328"/>
        <w:spacing w:after="0" w:line="187" w:lineRule="auto"/>
        <w:tabs>
          <w:tab w:leader="none" w:pos="660" w:val="left"/>
        </w:tabs>
        <w:numPr>
          <w:ilvl w:val="0"/>
          <w:numId w:val="1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forthcoming SEC guidelines on climate change-related risk</w:t>
      </w:r>
      <w:r>
        <w:rPr>
          <w:rFonts w:ascii="Times New Roman" w:cs="Times New Roman" w:eastAsia="Times New Roman" w:hAnsi="Times New Roman"/>
          <w:sz w:val="29"/>
          <w:szCs w:val="29"/>
          <w:color w:val="auto"/>
          <w:vertAlign w:val="superscript"/>
        </w:rPr>
        <w:t>56</w:t>
      </w:r>
      <w:r>
        <w:rPr>
          <w:rFonts w:ascii="Times New Roman" w:cs="Times New Roman" w:eastAsia="Times New Roman" w:hAnsi="Times New Roman"/>
          <w:sz w:val="18"/>
          <w:szCs w:val="18"/>
          <w:color w:val="auto"/>
        </w:rPr>
        <w:t xml:space="preserve"> are strongly supported by investors.</w:t>
      </w:r>
      <w:r>
        <w:rPr>
          <w:rFonts w:ascii="Times New Roman" w:cs="Times New Roman" w:eastAsia="Times New Roman" w:hAnsi="Times New Roman"/>
          <w:sz w:val="29"/>
          <w:szCs w:val="29"/>
          <w:color w:val="auto"/>
          <w:vertAlign w:val="superscript"/>
        </w:rPr>
        <w:t>57</w:t>
      </w:r>
      <w:r>
        <w:rPr>
          <w:rFonts w:ascii="Times New Roman" w:cs="Times New Roman" w:eastAsia="Times New Roman" w:hAnsi="Times New Roman"/>
          <w:sz w:val="18"/>
          <w:szCs w:val="18"/>
          <w:color w:val="auto"/>
        </w:rPr>
        <w:t xml:space="preserve"> Regardless of the rule’s final language and timing, investor expectations related to climate risk are evolving and Bloomin’ may be viewed as a laggard if it fails to align with this broader shift.</w:t>
      </w:r>
    </w:p>
    <w:p>
      <w:pPr>
        <w:spacing w:after="0" w:line="200" w:lineRule="exact"/>
        <w:rPr>
          <w:sz w:val="20"/>
          <w:szCs w:val="20"/>
          <w:color w:val="auto"/>
        </w:rPr>
      </w:pPr>
    </w:p>
    <w:p>
      <w:pPr>
        <w:spacing w:after="0" w:line="21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REPUTATIONAL RISKS</w:t>
      </w:r>
    </w:p>
    <w:p>
      <w:pPr>
        <w:spacing w:after="0" w:line="233"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7"/>
          <w:szCs w:val="17"/>
          <w:color w:val="auto"/>
        </w:rPr>
        <w:t>Bloomin’ cites the inability “to anticipate or successfully respond to changes in consumer preferences” as a risk in its 2022 10-K.</w:t>
      </w:r>
      <w:r>
        <w:rPr>
          <w:rFonts w:ascii="Times New Roman" w:cs="Times New Roman" w:eastAsia="Times New Roman" w:hAnsi="Times New Roman"/>
          <w:sz w:val="28"/>
          <w:szCs w:val="28"/>
          <w:color w:val="auto"/>
          <w:vertAlign w:val="superscript"/>
        </w:rPr>
        <w:t>58</w:t>
      </w:r>
      <w:r>
        <w:rPr>
          <w:rFonts w:ascii="Times New Roman" w:cs="Times New Roman" w:eastAsia="Times New Roman" w:hAnsi="Times New Roman"/>
          <w:sz w:val="17"/>
          <w:szCs w:val="17"/>
          <w:color w:val="auto"/>
        </w:rPr>
        <w:t xml:space="preserve"> Growing concern about climate change is shifting consumer preferences: according to a 2020 Capgemini study, 79% of consumers are changing their purchasing preferences based</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8"/>
          <w:szCs w:val="18"/>
          <w:color w:val="auto"/>
        </w:rPr>
        <w:t>on sustainability.</w:t>
      </w:r>
      <w:r>
        <w:rPr>
          <w:rFonts w:ascii="Times New Roman" w:cs="Times New Roman" w:eastAsia="Times New Roman" w:hAnsi="Times New Roman"/>
          <w:sz w:val="29"/>
          <w:szCs w:val="29"/>
          <w:color w:val="auto"/>
          <w:vertAlign w:val="superscript"/>
        </w:rPr>
        <w:t>59</w:t>
      </w:r>
      <w:r>
        <w:rPr>
          <w:rFonts w:ascii="Times New Roman" w:cs="Times New Roman" w:eastAsia="Times New Roman" w:hAnsi="Times New Roman"/>
          <w:sz w:val="18"/>
          <w:szCs w:val="18"/>
          <w:color w:val="auto"/>
        </w:rPr>
        <w:t xml:space="preserve"> Negative attention from media and NGO campaigns is also increasing public awareness of deforestation as an environmental concern. Bloomin’s lack of policies for total greenhouse gas emission reduction targets and prevention of deforestation in its supply chains heightens its potential for reputational damage.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Companies linked to deforestation may receive negative attention, impairing brand reputation.</w:t>
      </w:r>
    </w:p>
    <w:p>
      <w:pPr>
        <w:spacing w:after="0" w:line="231" w:lineRule="exact"/>
        <w:rPr>
          <w:sz w:val="20"/>
          <w:szCs w:val="20"/>
          <w:color w:val="auto"/>
        </w:rPr>
      </w:pPr>
    </w:p>
    <w:p>
      <w:pPr>
        <w:ind w:left="660" w:right="80" w:hanging="328"/>
        <w:spacing w:after="0" w:line="189" w:lineRule="auto"/>
        <w:tabs>
          <w:tab w:leader="none" w:pos="660" w:val="left"/>
        </w:tabs>
        <w:numPr>
          <w:ilvl w:val="0"/>
          <w:numId w:val="1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Major media outlets including </w:t>
      </w:r>
      <w:r>
        <w:rPr>
          <w:rFonts w:ascii="Times New Roman" w:cs="Times New Roman" w:eastAsia="Times New Roman" w:hAnsi="Times New Roman"/>
          <w:sz w:val="18"/>
          <w:szCs w:val="18"/>
          <w:i w:val="1"/>
          <w:iCs w:val="1"/>
          <w:color w:val="auto"/>
        </w:rPr>
        <w:t>The New York Times,</w:t>
      </w:r>
      <w:r>
        <w:rPr>
          <w:rFonts w:ascii="Times New Roman" w:cs="Times New Roman" w:eastAsia="Times New Roman" w:hAnsi="Times New Roman"/>
          <w:sz w:val="29"/>
          <w:szCs w:val="29"/>
          <w:i w:val="1"/>
          <w:iCs w:val="1"/>
          <w:color w:val="auto"/>
          <w:vertAlign w:val="superscript"/>
        </w:rPr>
        <w:t>60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Washington Post</w:t>
      </w:r>
      <w:r>
        <w:rPr>
          <w:rFonts w:ascii="Times New Roman" w:cs="Times New Roman" w:eastAsia="Times New Roman" w:hAnsi="Times New Roman"/>
          <w:sz w:val="29"/>
          <w:szCs w:val="29"/>
          <w:i w:val="1"/>
          <w:iCs w:val="1"/>
          <w:color w:val="auto"/>
          <w:vertAlign w:val="superscript"/>
        </w:rPr>
        <w:t>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Bloomberg</w:t>
      </w:r>
      <w:r>
        <w:rPr>
          <w:rFonts w:ascii="Times New Roman" w:cs="Times New Roman" w:eastAsia="Times New Roman" w:hAnsi="Times New Roman"/>
          <w:sz w:val="29"/>
          <w:szCs w:val="29"/>
          <w:i w:val="1"/>
          <w:iCs w:val="1"/>
          <w:color w:val="auto"/>
          <w:vertAlign w:val="superscript"/>
        </w:rPr>
        <w:t>62</w:t>
      </w:r>
      <w:r>
        <w:rPr>
          <w:rFonts w:ascii="Times New Roman" w:cs="Times New Roman" w:eastAsia="Times New Roman" w:hAnsi="Times New Roman"/>
          <w:sz w:val="18"/>
          <w:szCs w:val="18"/>
          <w:color w:val="auto"/>
        </w:rPr>
        <w:t xml:space="preserve"> are increasingly covering deforestation, exposing laggard companies to reputational risk.</w:t>
      </w:r>
    </w:p>
    <w:p>
      <w:pPr>
        <w:ind w:left="660" w:right="640" w:hanging="328"/>
        <w:spacing w:after="0" w:line="21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Chain Reaction Research, which analyzes financial risk in soft commodity supply chains, has calculated that reputation events can impact company value by as much as 30 percent.</w:t>
      </w:r>
      <w:r>
        <w:rPr>
          <w:rFonts w:ascii="Times New Roman" w:cs="Times New Roman" w:eastAsia="Times New Roman" w:hAnsi="Times New Roman"/>
          <w:sz w:val="29"/>
          <w:szCs w:val="29"/>
          <w:color w:val="auto"/>
          <w:vertAlign w:val="superscript"/>
        </w:rPr>
        <w:t>63</w:t>
      </w:r>
    </w:p>
    <w:p>
      <w:pPr>
        <w:spacing w:after="0" w:line="1" w:lineRule="exact"/>
        <w:rPr>
          <w:rFonts w:ascii="Times New Roman" w:cs="Times New Roman" w:eastAsia="Times New Roman" w:hAnsi="Times New Roman"/>
          <w:sz w:val="18"/>
          <w:szCs w:val="18"/>
          <w:color w:val="auto"/>
        </w:rPr>
      </w:pPr>
    </w:p>
    <w:p>
      <w:pPr>
        <w:ind w:left="660" w:right="120" w:hanging="328"/>
        <w:spacing w:after="0" w:line="209"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Influential NGOs have targeted companies, including restaurant brands with exposure to deforestation, in high-profile campaigns. Bloomin’ peer Burger King, for example, was the subject of an anti-deforestation campaign led by a coalition of NGOs</w:t>
      </w:r>
      <w:r>
        <w:rPr>
          <w:rFonts w:ascii="Times New Roman" w:cs="Times New Roman" w:eastAsia="Times New Roman" w:hAnsi="Times New Roman"/>
          <w:sz w:val="29"/>
          <w:szCs w:val="29"/>
          <w:color w:val="auto"/>
          <w:vertAlign w:val="superscript"/>
        </w:rPr>
        <w:t>64</w:t>
      </w:r>
      <w:r>
        <w:rPr>
          <w:rFonts w:ascii="Times New Roman" w:cs="Times New Roman" w:eastAsia="Times New Roman" w:hAnsi="Times New Roman"/>
          <w:sz w:val="18"/>
          <w:szCs w:val="18"/>
          <w:color w:val="auto"/>
        </w:rPr>
        <w:t xml:space="preserve"> that prompted articles linking the company to deforestation in the </w:t>
      </w:r>
      <w:r>
        <w:rPr>
          <w:rFonts w:ascii="Times New Roman" w:cs="Times New Roman" w:eastAsia="Times New Roman" w:hAnsi="Times New Roman"/>
          <w:sz w:val="18"/>
          <w:szCs w:val="18"/>
          <w:i w:val="1"/>
          <w:iCs w:val="1"/>
          <w:color w:val="auto"/>
        </w:rPr>
        <w:t>BBC</w:t>
      </w:r>
      <w:r>
        <w:rPr>
          <w:rFonts w:ascii="Times New Roman" w:cs="Times New Roman" w:eastAsia="Times New Roman" w:hAnsi="Times New Roman"/>
          <w:sz w:val="29"/>
          <w:szCs w:val="29"/>
          <w:i w:val="1"/>
          <w:iCs w:val="1"/>
          <w:color w:val="auto"/>
          <w:vertAlign w:val="superscript"/>
        </w:rPr>
        <w:t>65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Guardian.</w:t>
      </w:r>
      <w:r>
        <w:rPr>
          <w:rFonts w:ascii="Times New Roman" w:cs="Times New Roman" w:eastAsia="Times New Roman" w:hAnsi="Times New Roman"/>
          <w:sz w:val="29"/>
          <w:szCs w:val="29"/>
          <w:i w:val="1"/>
          <w:iCs w:val="1"/>
          <w:color w:val="auto"/>
          <w:vertAlign w:val="superscript"/>
        </w:rPr>
        <w:t>66</w:t>
      </w:r>
      <w:r>
        <w:rPr>
          <w:rFonts w:ascii="Times New Roman" w:cs="Times New Roman" w:eastAsia="Times New Roman" w:hAnsi="Times New Roman"/>
          <w:sz w:val="18"/>
          <w:szCs w:val="18"/>
          <w:color w:val="auto"/>
        </w:rPr>
        <w:t xml:space="preserve"> The attention ultimately led Restaurant Brands International, Burger King’s parent company, to adopt new sustainability commitments.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ind w:left="200" w:hanging="192"/>
        <w:spacing w:after="0" w:line="214" w:lineRule="auto"/>
        <w:tabs>
          <w:tab w:leader="none" w:pos="200" w:val="left"/>
        </w:tabs>
        <w:numPr>
          <w:ilvl w:val="0"/>
          <w:numId w:val="1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1155CC"/>
        </w:rPr>
        <w:t>https://www.blackrock.com/corporate/investor-relations/2021-larry-fink-ceo-letter</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0563C1"/>
        </w:rPr>
        <w:t>https://www.blackrock.com/corporate/literature/publication/blk-commentary-engagement-on-natural-capital.pdf</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0563C1"/>
        </w:rPr>
        <w:t>https://www.forbes.com/sites/mikescott/2020/02/07/fast-food-companies-need-to-step-up-on-climate-water-action-investors-warn/</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https://www.sec.gov/news/press-release/2022-46</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https://www.ceres.org/news-center/blog/analysis-shows-investors-strongly-support-secs-proposed-climate-disclosure-rule</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https://investors.bloominbrands.com/static-files/082d94f0-181a-4fe6-8bc8-00a59e0fac2d</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0563C1"/>
        </w:rPr>
        <w:t>https://www.capgemini.com/wp-content/uploads/2020/07/20-06_9880_Sustainability-in-CPR_Final_Web-1.pdf</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https://www.nytimes.com/2023/01/04/magazine/amazon-tipping-point.html?action=click&amp;module=RelatedLinks&amp;pgtype=Article</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https://www.washingtonpost.com/world/2022/10/12/amazon-deforestation-takeaways/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https://www.bloomberg.com/news/articles/2023-01-26/destruction-of-amazon-rainforest-puts-plants-animals-humans-at-risk</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https://chainreactionresearch.com/wp-content/uploads/2019/05/Reputation-Risk-and-FMCGs.pdf</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http://www.mightyearth.org/burger-king-commits-to-stop-destroying-rainforestsin-13-years/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https://www.bbc.com/news/uk-49973997</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https://www.theguardian.com/environment/2017/mar/01/burger-king-animal-feed-sourced-from-deforested-lands-in-brazil-and-bolivia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6" w:name="page7"/>
    <w:bookmarkEnd w:id="6"/>
    <w:p>
      <w:pPr>
        <w:ind w:left="40"/>
        <w:spacing w:after="0"/>
        <w:rPr>
          <w:sz w:val="20"/>
          <w:szCs w:val="20"/>
          <w:color w:val="auto"/>
        </w:rPr>
      </w:pPr>
      <w:r>
        <w:rPr>
          <w:rFonts w:ascii="Times New Roman" w:cs="Times New Roman" w:eastAsia="Times New Roman" w:hAnsi="Times New Roman"/>
          <w:sz w:val="14"/>
          <w:szCs w:val="14"/>
          <w:color w:val="auto"/>
        </w:rPr>
        <w:t xml:space="preserve">7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Bloomin’ lacks sufficient policies and disclosure of efforts to address the risks posed by greenhouse gas emissions from its supply chain. Issuing near- and long-term science-based GHG reduction targets for the Company’s full supply chain would help it to address operational, competitive, and reputational risk.</w:t>
      </w:r>
    </w:p>
    <w:p>
      <w:pPr>
        <w:spacing w:after="0" w:line="3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Shareholders are urged to vote FOR the proposal asking Bloomin’ to issue near- and long-term science-based GHG reduction targets covering its full supply chain.</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For questions regarding this proposal, please contact Annie Sanders, Green Century Capital Management, </w:t>
      </w:r>
      <w:r>
        <w:rPr>
          <w:rFonts w:ascii="Times New Roman" w:cs="Times New Roman" w:eastAsia="Times New Roman" w:hAnsi="Times New Roman"/>
          <w:sz w:val="18"/>
          <w:szCs w:val="18"/>
          <w:i w:val="1"/>
          <w:iCs w:val="1"/>
          <w:color w:val="0563C1"/>
        </w:rPr>
        <w:t>asanders@greencentury.com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 Please DO NOT send us your proxy card; Green Century Capital Management is not able to vote your proxies, nor does this communication contemplate such an event. Green Century Capital Management urges shareholders to vote for Item Number 6 following the instruction provided on the management’s proxy mailing.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-436245</wp:posOffset>
            </wp:positionV>
            <wp:extent cx="7136130" cy="4330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4330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473710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22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4"/>
    </w:lvl>
  </w:abstractNum>
  <w:abstractNum w:abstractNumId="7">
    <w:nsid w:val="109CF92E"/>
    <w:multiLevelType w:val="hybridMultilevel"/>
    <w:lvl w:ilvl="0">
      <w:lvlJc w:val="left"/>
      <w:lvlText w:val="%1."/>
      <w:numFmt w:val="decimal"/>
      <w:start w:val="2"/>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27"/>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3"/>
    </w:lvl>
  </w:abstractNum>
  <w:abstractNum w:abstractNumId="13">
    <w:nsid w:val="4E6AFB66"/>
    <w:multiLevelType w:val="hybridMultilevel"/>
    <w:lvl w:ilvl="0">
      <w:lvlJc w:val="left"/>
      <w:lvlText w:val="●"/>
      <w:numFmt w:val="bullet"/>
      <w:start w:val="1"/>
    </w:lvl>
    <w:lvl w:ilvl="1">
      <w:lvlJc w:val="left"/>
      <w:lvlText w:val="○"/>
      <w:numFmt w:val="bullet"/>
      <w:start w:val="1"/>
    </w:lvl>
  </w:abstractNum>
  <w:abstractNum w:abstractNumId="14">
    <w:nsid w:val="25E45D32"/>
    <w:multiLevelType w:val="hybridMultilevel"/>
    <w:lvl w:ilvl="0">
      <w:lvlJc w:val="left"/>
      <w:lvlText w:val="%1"/>
      <w:numFmt w:val="decimal"/>
      <w:start w:val="40"/>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4"/>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5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2023-03-14T13:55:57Z</dcterms:created>
  <dcterms:modified xsi:type="dcterms:W3CDTF">2023-03-14T13:55:57Z</dcterms:modified>
</cp:coreProperties>
</file>