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598170</wp:posOffset>
            </wp:positionH>
            <wp:positionV relativeFrom="page">
              <wp:posOffset>367030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318135</wp:posOffset>
            </wp:positionV>
            <wp:extent cx="6805930" cy="33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33020"/>
                    </a:xfrm>
                    <a:prstGeom prst="rect">
                      <a:avLst/>
                    </a:prstGeom>
                    <a:noFill/>
                  </pic:spPr>
                </pic:pic>
              </a:graphicData>
            </a:graphic>
          </wp:anchor>
        </w:drawing>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Washington, D.C. 20549</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10-Q</w:t>
      </w:r>
    </w:p>
    <w:p>
      <w:pPr>
        <w:spacing w:after="0" w:line="137" w:lineRule="exact"/>
        <w:rPr>
          <w:sz w:val="24"/>
          <w:szCs w:val="24"/>
          <w:color w:val="auto"/>
        </w:rPr>
      </w:pPr>
    </w:p>
    <w:p>
      <w:pPr>
        <w:ind w:left="540"/>
        <w:spacing w:after="0"/>
        <w:rPr>
          <w:sz w:val="20"/>
          <w:szCs w:val="20"/>
          <w:color w:val="auto"/>
        </w:rPr>
      </w:pPr>
      <w:r>
        <w:rPr>
          <w:rFonts w:ascii="Arial" w:cs="Arial" w:eastAsia="Arial" w:hAnsi="Arial"/>
          <w:sz w:val="19"/>
          <w:szCs w:val="19"/>
          <w:b w:val="1"/>
          <w:bCs w:val="1"/>
          <w:color w:val="auto"/>
        </w:rPr>
        <w:t>(Mark One)</w:t>
      </w:r>
    </w:p>
    <w:p>
      <w:pPr>
        <w:spacing w:after="0" w:line="20" w:lineRule="exact"/>
        <w:rPr>
          <w:sz w:val="24"/>
          <w:szCs w:val="24"/>
          <w:color w:val="auto"/>
        </w:rPr>
      </w:pPr>
    </w:p>
    <w:p>
      <w:pPr>
        <w:ind w:left="1680" w:right="660" w:hanging="800"/>
        <w:spacing w:after="0" w:line="190" w:lineRule="auto"/>
        <w:tabs>
          <w:tab w:leader="none" w:pos="1680" w:val="left"/>
        </w:tabs>
        <w:numPr>
          <w:ilvl w:val="0"/>
          <w:numId w:val="1"/>
        </w:numPr>
        <w:rPr>
          <w:rFonts w:ascii="MS PGothic" w:cs="MS PGothic" w:eastAsia="MS PGothic" w:hAnsi="MS PGothic"/>
          <w:sz w:val="31"/>
          <w:szCs w:val="3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 w:lineRule="exact"/>
        <w:rPr>
          <w:rFonts w:ascii="MS PGothic" w:cs="MS PGothic" w:eastAsia="MS PGothic" w:hAnsi="MS PGothic"/>
          <w:sz w:val="31"/>
          <w:szCs w:val="31"/>
          <w:color w:val="auto"/>
        </w:rPr>
      </w:pPr>
    </w:p>
    <w:p>
      <w:pPr>
        <w:ind w:left="1680"/>
        <w:spacing w:after="0"/>
        <w:rPr>
          <w:rFonts w:ascii="MS PGothic" w:cs="MS PGothic" w:eastAsia="MS PGothic" w:hAnsi="MS PGothic"/>
          <w:sz w:val="31"/>
          <w:szCs w:val="31"/>
          <w:color w:val="auto"/>
        </w:rPr>
      </w:pPr>
      <w:r>
        <w:rPr>
          <w:rFonts w:ascii="Arial" w:cs="Arial" w:eastAsia="Arial" w:hAnsi="Arial"/>
          <w:sz w:val="19"/>
          <w:szCs w:val="19"/>
          <w:color w:val="auto"/>
        </w:rPr>
        <w:t>For the quarterly period ended March 27, 2022</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or</w:t>
      </w:r>
    </w:p>
    <w:p>
      <w:pPr>
        <w:spacing w:after="0" w:line="6" w:lineRule="exact"/>
        <w:rPr>
          <w:sz w:val="24"/>
          <w:szCs w:val="24"/>
          <w:color w:val="auto"/>
        </w:rPr>
      </w:pPr>
    </w:p>
    <w:p>
      <w:pPr>
        <w:ind w:left="1680" w:right="640" w:hanging="800"/>
        <w:spacing w:after="0" w:line="190" w:lineRule="auto"/>
        <w:tabs>
          <w:tab w:leader="none" w:pos="1680" w:val="left"/>
        </w:tabs>
        <w:numPr>
          <w:ilvl w:val="0"/>
          <w:numId w:val="2"/>
        </w:numPr>
        <w:rPr>
          <w:rFonts w:ascii="MS PGothic" w:cs="MS PGothic" w:eastAsia="MS PGothic" w:hAnsi="MS PGothic"/>
          <w:sz w:val="31"/>
          <w:szCs w:val="3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 w:lineRule="exact"/>
        <w:rPr>
          <w:rFonts w:ascii="MS PGothic" w:cs="MS PGothic" w:eastAsia="MS PGothic" w:hAnsi="MS PGothic"/>
          <w:sz w:val="31"/>
          <w:szCs w:val="31"/>
          <w:color w:val="auto"/>
        </w:rPr>
      </w:pPr>
    </w:p>
    <w:p>
      <w:pPr>
        <w:ind w:left="1680"/>
        <w:spacing w:after="0"/>
        <w:rPr>
          <w:rFonts w:ascii="MS PGothic" w:cs="MS PGothic" w:eastAsia="MS PGothic" w:hAnsi="MS PGothic"/>
          <w:sz w:val="31"/>
          <w:szCs w:val="31"/>
          <w:color w:val="auto"/>
        </w:rPr>
      </w:pPr>
      <w:r>
        <w:rPr>
          <w:rFonts w:ascii="Arial" w:cs="Arial" w:eastAsia="Arial" w:hAnsi="Arial"/>
          <w:sz w:val="19"/>
          <w:szCs w:val="19"/>
          <w:color w:val="auto"/>
        </w:rPr>
        <w:t>For the transition period from ______ to ______</w:t>
      </w:r>
    </w:p>
    <w:p>
      <w:pPr>
        <w:spacing w:after="0" w:line="83"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3161665</wp:posOffset>
            </wp:positionH>
            <wp:positionV relativeFrom="paragraph">
              <wp:posOffset>158750</wp:posOffset>
            </wp:positionV>
            <wp:extent cx="826770" cy="131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6770" cy="1318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59"/>
        <w:spacing w:after="0"/>
        <w:rPr>
          <w:sz w:val="20"/>
          <w:szCs w:val="20"/>
          <w:color w:val="auto"/>
        </w:rPr>
      </w:pPr>
      <w:r>
        <w:rPr>
          <w:rFonts w:ascii="Arial" w:cs="Arial" w:eastAsia="Arial" w:hAnsi="Arial"/>
          <w:sz w:val="41"/>
          <w:szCs w:val="41"/>
          <w:b w:val="1"/>
          <w:bCs w:val="1"/>
          <w:color w:val="auto"/>
        </w:rPr>
        <w:t>BLOOMIN’ BRANDS, INC.</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200"/>
          </w:cols>
          <w:pgMar w:left="320" w:top="890" w:right="379" w:bottom="287" w:gutter="0" w:footer="0" w:header="0"/>
        </w:sectPr>
      </w:pPr>
    </w:p>
    <w:p>
      <w:pPr>
        <w:spacing w:after="0" w:line="106" w:lineRule="exact"/>
        <w:rPr>
          <w:sz w:val="24"/>
          <w:szCs w:val="24"/>
          <w:color w:val="auto"/>
        </w:rPr>
      </w:pPr>
    </w:p>
    <w:p>
      <w:pPr>
        <w:jc w:val="center"/>
        <w:ind w:right="940"/>
        <w:spacing w:after="0"/>
        <w:rPr>
          <w:sz w:val="20"/>
          <w:szCs w:val="20"/>
          <w:color w:val="auto"/>
        </w:rPr>
      </w:pPr>
      <w:r>
        <w:rPr>
          <w:rFonts w:ascii="Arial" w:cs="Arial" w:eastAsia="Arial" w:hAnsi="Arial"/>
          <w:sz w:val="15"/>
          <w:szCs w:val="15"/>
          <w:b w:val="1"/>
          <w:bCs w:val="1"/>
          <w:color w:val="auto"/>
        </w:rPr>
        <w:t>Delaware</w:t>
      </w:r>
    </w:p>
    <w:p>
      <w:pPr>
        <w:spacing w:after="0" w:line="40" w:lineRule="exact"/>
        <w:rPr>
          <w:sz w:val="24"/>
          <w:szCs w:val="24"/>
          <w:color w:val="auto"/>
        </w:rPr>
      </w:pPr>
    </w:p>
    <w:p>
      <w:pPr>
        <w:jc w:val="center"/>
        <w:ind w:right="9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1740"/>
        <w:spacing w:after="0"/>
        <w:rPr>
          <w:sz w:val="20"/>
          <w:szCs w:val="20"/>
          <w:color w:val="auto"/>
        </w:rPr>
      </w:pPr>
      <w:r>
        <w:rPr>
          <w:rFonts w:ascii="Arial" w:cs="Arial" w:eastAsia="Arial" w:hAnsi="Arial"/>
          <w:sz w:val="15"/>
          <w:szCs w:val="15"/>
          <w:b w:val="1"/>
          <w:bCs w:val="1"/>
          <w:color w:val="auto"/>
        </w:rPr>
        <w:t>20-8023465</w:t>
      </w:r>
    </w:p>
    <w:p>
      <w:pPr>
        <w:spacing w:after="0" w:line="40" w:lineRule="exact"/>
        <w:rPr>
          <w:sz w:val="24"/>
          <w:szCs w:val="24"/>
          <w:color w:val="auto"/>
        </w:rPr>
      </w:pPr>
    </w:p>
    <w:p>
      <w:pPr>
        <w:jc w:val="center"/>
        <w:ind w:right="1740"/>
        <w:spacing w:after="0"/>
        <w:rPr>
          <w:sz w:val="20"/>
          <w:szCs w:val="20"/>
          <w:color w:val="auto"/>
        </w:rPr>
      </w:pPr>
      <w:r>
        <w:rPr>
          <w:rFonts w:ascii="Arial" w:cs="Arial" w:eastAsia="Arial" w:hAnsi="Arial"/>
          <w:sz w:val="14"/>
          <w:szCs w:val="14"/>
          <w:color w:val="auto"/>
        </w:rPr>
        <w:t>(IRS Employer Identification No.)</w:t>
      </w:r>
    </w:p>
    <w:p>
      <w:pPr>
        <w:spacing w:after="0" w:line="108" w:lineRule="exact"/>
        <w:rPr>
          <w:sz w:val="24"/>
          <w:szCs w:val="24"/>
          <w:color w:val="auto"/>
        </w:rPr>
      </w:pPr>
    </w:p>
    <w:p>
      <w:pPr>
        <w:sectPr>
          <w:pgSz w:w="11900" w:h="16838" w:orient="portrait"/>
          <w:cols w:equalWidth="0" w:num="2">
            <w:col w:w="6620" w:space="720"/>
            <w:col w:w="3860"/>
          </w:cols>
          <w:pgMar w:left="320" w:top="890" w:right="379" w:bottom="287" w:gutter="0" w:footer="0" w:header="0"/>
          <w:type w:val="continuous"/>
        </w:sectPr>
      </w:pPr>
    </w:p>
    <w:p>
      <w:pPr>
        <w:jc w:val="center"/>
        <w:ind w:right="-59"/>
        <w:spacing w:after="0"/>
        <w:rPr>
          <w:sz w:val="20"/>
          <w:szCs w:val="20"/>
          <w:color w:val="auto"/>
        </w:rPr>
      </w:pPr>
      <w:r>
        <w:rPr>
          <w:rFonts w:ascii="Arial" w:cs="Arial" w:eastAsia="Arial" w:hAnsi="Arial"/>
          <w:sz w:val="17"/>
          <w:szCs w:val="17"/>
          <w:b w:val="1"/>
          <w:bCs w:val="1"/>
          <w:color w:val="auto"/>
        </w:rPr>
        <w:t>2202 North West Shore Boulevard, Suite 500, Tampa, FL 33607</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(Address of principal executive offices)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(813) 282-1225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(Registrant’s telephone number, including area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ectPr>
          <w:pgSz w:w="11900" w:h="16838" w:orient="portrait"/>
          <w:cols w:equalWidth="0" w:num="1">
            <w:col w:w="11200"/>
          </w:cols>
          <w:pgMar w:left="320" w:top="890" w:right="379" w:bottom="287" w:gutter="0" w:footer="0" w:header="0"/>
          <w:type w:val="continuous"/>
        </w:sectPr>
      </w:pPr>
    </w:p>
    <w:p>
      <w:pPr>
        <w:spacing w:after="0" w:line="200" w:lineRule="exact"/>
        <w:rPr>
          <w:sz w:val="24"/>
          <w:szCs w:val="24"/>
          <w:color w:val="auto"/>
        </w:rPr>
      </w:pPr>
    </w:p>
    <w:p>
      <w:pPr>
        <w:spacing w:after="0" w:line="349" w:lineRule="exact"/>
        <w:rPr>
          <w:sz w:val="24"/>
          <w:szCs w:val="24"/>
          <w:color w:val="auto"/>
        </w:rPr>
      </w:pPr>
    </w:p>
    <w:p>
      <w:pPr>
        <w:jc w:val="center"/>
        <w:ind w:left="1200"/>
        <w:spacing w:after="0"/>
        <w:rPr>
          <w:sz w:val="20"/>
          <w:szCs w:val="20"/>
          <w:color w:val="auto"/>
        </w:rPr>
      </w:pPr>
      <w:r>
        <w:rPr>
          <w:rFonts w:ascii="Arial" w:cs="Arial" w:eastAsia="Arial" w:hAnsi="Arial"/>
          <w:sz w:val="15"/>
          <w:szCs w:val="15"/>
          <w:color w:val="auto"/>
        </w:rPr>
        <w:t>Title of each class</w:t>
      </w:r>
    </w:p>
    <w:p>
      <w:pPr>
        <w:spacing w:after="0" w:line="28" w:lineRule="exact"/>
        <w:rPr>
          <w:sz w:val="24"/>
          <w:szCs w:val="24"/>
          <w:color w:val="auto"/>
        </w:rPr>
      </w:pPr>
    </w:p>
    <w:p>
      <w:pPr>
        <w:jc w:val="center"/>
        <w:ind w:left="1160"/>
        <w:spacing w:after="0"/>
        <w:rPr>
          <w:sz w:val="20"/>
          <w:szCs w:val="20"/>
          <w:color w:val="auto"/>
        </w:rPr>
      </w:pPr>
      <w:r>
        <w:rPr>
          <w:rFonts w:ascii="Arial" w:cs="Arial" w:eastAsia="Arial" w:hAnsi="Arial"/>
          <w:sz w:val="13"/>
          <w:szCs w:val="13"/>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48" w:lineRule="exact"/>
        <w:rPr>
          <w:sz w:val="24"/>
          <w:szCs w:val="24"/>
          <w:color w:val="auto"/>
        </w:rPr>
      </w:pPr>
    </w:p>
    <w:p>
      <w:pPr>
        <w:ind w:left="1340"/>
        <w:spacing w:after="0"/>
        <w:rPr>
          <w:sz w:val="20"/>
          <w:szCs w:val="20"/>
          <w:color w:val="auto"/>
        </w:rPr>
      </w:pPr>
      <w:r>
        <w:rPr>
          <w:rFonts w:ascii="Arial" w:cs="Arial" w:eastAsia="Arial" w:hAnsi="Arial"/>
          <w:sz w:val="15"/>
          <w:szCs w:val="15"/>
          <w:color w:val="auto"/>
        </w:rPr>
        <w:t>Trading Symbol(s)</w:t>
      </w:r>
    </w:p>
    <w:p>
      <w:pPr>
        <w:spacing w:after="0" w:line="28" w:lineRule="exact"/>
        <w:rPr>
          <w:sz w:val="24"/>
          <w:szCs w:val="24"/>
          <w:color w:val="auto"/>
        </w:rPr>
      </w:pPr>
    </w:p>
    <w:p>
      <w:pPr>
        <w:ind w:left="1700"/>
        <w:spacing w:after="0"/>
        <w:rPr>
          <w:sz w:val="20"/>
          <w:szCs w:val="20"/>
          <w:color w:val="auto"/>
        </w:rPr>
      </w:pPr>
      <w:r>
        <w:rPr>
          <w:rFonts w:ascii="Arial" w:cs="Arial" w:eastAsia="Arial" w:hAnsi="Arial"/>
          <w:sz w:val="15"/>
          <w:szCs w:val="15"/>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9" w:lineRule="exact"/>
        <w:rPr>
          <w:sz w:val="24"/>
          <w:szCs w:val="24"/>
          <w:color w:val="auto"/>
        </w:rPr>
      </w:pPr>
    </w:p>
    <w:p>
      <w:pPr>
        <w:jc w:val="center"/>
        <w:ind w:right="640"/>
        <w:spacing w:after="0" w:line="267" w:lineRule="auto"/>
        <w:rPr>
          <w:sz w:val="20"/>
          <w:szCs w:val="20"/>
          <w:color w:val="auto"/>
        </w:rPr>
      </w:pPr>
      <w:r>
        <w:rPr>
          <w:rFonts w:ascii="Arial" w:cs="Arial" w:eastAsia="Arial" w:hAnsi="Arial"/>
          <w:sz w:val="15"/>
          <w:szCs w:val="15"/>
          <w:color w:val="auto"/>
        </w:rPr>
        <w:t xml:space="preserve">Name of each exchange on which registered </w:t>
      </w:r>
      <w:r>
        <w:rPr>
          <w:rFonts w:ascii="Arial" w:cs="Arial" w:eastAsia="Arial" w:hAnsi="Arial"/>
          <w:sz w:val="15"/>
          <w:szCs w:val="15"/>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3220" w:space="620"/>
            <w:col w:w="3560" w:space="420"/>
            <w:col w:w="3380"/>
          </w:cols>
          <w:pgMar w:left="320" w:top="890" w:right="379" w:bottom="287" w:gutter="0" w:footer="0" w:header="0"/>
          <w:type w:val="continuous"/>
        </w:sectPr>
      </w:pPr>
    </w:p>
    <w:p>
      <w:pPr>
        <w:spacing w:after="0" w:line="84" w:lineRule="exact"/>
        <w:rPr>
          <w:sz w:val="24"/>
          <w:szCs w:val="24"/>
          <w:color w:val="auto"/>
        </w:rPr>
      </w:pPr>
    </w:p>
    <w:p>
      <w:pPr>
        <w:spacing w:after="0" w:line="29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276" w:lineRule="exact"/>
        <w:rPr>
          <w:sz w:val="20"/>
          <w:szCs w:val="20"/>
          <w:color w:val="auto"/>
        </w:rPr>
      </w:pPr>
      <w:r>
        <w:rPr>
          <w:rFonts w:ascii="Arial" w:cs="Arial" w:eastAsia="Arial" w:hAnsi="Arial"/>
          <w:sz w:val="17"/>
          <w:szCs w:val="17"/>
          <w:color w:val="auto"/>
        </w:rPr>
        <w:t xml:space="preserve">past 90 days. Yes </w:t>
      </w:r>
      <w:r>
        <w:rPr>
          <w:rFonts w:ascii="MS PGothic" w:cs="MS PGothic" w:eastAsia="MS PGothic" w:hAnsi="MS PGothic"/>
          <w:sz w:val="24"/>
          <w:szCs w:val="24"/>
          <w:color w:val="auto"/>
        </w:rPr>
        <w:t>☒</w:t>
      </w:r>
      <w:r>
        <w:rPr>
          <w:rFonts w:ascii="Arial" w:cs="Arial" w:eastAsia="Arial" w:hAnsi="Arial"/>
          <w:sz w:val="17"/>
          <w:szCs w:val="17"/>
          <w:color w:val="auto"/>
        </w:rPr>
        <w:t xml:space="preserve"> No </w:t>
      </w:r>
      <w:r>
        <w:rPr>
          <w:rFonts w:ascii="MS PGothic" w:cs="MS PGothic" w:eastAsia="MS PGothic" w:hAnsi="MS PGothic"/>
          <w:sz w:val="24"/>
          <w:szCs w:val="24"/>
          <w:color w:val="auto"/>
        </w:rPr>
        <w:t>☐</w:t>
      </w:r>
    </w:p>
    <w:p>
      <w:pPr>
        <w:spacing w:after="0" w:line="231" w:lineRule="exact"/>
        <w:rPr>
          <w:sz w:val="24"/>
          <w:szCs w:val="24"/>
          <w:color w:val="auto"/>
        </w:rPr>
      </w:pPr>
    </w:p>
    <w:p>
      <w:pPr>
        <w:ind w:right="20"/>
        <w:spacing w:after="0" w:line="26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5"/>
          <w:szCs w:val="15"/>
          <w:color w:val="auto"/>
        </w:rPr>
        <w:t xml:space="preserve"> No </w:t>
      </w:r>
      <w:r>
        <w:rPr>
          <w:rFonts w:ascii="MS PGothic" w:cs="MS PGothic" w:eastAsia="MS PGothic" w:hAnsi="MS PGothic"/>
          <w:sz w:val="21"/>
          <w:szCs w:val="21"/>
          <w:color w:val="auto"/>
        </w:rPr>
        <w:t>☐</w:t>
      </w:r>
    </w:p>
    <w:p>
      <w:pPr>
        <w:spacing w:after="0" w:line="187" w:lineRule="exact"/>
        <w:rPr>
          <w:sz w:val="24"/>
          <w:szCs w:val="24"/>
          <w:color w:val="auto"/>
        </w:rPr>
      </w:pPr>
    </w:p>
    <w:p>
      <w:pPr>
        <w:jc w:val="both"/>
        <w:ind w:right="4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p>
      <w:pPr>
        <w:jc w:val="center"/>
        <w:ind w:right="-59"/>
        <w:spacing w:after="0" w:line="27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24"/>
          <w:szCs w:val="24"/>
          <w:color w:val="auto"/>
        </w:rPr>
        <w:t>☒</w:t>
      </w:r>
      <w:r>
        <w:rPr>
          <w:rFonts w:ascii="Arial" w:cs="Arial" w:eastAsia="Arial" w:hAnsi="Arial"/>
          <w:sz w:val="17"/>
          <w:szCs w:val="17"/>
          <w:color w:val="auto"/>
        </w:rPr>
        <w:t xml:space="preserve"> Accelerated filer </w:t>
      </w:r>
      <w:r>
        <w:rPr>
          <w:rFonts w:ascii="MS PGothic" w:cs="MS PGothic" w:eastAsia="MS PGothic" w:hAnsi="MS PGothic"/>
          <w:sz w:val="24"/>
          <w:szCs w:val="24"/>
          <w:color w:val="auto"/>
        </w:rPr>
        <w:t>☐</w:t>
      </w:r>
      <w:r>
        <w:rPr>
          <w:rFonts w:ascii="Arial" w:cs="Arial" w:eastAsia="Arial" w:hAnsi="Arial"/>
          <w:sz w:val="17"/>
          <w:szCs w:val="17"/>
          <w:color w:val="auto"/>
        </w:rPr>
        <w:t xml:space="preserve"> Non-accelerated filer </w:t>
      </w:r>
      <w:r>
        <w:rPr>
          <w:rFonts w:ascii="MS PGothic" w:cs="MS PGothic" w:eastAsia="MS PGothic" w:hAnsi="MS PGothic"/>
          <w:sz w:val="24"/>
          <w:szCs w:val="24"/>
          <w:color w:val="auto"/>
        </w:rPr>
        <w:t>☐</w:t>
      </w:r>
    </w:p>
    <w:p>
      <w:pPr>
        <w:spacing w:after="0" w:line="64" w:lineRule="exact"/>
        <w:rPr>
          <w:sz w:val="24"/>
          <w:szCs w:val="24"/>
          <w:color w:val="auto"/>
        </w:rPr>
      </w:pPr>
    </w:p>
    <w:p>
      <w:pPr>
        <w:jc w:val="center"/>
        <w:ind w:right="-59"/>
        <w:spacing w:after="0" w:line="2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24"/>
          <w:szCs w:val="24"/>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24"/>
          <w:szCs w:val="24"/>
          <w:color w:val="auto"/>
        </w:rPr>
        <w:t>☐</w:t>
      </w:r>
    </w:p>
    <w:p>
      <w:pPr>
        <w:spacing w:after="0" w:line="231" w:lineRule="exact"/>
        <w:rPr>
          <w:sz w:val="24"/>
          <w:szCs w:val="24"/>
          <w:color w:val="auto"/>
        </w:rPr>
      </w:pPr>
    </w:p>
    <w:p>
      <w:pPr>
        <w:ind w:right="440"/>
        <w:spacing w:after="0" w:line="26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4"/>
          <w:szCs w:val="24"/>
          <w:color w:val="auto"/>
        </w:rPr>
        <w:t>☐</w:t>
      </w:r>
    </w:p>
    <w:p>
      <w:pPr>
        <w:spacing w:after="0" w:line="140" w:lineRule="exact"/>
        <w:rPr>
          <w:sz w:val="24"/>
          <w:szCs w:val="24"/>
          <w:color w:val="auto"/>
        </w:rPr>
      </w:pPr>
    </w:p>
    <w:p>
      <w:pPr>
        <w:spacing w:after="0" w:line="27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4"/>
          <w:szCs w:val="24"/>
          <w:color w:val="auto"/>
        </w:rPr>
        <w:t>☐</w:t>
      </w:r>
      <w:r>
        <w:rPr>
          <w:rFonts w:ascii="Arial" w:cs="Arial" w:eastAsia="Arial" w:hAnsi="Arial"/>
          <w:sz w:val="17"/>
          <w:szCs w:val="17"/>
          <w:color w:val="auto"/>
        </w:rPr>
        <w:t xml:space="preserve"> No </w:t>
      </w:r>
      <w:r>
        <w:rPr>
          <w:rFonts w:ascii="MS PGothic" w:cs="MS PGothic" w:eastAsia="MS PGothic" w:hAnsi="MS PGothic"/>
          <w:sz w:val="24"/>
          <w:szCs w:val="24"/>
          <w:color w:val="auto"/>
        </w:rPr>
        <w:t>☒</w:t>
      </w:r>
    </w:p>
    <w:p>
      <w:pPr>
        <w:spacing w:after="0" w:line="287" w:lineRule="exact"/>
        <w:rPr>
          <w:sz w:val="24"/>
          <w:szCs w:val="24"/>
          <w:color w:val="auto"/>
        </w:rPr>
      </w:pPr>
    </w:p>
    <w:p>
      <w:pPr>
        <w:spacing w:after="0"/>
        <w:rPr>
          <w:sz w:val="20"/>
          <w:szCs w:val="20"/>
          <w:color w:val="auto"/>
        </w:rPr>
      </w:pPr>
      <w:r>
        <w:rPr>
          <w:rFonts w:ascii="Arial" w:cs="Arial" w:eastAsia="Arial" w:hAnsi="Arial"/>
          <w:sz w:val="17"/>
          <w:szCs w:val="17"/>
          <w:color w:val="auto"/>
        </w:rPr>
        <w:t>As of April 28, 2022, 88,702,869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247650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104775</wp:posOffset>
            </wp:positionV>
            <wp:extent cx="7138670"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88265</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890" w:right="379" w:bottom="287" w:gutter="0" w:footer="0" w:header="0"/>
          <w:type w:val="continuous"/>
        </w:sectPr>
      </w:pPr>
    </w:p>
    <w:bookmarkStart w:id="1" w:name="page2"/>
    <w:bookmarkEnd w:id="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66"/>
        </w:trPr>
        <w:tc>
          <w:tcPr>
            <w:tcW w:w="980" w:type="dxa"/>
            <w:vAlign w:val="bottom"/>
            <w:tcBorders>
              <w:top w:val="single" w:sz="8" w:color="0000FF"/>
            </w:tcBorders>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720" w:type="dxa"/>
            <w:vAlign w:val="bottom"/>
            <w:gridSpan w:val="12"/>
          </w:tcPr>
          <w:p>
            <w:pPr>
              <w:jc w:val="center"/>
              <w:ind w:right="2320"/>
              <w:spacing w:after="0"/>
              <w:rPr>
                <w:sz w:val="20"/>
                <w:szCs w:val="20"/>
                <w:color w:val="auto"/>
              </w:rPr>
            </w:pPr>
            <w:r>
              <w:rPr>
                <w:rFonts w:ascii="Arial" w:cs="Arial" w:eastAsia="Arial" w:hAnsi="Arial"/>
                <w:sz w:val="19"/>
                <w:szCs w:val="19"/>
                <w:b w:val="1"/>
                <w:bCs w:val="1"/>
                <w:color w:val="auto"/>
              </w:rPr>
              <w:t>BLOOMIN’ BRANDS, INC.</w:t>
            </w: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8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gridSpan w:val="16"/>
          </w:tcPr>
          <w:p>
            <w:pPr>
              <w:jc w:val="center"/>
              <w:ind w:right="1360"/>
              <w:spacing w:after="0"/>
              <w:rPr>
                <w:sz w:val="20"/>
                <w:szCs w:val="20"/>
                <w:color w:val="auto"/>
              </w:rPr>
            </w:pPr>
            <w:r>
              <w:rPr>
                <w:rFonts w:ascii="Arial" w:cs="Arial" w:eastAsia="Arial" w:hAnsi="Arial"/>
                <w:sz w:val="19"/>
                <w:szCs w:val="19"/>
                <w:color w:val="auto"/>
                <w:w w:val="94"/>
              </w:rPr>
              <w:t>INDEX TO QUARTERLY REPORT ON FORM 10-Q</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80" w:type="dxa"/>
            <w:vAlign w:val="bottom"/>
            <w:gridSpan w:val="14"/>
          </w:tcPr>
          <w:p>
            <w:pPr>
              <w:jc w:val="center"/>
              <w:ind w:right="2160"/>
              <w:spacing w:after="0"/>
              <w:rPr>
                <w:sz w:val="20"/>
                <w:szCs w:val="20"/>
                <w:color w:val="auto"/>
              </w:rPr>
            </w:pPr>
            <w:r>
              <w:rPr>
                <w:rFonts w:ascii="Arial" w:cs="Arial" w:eastAsia="Arial" w:hAnsi="Arial"/>
                <w:sz w:val="19"/>
                <w:szCs w:val="19"/>
                <w:color w:val="auto"/>
                <w:w w:val="90"/>
              </w:rPr>
              <w:t>For the Quarterly Period Ended March 27, 2022</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0"/>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11"/>
          </w:tcPr>
          <w:p>
            <w:pPr>
              <w:jc w:val="center"/>
              <w:ind w:right="3140"/>
              <w:spacing w:after="0"/>
              <w:rPr>
                <w:sz w:val="20"/>
                <w:szCs w:val="20"/>
                <w:color w:val="auto"/>
              </w:rPr>
            </w:pPr>
            <w:r>
              <w:rPr>
                <w:rFonts w:ascii="Arial" w:cs="Arial" w:eastAsia="Arial" w:hAnsi="Arial"/>
                <w:sz w:val="19"/>
                <w:szCs w:val="19"/>
                <w:color w:val="auto"/>
                <w:w w:val="92"/>
              </w:rPr>
              <w:t>(Unaudited)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51"/>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2"/>
          </w:tcPr>
          <w:p>
            <w:pPr>
              <w:jc w:val="center"/>
              <w:ind w:right="2320"/>
              <w:spacing w:after="0"/>
              <w:rPr>
                <w:sz w:val="20"/>
                <w:szCs w:val="20"/>
                <w:color w:val="auto"/>
              </w:rPr>
            </w:pPr>
            <w:r>
              <w:rPr>
                <w:rFonts w:ascii="Arial" w:cs="Arial" w:eastAsia="Arial" w:hAnsi="Arial"/>
                <w:sz w:val="19"/>
                <w:szCs w:val="19"/>
                <w:color w:val="auto"/>
                <w:w w:val="95"/>
              </w:rPr>
              <w:t>TABLE OF CONTENTS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7"/>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14"/>
          </w:tcPr>
          <w:p>
            <w:pPr>
              <w:jc w:val="center"/>
              <w:ind w:right="2660"/>
              <w:spacing w:after="0"/>
              <w:rPr>
                <w:rFonts w:ascii="Arial" w:cs="Arial" w:eastAsia="Arial" w:hAnsi="Arial"/>
                <w:sz w:val="19"/>
                <w:szCs w:val="19"/>
                <w:color w:val="0000FF"/>
                <w:w w:val="98"/>
              </w:rPr>
            </w:pPr>
            <w:hyperlink w:anchor="page2">
              <w:r>
                <w:rPr>
                  <w:rFonts w:ascii="Arial" w:cs="Arial" w:eastAsia="Arial" w:hAnsi="Arial"/>
                  <w:sz w:val="19"/>
                  <w:szCs w:val="19"/>
                  <w:color w:val="0000FF"/>
                  <w:w w:val="98"/>
                </w:rPr>
                <w:t>PART I — FINANCIAL INFORMATION</w:t>
              </w:r>
            </w:hyperlink>
          </w:p>
        </w:tc>
        <w:tc>
          <w:tcPr>
            <w:tcW w:w="1600" w:type="dxa"/>
            <w:vAlign w:val="bottom"/>
            <w:gridSpan w:val="5"/>
          </w:tcPr>
          <w:p>
            <w:pPr>
              <w:ind w:left="460"/>
              <w:spacing w:after="0"/>
              <w:rPr>
                <w:sz w:val="20"/>
                <w:szCs w:val="20"/>
                <w:color w:val="auto"/>
              </w:rPr>
            </w:pPr>
            <w:r>
              <w:rPr>
                <w:rFonts w:ascii="Arial" w:cs="Arial" w:eastAsia="Arial" w:hAnsi="Arial"/>
                <w:sz w:val="19"/>
                <w:szCs w:val="19"/>
                <w:color w:val="auto"/>
              </w:rPr>
              <w:t>Page No.</w:t>
            </w:r>
          </w:p>
        </w:tc>
      </w:tr>
      <w:tr>
        <w:trPr>
          <w:trHeight w:val="24"/>
        </w:trPr>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2"/>
        </w:trPr>
        <w:tc>
          <w:tcPr>
            <w:tcW w:w="980" w:type="dxa"/>
            <w:vAlign w:val="bottom"/>
          </w:tcPr>
          <w:p>
            <w:pPr>
              <w:ind w:left="20"/>
              <w:spacing w:after="0"/>
              <w:rPr>
                <w:sz w:val="20"/>
                <w:szCs w:val="20"/>
                <w:color w:val="auto"/>
              </w:rPr>
            </w:pPr>
            <w:r>
              <w:rPr>
                <w:rFonts w:ascii="Arial" w:cs="Arial" w:eastAsia="Arial" w:hAnsi="Arial"/>
                <w:sz w:val="19"/>
                <w:szCs w:val="19"/>
                <w:color w:val="auto"/>
              </w:rPr>
              <w:t>Item 1.</w:t>
            </w:r>
          </w:p>
        </w:tc>
        <w:tc>
          <w:tcPr>
            <w:tcW w:w="140" w:type="dxa"/>
            <w:vAlign w:val="bottom"/>
          </w:tcPr>
          <w:p>
            <w:pPr>
              <w:spacing w:after="0"/>
              <w:rPr>
                <w:sz w:val="20"/>
                <w:szCs w:val="20"/>
                <w:color w:val="auto"/>
              </w:rPr>
            </w:pPr>
          </w:p>
        </w:tc>
        <w:tc>
          <w:tcPr>
            <w:tcW w:w="8520" w:type="dxa"/>
            <w:vAlign w:val="bottom"/>
            <w:gridSpan w:val="24"/>
          </w:tcPr>
          <w:p>
            <w:pPr>
              <w:spacing w:after="0"/>
              <w:rPr>
                <w:rFonts w:ascii="Arial" w:cs="Arial" w:eastAsia="Arial" w:hAnsi="Arial"/>
                <w:sz w:val="19"/>
                <w:szCs w:val="19"/>
                <w:color w:val="0000FF"/>
              </w:rPr>
            </w:pPr>
            <w:hyperlink w:anchor="page3">
              <w:r>
                <w:rPr>
                  <w:rFonts w:ascii="Arial" w:cs="Arial" w:eastAsia="Arial" w:hAnsi="Arial"/>
                  <w:sz w:val="19"/>
                  <w:szCs w:val="19"/>
                  <w:color w:val="0000FF"/>
                </w:rPr>
                <w:t>Financial Statements (Unaudited)</w:t>
              </w:r>
            </w:hyperlink>
          </w:p>
        </w:tc>
        <w:tc>
          <w:tcPr>
            <w:tcW w:w="900" w:type="dxa"/>
            <w:vAlign w:val="bottom"/>
            <w:gridSpan w:val="4"/>
          </w:tcPr>
          <w:p>
            <w:pPr>
              <w:jc w:val="center"/>
              <w:ind w:left="626"/>
              <w:spacing w:after="0"/>
              <w:rPr>
                <w:rFonts w:ascii="Arial" w:cs="Arial" w:eastAsia="Arial" w:hAnsi="Arial"/>
                <w:sz w:val="19"/>
                <w:szCs w:val="19"/>
                <w:color w:val="0000FF"/>
                <w:w w:val="94"/>
              </w:rPr>
            </w:pPr>
            <w:hyperlink w:anchor="page3">
              <w:r>
                <w:rPr>
                  <w:rFonts w:ascii="Arial" w:cs="Arial" w:eastAsia="Arial" w:hAnsi="Arial"/>
                  <w:sz w:val="19"/>
                  <w:szCs w:val="19"/>
                  <w:color w:val="0000FF"/>
                  <w:w w:val="94"/>
                </w:rPr>
                <w:t>3</w:t>
              </w:r>
            </w:hyperlink>
          </w:p>
        </w:tc>
        <w:tc>
          <w:tcPr>
            <w:tcW w:w="700" w:type="dxa"/>
            <w:vAlign w:val="bottom"/>
          </w:tcPr>
          <w:p>
            <w:pPr>
              <w:spacing w:after="0"/>
              <w:rPr>
                <w:sz w:val="20"/>
                <w:szCs w:val="20"/>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5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00" w:type="dxa"/>
            <w:vAlign w:val="bottom"/>
            <w:gridSpan w:val="23"/>
          </w:tcPr>
          <w:p>
            <w:pPr>
              <w:ind w:left="100"/>
              <w:spacing w:after="0"/>
              <w:rPr>
                <w:rFonts w:ascii="Arial" w:cs="Arial" w:eastAsia="Arial" w:hAnsi="Arial"/>
                <w:sz w:val="19"/>
                <w:szCs w:val="19"/>
                <w:color w:val="0000FF"/>
              </w:rPr>
            </w:pPr>
            <w:hyperlink w:anchor="page3">
              <w:r>
                <w:rPr>
                  <w:rFonts w:ascii="Arial" w:cs="Arial" w:eastAsia="Arial" w:hAnsi="Arial"/>
                  <w:sz w:val="19"/>
                  <w:szCs w:val="19"/>
                  <w:color w:val="0000FF"/>
                </w:rPr>
                <w:t>Consolidated Financial Statements:</w:t>
              </w:r>
            </w:hyperlink>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80" w:type="dxa"/>
            <w:vAlign w:val="bottom"/>
            <w:gridSpan w:val="20"/>
          </w:tcPr>
          <w:p>
            <w:pPr>
              <w:spacing w:after="0"/>
              <w:rPr>
                <w:rFonts w:ascii="Arial" w:cs="Arial" w:eastAsia="Arial" w:hAnsi="Arial"/>
                <w:sz w:val="19"/>
                <w:szCs w:val="19"/>
                <w:color w:val="0000FF"/>
              </w:rPr>
            </w:pPr>
            <w:hyperlink w:anchor="page3">
              <w:r>
                <w:rPr>
                  <w:rFonts w:ascii="Arial" w:cs="Arial" w:eastAsia="Arial" w:hAnsi="Arial"/>
                  <w:sz w:val="19"/>
                  <w:szCs w:val="19"/>
                  <w:color w:val="0000FF"/>
                </w:rPr>
                <w:t xml:space="preserve">Consolidated Balance Sheets — March </w:t>
              </w:r>
            </w:hyperlink>
            <w:r>
              <w:rPr>
                <w:rFonts w:ascii="Arial" w:cs="Arial" w:eastAsia="Arial" w:hAnsi="Arial"/>
                <w:sz w:val="19"/>
                <w:szCs w:val="19"/>
                <w:color w:val="0000FF"/>
              </w:rPr>
              <w:t xml:space="preserve">27, 2022 </w:t>
            </w:r>
            <w:hyperlink w:anchor="page3">
              <w:r>
                <w:rPr>
                  <w:rFonts w:ascii="Arial" w:cs="Arial" w:eastAsia="Arial" w:hAnsi="Arial"/>
                  <w:sz w:val="19"/>
                  <w:szCs w:val="19"/>
                  <w:color w:val="0000FF"/>
                </w:rPr>
                <w:t xml:space="preserve">and December </w:t>
              </w:r>
            </w:hyperlink>
            <w:r>
              <w:rPr>
                <w:rFonts w:ascii="Arial" w:cs="Arial" w:eastAsia="Arial" w:hAnsi="Arial"/>
                <w:sz w:val="19"/>
                <w:szCs w:val="19"/>
                <w:color w:val="0000FF"/>
              </w:rPr>
              <w:t>26, 2021</w:t>
            </w:r>
          </w:p>
        </w:tc>
        <w:tc>
          <w:tcPr>
            <w:tcW w:w="1740" w:type="dxa"/>
            <w:vAlign w:val="bottom"/>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3">
              <w:r>
                <w:rPr>
                  <w:rFonts w:ascii="Arial" w:cs="Arial" w:eastAsia="Arial" w:hAnsi="Arial"/>
                  <w:sz w:val="19"/>
                  <w:szCs w:val="19"/>
                  <w:color w:val="0000FF"/>
                  <w:w w:val="94"/>
                </w:rPr>
                <w:t>3</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9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80" w:type="dxa"/>
            <w:vAlign w:val="bottom"/>
            <w:gridSpan w:val="20"/>
          </w:tcPr>
          <w:p>
            <w:pPr>
              <w:spacing w:after="0"/>
              <w:rPr>
                <w:rFonts w:ascii="Arial" w:cs="Arial" w:eastAsia="Arial" w:hAnsi="Arial"/>
                <w:sz w:val="19"/>
                <w:szCs w:val="19"/>
                <w:color w:val="0000FF"/>
              </w:rPr>
            </w:pPr>
            <w:hyperlink w:anchor="page3">
              <w:r>
                <w:rPr>
                  <w:rFonts w:ascii="Arial" w:cs="Arial" w:eastAsia="Arial" w:hAnsi="Arial"/>
                  <w:sz w:val="19"/>
                  <w:szCs w:val="19"/>
                  <w:color w:val="0000FF"/>
                </w:rPr>
                <w:t>Consolidated Statements of Operations and Comprehensive Income —</w:t>
              </w:r>
            </w:hyperlink>
          </w:p>
        </w:tc>
        <w:tc>
          <w:tcPr>
            <w:tcW w:w="1740" w:type="dxa"/>
            <w:vAlign w:val="bottom"/>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3">
              <w:r>
                <w:rPr>
                  <w:rFonts w:ascii="Arial" w:cs="Arial" w:eastAsia="Arial" w:hAnsi="Arial"/>
                  <w:sz w:val="19"/>
                  <w:szCs w:val="19"/>
                  <w:color w:val="0000FF"/>
                  <w:w w:val="94"/>
                </w:rPr>
                <w:t>4</w:t>
              </w:r>
            </w:hyperlink>
          </w:p>
        </w:tc>
        <w:tc>
          <w:tcPr>
            <w:tcW w:w="700" w:type="dxa"/>
            <w:vAlign w:val="bottom"/>
          </w:tcPr>
          <w:p>
            <w:pPr>
              <w:spacing w:after="0"/>
              <w:rPr>
                <w:sz w:val="24"/>
                <w:szCs w:val="24"/>
                <w:color w:val="auto"/>
              </w:rPr>
            </w:pPr>
          </w:p>
        </w:tc>
      </w:tr>
      <w:tr>
        <w:trPr>
          <w:trHeight w:val="140"/>
        </w:trPr>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40" w:type="dxa"/>
            <w:vAlign w:val="bottom"/>
            <w:tcBorders>
              <w:top w:val="single" w:sz="8" w:color="0000FF"/>
              <w:bottom w:val="single" w:sz="8" w:color="0000FF"/>
            </w:tcBorders>
            <w:gridSpan w:val="15"/>
          </w:tcPr>
          <w:p>
            <w:pPr>
              <w:spacing w:after="0" w:line="141" w:lineRule="exact"/>
              <w:rPr>
                <w:rFonts w:ascii="Arial" w:cs="Arial" w:eastAsia="Arial" w:hAnsi="Arial"/>
                <w:sz w:val="16"/>
                <w:szCs w:val="16"/>
                <w:color w:val="0000FF"/>
              </w:rPr>
            </w:pPr>
            <w:hyperlink w:anchor="page3">
              <w:r>
                <w:rPr>
                  <w:rFonts w:ascii="Arial" w:cs="Arial" w:eastAsia="Arial" w:hAnsi="Arial"/>
                  <w:sz w:val="16"/>
                  <w:szCs w:val="16"/>
                  <w:color w:val="0000FF"/>
                </w:rPr>
                <w:t xml:space="preserve">For the Thirteen Weeks Ended March </w:t>
              </w:r>
            </w:hyperlink>
            <w:r>
              <w:rPr>
                <w:rFonts w:ascii="Arial" w:cs="Arial" w:eastAsia="Arial" w:hAnsi="Arial"/>
                <w:sz w:val="16"/>
                <w:szCs w:val="16"/>
                <w:color w:val="0000FF"/>
              </w:rPr>
              <w:t xml:space="preserve">27, </w:t>
            </w:r>
            <w:hyperlink w:anchor="page3">
              <w:r>
                <w:rPr>
                  <w:rFonts w:ascii="Arial" w:cs="Arial" w:eastAsia="Arial" w:hAnsi="Arial"/>
                  <w:sz w:val="16"/>
                  <w:szCs w:val="16"/>
                  <w:color w:val="0000FF"/>
                </w:rPr>
                <w:t xml:space="preserve">2022 and March 28, </w:t>
              </w:r>
            </w:hyperlink>
            <w:r>
              <w:rPr>
                <w:rFonts w:ascii="Arial" w:cs="Arial" w:eastAsia="Arial" w:hAnsi="Arial"/>
                <w:sz w:val="16"/>
                <w:szCs w:val="16"/>
                <w:color w:val="0000FF"/>
              </w:rPr>
              <w:t>2021</w:t>
            </w:r>
          </w:p>
        </w:tc>
        <w:tc>
          <w:tcPr>
            <w:tcW w:w="2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44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13"/>
          </w:tcPr>
          <w:p>
            <w:pPr>
              <w:spacing w:after="0"/>
              <w:rPr>
                <w:rFonts w:ascii="Arial" w:cs="Arial" w:eastAsia="Arial" w:hAnsi="Arial"/>
                <w:sz w:val="19"/>
                <w:szCs w:val="19"/>
                <w:color w:val="0000FF"/>
                <w:w w:val="90"/>
              </w:rPr>
            </w:pPr>
            <w:hyperlink w:anchor="page4">
              <w:r>
                <w:rPr>
                  <w:rFonts w:ascii="Arial" w:cs="Arial" w:eastAsia="Arial" w:hAnsi="Arial"/>
                  <w:sz w:val="19"/>
                  <w:szCs w:val="19"/>
                  <w:color w:val="0000FF"/>
                  <w:w w:val="90"/>
                </w:rPr>
                <w:t>Consolidated Statements of Changes in Stockholders’ Equity —</w:t>
              </w:r>
            </w:hyperlink>
          </w:p>
        </w:tc>
        <w:tc>
          <w:tcPr>
            <w:tcW w:w="3360" w:type="dxa"/>
            <w:vAlign w:val="bottom"/>
            <w:gridSpan w:val="8"/>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4">
              <w:r>
                <w:rPr>
                  <w:rFonts w:ascii="Arial" w:cs="Arial" w:eastAsia="Arial" w:hAnsi="Arial"/>
                  <w:sz w:val="19"/>
                  <w:szCs w:val="19"/>
                  <w:color w:val="0000FF"/>
                  <w:w w:val="94"/>
                </w:rPr>
                <w:t>5</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0"/>
        </w:trPr>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20" w:type="dxa"/>
            <w:vAlign w:val="bottom"/>
            <w:gridSpan w:val="21"/>
          </w:tcPr>
          <w:p>
            <w:pPr>
              <w:spacing w:after="0" w:line="141" w:lineRule="exact"/>
              <w:rPr>
                <w:rFonts w:ascii="Arial" w:cs="Arial" w:eastAsia="Arial" w:hAnsi="Arial"/>
                <w:sz w:val="16"/>
                <w:szCs w:val="16"/>
                <w:color w:val="0000FF"/>
              </w:rPr>
            </w:pPr>
            <w:hyperlink w:anchor="page4">
              <w:r>
                <w:rPr>
                  <w:rFonts w:ascii="Arial" w:cs="Arial" w:eastAsia="Arial" w:hAnsi="Arial"/>
                  <w:sz w:val="16"/>
                  <w:szCs w:val="16"/>
                  <w:color w:val="0000FF"/>
                </w:rPr>
                <w:t xml:space="preserve">For the Thirteen Weeks Ended March </w:t>
              </w:r>
            </w:hyperlink>
            <w:r>
              <w:rPr>
                <w:rFonts w:ascii="Arial" w:cs="Arial" w:eastAsia="Arial" w:hAnsi="Arial"/>
                <w:sz w:val="16"/>
                <w:szCs w:val="16"/>
                <w:color w:val="0000FF"/>
              </w:rPr>
              <w:t xml:space="preserve">27, </w:t>
            </w:r>
            <w:hyperlink w:anchor="page4">
              <w:r>
                <w:rPr>
                  <w:rFonts w:ascii="Arial" w:cs="Arial" w:eastAsia="Arial" w:hAnsi="Arial"/>
                  <w:sz w:val="16"/>
                  <w:szCs w:val="16"/>
                  <w:color w:val="0000FF"/>
                </w:rPr>
                <w:t xml:space="preserve">2022 and March </w:t>
              </w:r>
            </w:hyperlink>
            <w:r>
              <w:rPr>
                <w:rFonts w:ascii="Arial" w:cs="Arial" w:eastAsia="Arial" w:hAnsi="Arial"/>
                <w:sz w:val="16"/>
                <w:szCs w:val="16"/>
                <w:color w:val="0000FF"/>
              </w:rPr>
              <w:t>28, 2021</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20" w:type="dxa"/>
            <w:vAlign w:val="bottom"/>
            <w:tcBorders>
              <w:top w:val="single" w:sz="8" w:color="0000FF"/>
            </w:tcBorders>
            <w:gridSpan w:val="14"/>
          </w:tcPr>
          <w:p>
            <w:pPr>
              <w:spacing w:after="0"/>
              <w:rPr>
                <w:rFonts w:ascii="Arial" w:cs="Arial" w:eastAsia="Arial" w:hAnsi="Arial"/>
                <w:sz w:val="19"/>
                <w:szCs w:val="19"/>
                <w:color w:val="0000FF"/>
              </w:rPr>
            </w:pPr>
            <w:hyperlink w:anchor="page5">
              <w:r>
                <w:rPr>
                  <w:rFonts w:ascii="Arial" w:cs="Arial" w:eastAsia="Arial" w:hAnsi="Arial"/>
                  <w:sz w:val="19"/>
                  <w:szCs w:val="19"/>
                  <w:color w:val="0000FF"/>
                </w:rPr>
                <w:t>Condensed Consolidated Statements of Cash Flows —</w:t>
              </w:r>
            </w:hyperlink>
          </w:p>
        </w:tc>
        <w:tc>
          <w:tcPr>
            <w:tcW w:w="3100" w:type="dxa"/>
            <w:vAlign w:val="bottom"/>
            <w:gridSpan w:val="7"/>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5">
              <w:r>
                <w:rPr>
                  <w:rFonts w:ascii="Arial" w:cs="Arial" w:eastAsia="Arial" w:hAnsi="Arial"/>
                  <w:sz w:val="19"/>
                  <w:szCs w:val="19"/>
                  <w:color w:val="0000FF"/>
                  <w:w w:val="94"/>
                </w:rPr>
                <w:t>6</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20" w:type="dxa"/>
            <w:vAlign w:val="bottom"/>
            <w:gridSpan w:val="21"/>
          </w:tcPr>
          <w:p>
            <w:pPr>
              <w:spacing w:after="0" w:line="161"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For the Thirteen Weeks Ended March </w:t>
              </w:r>
            </w:hyperlink>
            <w:r>
              <w:rPr>
                <w:rFonts w:ascii="Arial" w:cs="Arial" w:eastAsia="Arial" w:hAnsi="Arial"/>
                <w:sz w:val="18"/>
                <w:szCs w:val="18"/>
                <w:color w:val="0000FF"/>
              </w:rPr>
              <w:t xml:space="preserve">27, </w:t>
            </w:r>
            <w:hyperlink w:anchor="page5">
              <w:r>
                <w:rPr>
                  <w:rFonts w:ascii="Arial" w:cs="Arial" w:eastAsia="Arial" w:hAnsi="Arial"/>
                  <w:sz w:val="18"/>
                  <w:szCs w:val="18"/>
                  <w:color w:val="0000FF"/>
                </w:rPr>
                <w:t xml:space="preserve">2022 and March </w:t>
              </w:r>
            </w:hyperlink>
            <w:r>
              <w:rPr>
                <w:rFonts w:ascii="Arial" w:cs="Arial" w:eastAsia="Arial" w:hAnsi="Arial"/>
                <w:sz w:val="18"/>
                <w:szCs w:val="18"/>
                <w:color w:val="0000FF"/>
              </w:rPr>
              <w:t>28, 2021</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44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Borders>
              <w:top w:val="single" w:sz="8" w:color="0000FF"/>
            </w:tcBorders>
            <w:gridSpan w:val="10"/>
          </w:tcPr>
          <w:p>
            <w:pPr>
              <w:spacing w:after="0"/>
              <w:rPr>
                <w:rFonts w:ascii="Arial" w:cs="Arial" w:eastAsia="Arial" w:hAnsi="Arial"/>
                <w:sz w:val="19"/>
                <w:szCs w:val="19"/>
                <w:color w:val="0000FF"/>
                <w:w w:val="89"/>
              </w:rPr>
            </w:pPr>
            <w:hyperlink w:anchor="page6">
              <w:r>
                <w:rPr>
                  <w:rFonts w:ascii="Arial" w:cs="Arial" w:eastAsia="Arial" w:hAnsi="Arial"/>
                  <w:sz w:val="19"/>
                  <w:szCs w:val="19"/>
                  <w:color w:val="0000FF"/>
                  <w:w w:val="89"/>
                </w:rPr>
                <w:t>Notes to Consolidated Financial Statements</w:t>
              </w:r>
            </w:hyperlink>
          </w:p>
        </w:tc>
        <w:tc>
          <w:tcPr>
            <w:tcW w:w="1800" w:type="dxa"/>
            <w:vAlign w:val="bottom"/>
            <w:tcBorders>
              <w:top w:val="single" w:sz="8" w:color="0000FF"/>
            </w:tcBorders>
            <w:gridSpan w:val="4"/>
          </w:tcPr>
          <w:p>
            <w:pPr>
              <w:spacing w:after="0"/>
              <w:rPr>
                <w:sz w:val="24"/>
                <w:szCs w:val="24"/>
                <w:color w:val="auto"/>
              </w:rPr>
            </w:pPr>
          </w:p>
        </w:tc>
        <w:tc>
          <w:tcPr>
            <w:tcW w:w="3100" w:type="dxa"/>
            <w:vAlign w:val="bottom"/>
            <w:gridSpan w:val="7"/>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6">
              <w:r>
                <w:rPr>
                  <w:rFonts w:ascii="Arial" w:cs="Arial" w:eastAsia="Arial" w:hAnsi="Arial"/>
                  <w:sz w:val="19"/>
                  <w:szCs w:val="19"/>
                  <w:color w:val="0000FF"/>
                  <w:w w:val="94"/>
                </w:rPr>
                <w:t>7</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2.</w:t>
            </w:r>
          </w:p>
        </w:tc>
        <w:tc>
          <w:tcPr>
            <w:tcW w:w="140" w:type="dxa"/>
            <w:vAlign w:val="bottom"/>
          </w:tcPr>
          <w:p>
            <w:pPr>
              <w:spacing w:after="0"/>
              <w:rPr>
                <w:sz w:val="24"/>
                <w:szCs w:val="24"/>
                <w:color w:val="auto"/>
              </w:rPr>
            </w:pPr>
          </w:p>
        </w:tc>
        <w:tc>
          <w:tcPr>
            <w:tcW w:w="6780" w:type="dxa"/>
            <w:vAlign w:val="bottom"/>
            <w:gridSpan w:val="23"/>
          </w:tcPr>
          <w:p>
            <w:pPr>
              <w:spacing w:after="0"/>
              <w:rPr>
                <w:rFonts w:ascii="Arial" w:cs="Arial" w:eastAsia="Arial" w:hAnsi="Arial"/>
                <w:sz w:val="19"/>
                <w:szCs w:val="19"/>
                <w:color w:val="0000FF"/>
                <w:w w:val="90"/>
              </w:rPr>
            </w:pPr>
            <w:hyperlink w:anchor="page20">
              <w:r>
                <w:rPr>
                  <w:rFonts w:ascii="Arial" w:cs="Arial" w:eastAsia="Arial" w:hAnsi="Arial"/>
                  <w:sz w:val="19"/>
                  <w:szCs w:val="19"/>
                  <w:color w:val="0000FF"/>
                  <w:w w:val="90"/>
                </w:rPr>
                <w:t>Management’s Discussion and Analysis of Financial Condition and Results of Operations</w:t>
              </w:r>
            </w:hyperlink>
          </w:p>
        </w:tc>
        <w:tc>
          <w:tcPr>
            <w:tcW w:w="1740" w:type="dxa"/>
            <w:vAlign w:val="bottom"/>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20">
              <w:r>
                <w:rPr>
                  <w:rFonts w:ascii="Arial" w:cs="Arial" w:eastAsia="Arial" w:hAnsi="Arial"/>
                  <w:sz w:val="19"/>
                  <w:szCs w:val="19"/>
                  <w:color w:val="0000FF"/>
                  <w:w w:val="84"/>
                </w:rPr>
                <w:t>21</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5"/>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3.</w:t>
            </w:r>
          </w:p>
        </w:tc>
        <w:tc>
          <w:tcPr>
            <w:tcW w:w="140" w:type="dxa"/>
            <w:vAlign w:val="bottom"/>
          </w:tcPr>
          <w:p>
            <w:pPr>
              <w:spacing w:after="0"/>
              <w:rPr>
                <w:sz w:val="24"/>
                <w:szCs w:val="24"/>
                <w:color w:val="auto"/>
              </w:rPr>
            </w:pPr>
          </w:p>
        </w:tc>
        <w:tc>
          <w:tcPr>
            <w:tcW w:w="4560" w:type="dxa"/>
            <w:vAlign w:val="bottom"/>
            <w:gridSpan w:val="15"/>
          </w:tcPr>
          <w:p>
            <w:pPr>
              <w:spacing w:after="0"/>
              <w:rPr>
                <w:rFonts w:ascii="Arial" w:cs="Arial" w:eastAsia="Arial" w:hAnsi="Arial"/>
                <w:sz w:val="19"/>
                <w:szCs w:val="19"/>
                <w:color w:val="0000FF"/>
                <w:w w:val="90"/>
              </w:rPr>
            </w:pPr>
            <w:hyperlink w:anchor="page38">
              <w:r>
                <w:rPr>
                  <w:rFonts w:ascii="Arial" w:cs="Arial" w:eastAsia="Arial" w:hAnsi="Arial"/>
                  <w:sz w:val="19"/>
                  <w:szCs w:val="19"/>
                  <w:color w:val="0000FF"/>
                  <w:w w:val="90"/>
                </w:rPr>
                <w:t>Quantitative and Qualitative Disclosures About Market Risk</w:t>
              </w:r>
            </w:hyperlink>
          </w:p>
        </w:tc>
        <w:tc>
          <w:tcPr>
            <w:tcW w:w="2220" w:type="dxa"/>
            <w:vAlign w:val="bottom"/>
            <w:gridSpan w:val="8"/>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38">
              <w:r>
                <w:rPr>
                  <w:rFonts w:ascii="Arial" w:cs="Arial" w:eastAsia="Arial" w:hAnsi="Arial"/>
                  <w:sz w:val="19"/>
                  <w:szCs w:val="19"/>
                  <w:color w:val="0000FF"/>
                  <w:w w:val="84"/>
                </w:rPr>
                <w:t>39</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5"/>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4.</w:t>
            </w:r>
          </w:p>
        </w:tc>
        <w:tc>
          <w:tcPr>
            <w:tcW w:w="140" w:type="dxa"/>
            <w:vAlign w:val="bottom"/>
          </w:tcPr>
          <w:p>
            <w:pPr>
              <w:spacing w:after="0"/>
              <w:rPr>
                <w:sz w:val="24"/>
                <w:szCs w:val="24"/>
                <w:color w:val="auto"/>
              </w:rPr>
            </w:pPr>
          </w:p>
        </w:tc>
        <w:tc>
          <w:tcPr>
            <w:tcW w:w="4560" w:type="dxa"/>
            <w:vAlign w:val="bottom"/>
            <w:gridSpan w:val="15"/>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Controls and Procedures</w:t>
              </w:r>
            </w:hyperlink>
          </w:p>
        </w:tc>
        <w:tc>
          <w:tcPr>
            <w:tcW w:w="3960" w:type="dxa"/>
            <w:vAlign w:val="bottom"/>
            <w:gridSpan w:val="9"/>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39">
              <w:r>
                <w:rPr>
                  <w:rFonts w:ascii="Arial" w:cs="Arial" w:eastAsia="Arial" w:hAnsi="Arial"/>
                  <w:sz w:val="19"/>
                  <w:szCs w:val="19"/>
                  <w:color w:val="0000FF"/>
                  <w:w w:val="84"/>
                </w:rPr>
                <w:t>39</w:t>
              </w:r>
            </w:hyperlink>
          </w:p>
        </w:tc>
        <w:tc>
          <w:tcPr>
            <w:tcW w:w="700" w:type="dxa"/>
            <w:vAlign w:val="bottom"/>
          </w:tcPr>
          <w:p>
            <w:pPr>
              <w:spacing w:after="0"/>
              <w:rPr>
                <w:sz w:val="24"/>
                <w:szCs w:val="24"/>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0000FF"/>
            </w:tcBorders>
            <w:gridSpan w:val="8"/>
          </w:tcPr>
          <w:p>
            <w:pPr>
              <w:jc w:val="center"/>
              <w:spacing w:after="0"/>
              <w:rPr>
                <w:rFonts w:ascii="Arial" w:cs="Arial" w:eastAsia="Arial" w:hAnsi="Arial"/>
                <w:sz w:val="19"/>
                <w:szCs w:val="19"/>
                <w:color w:val="0000FF"/>
                <w:w w:val="96"/>
              </w:rPr>
            </w:pPr>
            <w:hyperlink w:anchor="page39">
              <w:r>
                <w:rPr>
                  <w:rFonts w:ascii="Arial" w:cs="Arial" w:eastAsia="Arial" w:hAnsi="Arial"/>
                  <w:sz w:val="19"/>
                  <w:szCs w:val="19"/>
                  <w:color w:val="0000FF"/>
                  <w:w w:val="96"/>
                </w:rPr>
                <w:t>PART II — OTHER INFORMATION</w:t>
              </w:r>
            </w:hyperlink>
          </w:p>
        </w:tc>
        <w:tc>
          <w:tcPr>
            <w:tcW w:w="282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212"/>
        </w:trPr>
        <w:tc>
          <w:tcPr>
            <w:tcW w:w="980" w:type="dxa"/>
            <w:vAlign w:val="bottom"/>
          </w:tcPr>
          <w:p>
            <w:pPr>
              <w:ind w:left="20"/>
              <w:spacing w:after="0" w:line="212" w:lineRule="exact"/>
              <w:rPr>
                <w:sz w:val="20"/>
                <w:szCs w:val="20"/>
                <w:color w:val="auto"/>
              </w:rPr>
            </w:pPr>
            <w:r>
              <w:rPr>
                <w:rFonts w:ascii="Arial" w:cs="Arial" w:eastAsia="Arial" w:hAnsi="Arial"/>
                <w:sz w:val="19"/>
                <w:szCs w:val="19"/>
                <w:color w:val="auto"/>
              </w:rPr>
              <w:t>Item 1.</w:t>
            </w:r>
          </w:p>
        </w:tc>
        <w:tc>
          <w:tcPr>
            <w:tcW w:w="140" w:type="dxa"/>
            <w:vAlign w:val="bottom"/>
          </w:tcPr>
          <w:p>
            <w:pPr>
              <w:spacing w:after="0"/>
              <w:rPr>
                <w:sz w:val="18"/>
                <w:szCs w:val="18"/>
                <w:color w:val="auto"/>
              </w:rPr>
            </w:pPr>
          </w:p>
        </w:tc>
        <w:tc>
          <w:tcPr>
            <w:tcW w:w="1400" w:type="dxa"/>
            <w:vAlign w:val="bottom"/>
            <w:gridSpan w:val="7"/>
          </w:tcPr>
          <w:p>
            <w:pPr>
              <w:spacing w:after="0" w:line="212" w:lineRule="exact"/>
              <w:rPr>
                <w:rFonts w:ascii="Arial" w:cs="Arial" w:eastAsia="Arial" w:hAnsi="Arial"/>
                <w:sz w:val="19"/>
                <w:szCs w:val="19"/>
                <w:color w:val="0000FF"/>
                <w:w w:val="87"/>
              </w:rPr>
            </w:pPr>
            <w:hyperlink w:anchor="page40">
              <w:r>
                <w:rPr>
                  <w:rFonts w:ascii="Arial" w:cs="Arial" w:eastAsia="Arial" w:hAnsi="Arial"/>
                  <w:sz w:val="19"/>
                  <w:szCs w:val="19"/>
                  <w:color w:val="0000FF"/>
                  <w:w w:val="87"/>
                </w:rPr>
                <w:t>Legal Proceedings</w:t>
              </w:r>
            </w:hyperlink>
          </w:p>
        </w:tc>
        <w:tc>
          <w:tcPr>
            <w:tcW w:w="7120" w:type="dxa"/>
            <w:vAlign w:val="bottom"/>
            <w:gridSpan w:val="17"/>
          </w:tcPr>
          <w:p>
            <w:pPr>
              <w:spacing w:after="0"/>
              <w:rPr>
                <w:sz w:val="18"/>
                <w:szCs w:val="18"/>
                <w:color w:val="auto"/>
              </w:rPr>
            </w:pPr>
          </w:p>
        </w:tc>
        <w:tc>
          <w:tcPr>
            <w:tcW w:w="900" w:type="dxa"/>
            <w:vAlign w:val="bottom"/>
            <w:gridSpan w:val="4"/>
          </w:tcPr>
          <w:p>
            <w:pPr>
              <w:jc w:val="center"/>
              <w:ind w:left="626"/>
              <w:spacing w:after="0" w:line="212" w:lineRule="exact"/>
              <w:rPr>
                <w:rFonts w:ascii="Arial" w:cs="Arial" w:eastAsia="Arial" w:hAnsi="Arial"/>
                <w:sz w:val="19"/>
                <w:szCs w:val="19"/>
                <w:color w:val="0000FF"/>
                <w:w w:val="84"/>
              </w:rPr>
            </w:pPr>
            <w:hyperlink w:anchor="page40">
              <w:r>
                <w:rPr>
                  <w:rFonts w:ascii="Arial" w:cs="Arial" w:eastAsia="Arial" w:hAnsi="Arial"/>
                  <w:sz w:val="19"/>
                  <w:szCs w:val="19"/>
                  <w:color w:val="0000FF"/>
                  <w:w w:val="84"/>
                </w:rPr>
                <w:t>40</w:t>
              </w:r>
            </w:hyperlink>
          </w:p>
        </w:tc>
        <w:tc>
          <w:tcPr>
            <w:tcW w:w="70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1A.</w:t>
            </w:r>
          </w:p>
        </w:tc>
        <w:tc>
          <w:tcPr>
            <w:tcW w:w="140" w:type="dxa"/>
            <w:vAlign w:val="bottom"/>
          </w:tcPr>
          <w:p>
            <w:pPr>
              <w:spacing w:after="0"/>
              <w:rPr>
                <w:sz w:val="24"/>
                <w:szCs w:val="24"/>
                <w:color w:val="auto"/>
              </w:rPr>
            </w:pPr>
          </w:p>
        </w:tc>
        <w:tc>
          <w:tcPr>
            <w:tcW w:w="1400" w:type="dxa"/>
            <w:vAlign w:val="bottom"/>
            <w:gridSpan w:val="7"/>
          </w:tcPr>
          <w:p>
            <w:pPr>
              <w:spacing w:after="0"/>
              <w:rPr>
                <w:rFonts w:ascii="Arial" w:cs="Arial" w:eastAsia="Arial" w:hAnsi="Arial"/>
                <w:sz w:val="19"/>
                <w:szCs w:val="19"/>
                <w:color w:val="0000FF"/>
              </w:rPr>
            </w:pPr>
            <w:hyperlink w:anchor="page40">
              <w:r>
                <w:rPr>
                  <w:rFonts w:ascii="Arial" w:cs="Arial" w:eastAsia="Arial" w:hAnsi="Arial"/>
                  <w:sz w:val="19"/>
                  <w:szCs w:val="19"/>
                  <w:color w:val="0000FF"/>
                </w:rPr>
                <w:t>Risk Factors</w:t>
              </w:r>
            </w:hyperlink>
          </w:p>
        </w:tc>
        <w:tc>
          <w:tcPr>
            <w:tcW w:w="7120" w:type="dxa"/>
            <w:vAlign w:val="bottom"/>
            <w:gridSpan w:val="17"/>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40">
              <w:r>
                <w:rPr>
                  <w:rFonts w:ascii="Arial" w:cs="Arial" w:eastAsia="Arial" w:hAnsi="Arial"/>
                  <w:sz w:val="19"/>
                  <w:szCs w:val="19"/>
                  <w:color w:val="0000FF"/>
                  <w:w w:val="84"/>
                </w:rPr>
                <w:t>40</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2.</w:t>
            </w:r>
          </w:p>
        </w:tc>
        <w:tc>
          <w:tcPr>
            <w:tcW w:w="140" w:type="dxa"/>
            <w:vAlign w:val="bottom"/>
          </w:tcPr>
          <w:p>
            <w:pPr>
              <w:spacing w:after="0"/>
              <w:rPr>
                <w:sz w:val="24"/>
                <w:szCs w:val="24"/>
                <w:color w:val="auto"/>
              </w:rPr>
            </w:pPr>
          </w:p>
        </w:tc>
        <w:tc>
          <w:tcPr>
            <w:tcW w:w="8520" w:type="dxa"/>
            <w:vAlign w:val="bottom"/>
            <w:gridSpan w:val="24"/>
          </w:tcPr>
          <w:p>
            <w:pPr>
              <w:spacing w:after="0"/>
              <w:rPr>
                <w:rFonts w:ascii="Arial" w:cs="Arial" w:eastAsia="Arial" w:hAnsi="Arial"/>
                <w:sz w:val="19"/>
                <w:szCs w:val="19"/>
                <w:color w:val="0000FF"/>
              </w:rPr>
            </w:pPr>
            <w:hyperlink w:anchor="page40">
              <w:r>
                <w:rPr>
                  <w:rFonts w:ascii="Arial" w:cs="Arial" w:eastAsia="Arial" w:hAnsi="Arial"/>
                  <w:sz w:val="19"/>
                  <w:szCs w:val="19"/>
                  <w:color w:val="0000FF"/>
                </w:rPr>
                <w:t>Unregistered Sales of Equity Securities and Use of Proceeds</w:t>
              </w:r>
            </w:hyperlink>
          </w:p>
        </w:tc>
        <w:tc>
          <w:tcPr>
            <w:tcW w:w="900" w:type="dxa"/>
            <w:vAlign w:val="bottom"/>
            <w:gridSpan w:val="4"/>
          </w:tcPr>
          <w:p>
            <w:pPr>
              <w:jc w:val="center"/>
              <w:ind w:left="626"/>
              <w:spacing w:after="0"/>
              <w:rPr>
                <w:rFonts w:ascii="Arial" w:cs="Arial" w:eastAsia="Arial" w:hAnsi="Arial"/>
                <w:sz w:val="19"/>
                <w:szCs w:val="19"/>
                <w:color w:val="0000FF"/>
                <w:w w:val="84"/>
              </w:rPr>
            </w:pPr>
            <w:hyperlink w:anchor="page40">
              <w:r>
                <w:rPr>
                  <w:rFonts w:ascii="Arial" w:cs="Arial" w:eastAsia="Arial" w:hAnsi="Arial"/>
                  <w:sz w:val="19"/>
                  <w:szCs w:val="19"/>
                  <w:color w:val="0000FF"/>
                  <w:w w:val="84"/>
                </w:rPr>
                <w:t>40</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40" w:type="dxa"/>
            <w:vAlign w:val="bottom"/>
            <w:gridSpan w:val="10"/>
            <w:shd w:val="clear" w:color="auto" w:fill="0000FF"/>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6.</w:t>
            </w:r>
          </w:p>
        </w:tc>
        <w:tc>
          <w:tcPr>
            <w:tcW w:w="140" w:type="dxa"/>
            <w:vAlign w:val="bottom"/>
          </w:tcPr>
          <w:p>
            <w:pPr>
              <w:spacing w:after="0"/>
              <w:rPr>
                <w:sz w:val="24"/>
                <w:szCs w:val="24"/>
                <w:color w:val="auto"/>
              </w:rPr>
            </w:pPr>
          </w:p>
        </w:tc>
        <w:tc>
          <w:tcPr>
            <w:tcW w:w="4560" w:type="dxa"/>
            <w:vAlign w:val="bottom"/>
            <w:gridSpan w:val="15"/>
          </w:tcPr>
          <w:p>
            <w:pPr>
              <w:spacing w:after="0"/>
              <w:rPr>
                <w:rFonts w:ascii="Arial" w:cs="Arial" w:eastAsia="Arial" w:hAnsi="Arial"/>
                <w:sz w:val="19"/>
                <w:szCs w:val="19"/>
                <w:color w:val="0000FF"/>
              </w:rPr>
            </w:pPr>
            <w:hyperlink w:anchor="page40">
              <w:r>
                <w:rPr>
                  <w:rFonts w:ascii="Arial" w:cs="Arial" w:eastAsia="Arial" w:hAnsi="Arial"/>
                  <w:sz w:val="19"/>
                  <w:szCs w:val="19"/>
                  <w:color w:val="0000FF"/>
                </w:rPr>
                <w:t>Exhibits</w:t>
              </w:r>
            </w:hyperlink>
          </w:p>
        </w:tc>
        <w:tc>
          <w:tcPr>
            <w:tcW w:w="3960" w:type="dxa"/>
            <w:vAlign w:val="bottom"/>
            <w:gridSpan w:val="9"/>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40">
              <w:r>
                <w:rPr>
                  <w:rFonts w:ascii="Arial" w:cs="Arial" w:eastAsia="Arial" w:hAnsi="Arial"/>
                  <w:sz w:val="19"/>
                  <w:szCs w:val="19"/>
                  <w:color w:val="0000FF"/>
                  <w:w w:val="84"/>
                </w:rPr>
                <w:t>41</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0" w:type="dxa"/>
            <w:vAlign w:val="bottom"/>
            <w:gridSpan w:val="1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4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20" w:type="dxa"/>
            <w:vAlign w:val="bottom"/>
            <w:gridSpan w:val="24"/>
          </w:tcPr>
          <w:p>
            <w:pPr>
              <w:spacing w:after="0"/>
              <w:rPr>
                <w:rFonts w:ascii="Arial" w:cs="Arial" w:eastAsia="Arial" w:hAnsi="Arial"/>
                <w:sz w:val="19"/>
                <w:szCs w:val="19"/>
                <w:color w:val="0000FF"/>
              </w:rPr>
            </w:pPr>
            <w:hyperlink w:anchor="page41">
              <w:r>
                <w:rPr>
                  <w:rFonts w:ascii="Arial" w:cs="Arial" w:eastAsia="Arial" w:hAnsi="Arial"/>
                  <w:sz w:val="19"/>
                  <w:szCs w:val="19"/>
                  <w:color w:val="0000FF"/>
                </w:rPr>
                <w:t>Signature</w:t>
              </w:r>
            </w:hyperlink>
          </w:p>
        </w:tc>
        <w:tc>
          <w:tcPr>
            <w:tcW w:w="900" w:type="dxa"/>
            <w:vAlign w:val="bottom"/>
            <w:gridSpan w:val="4"/>
          </w:tcPr>
          <w:p>
            <w:pPr>
              <w:jc w:val="center"/>
              <w:ind w:left="626"/>
              <w:spacing w:after="0"/>
              <w:rPr>
                <w:rFonts w:ascii="Arial" w:cs="Arial" w:eastAsia="Arial" w:hAnsi="Arial"/>
                <w:sz w:val="19"/>
                <w:szCs w:val="19"/>
                <w:color w:val="0000FF"/>
                <w:w w:val="84"/>
              </w:rPr>
            </w:pPr>
            <w:hyperlink w:anchor="page41">
              <w:r>
                <w:rPr>
                  <w:rFonts w:ascii="Arial" w:cs="Arial" w:eastAsia="Arial" w:hAnsi="Arial"/>
                  <w:sz w:val="19"/>
                  <w:szCs w:val="19"/>
                  <w:color w:val="0000FF"/>
                  <w:w w:val="84"/>
                </w:rPr>
                <w:t>42</w:t>
              </w:r>
            </w:hyperlink>
          </w:p>
        </w:tc>
        <w:tc>
          <w:tcPr>
            <w:tcW w:w="700" w:type="dxa"/>
            <w:vAlign w:val="bottom"/>
          </w:tcPr>
          <w:p>
            <w:pPr>
              <w:spacing w:after="0"/>
              <w:rPr>
                <w:sz w:val="24"/>
                <w:szCs w:val="24"/>
                <w:color w:val="auto"/>
              </w:rPr>
            </w:pPr>
          </w:p>
        </w:tc>
      </w:tr>
      <w:tr>
        <w:trPr>
          <w:trHeight w:val="881"/>
        </w:trPr>
        <w:tc>
          <w:tcPr>
            <w:tcW w:w="9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700" w:type="dxa"/>
            <w:vAlign w:val="bottom"/>
            <w:tcBorders>
              <w:top w:val="single" w:sz="8" w:color="0000FF"/>
            </w:tcBorders>
            <w:gridSpan w:val="4"/>
          </w:tcPr>
          <w:p>
            <w:pPr>
              <w:spacing w:after="0"/>
              <w:rPr>
                <w:sz w:val="24"/>
                <w:szCs w:val="24"/>
                <w:color w:val="auto"/>
              </w:rPr>
            </w:pPr>
          </w:p>
        </w:tc>
        <w:tc>
          <w:tcPr>
            <w:tcW w:w="3840" w:type="dxa"/>
            <w:vAlign w:val="bottom"/>
            <w:gridSpan w:val="10"/>
          </w:tcPr>
          <w:p>
            <w:pPr>
              <w:jc w:val="center"/>
              <w:ind w:left="3634"/>
              <w:spacing w:after="0"/>
              <w:rPr>
                <w:sz w:val="20"/>
                <w:szCs w:val="20"/>
                <w:color w:val="auto"/>
              </w:rPr>
            </w:pPr>
            <w:r>
              <w:rPr>
                <w:rFonts w:ascii="Arial" w:cs="Arial" w:eastAsia="Arial" w:hAnsi="Arial"/>
                <w:sz w:val="17"/>
                <w:szCs w:val="17"/>
                <w:color w:val="auto"/>
                <w:w w:val="84"/>
              </w:rPr>
              <w:t>2</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110"/>
        </w:trPr>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Financial Statements</w:t>
      </w:r>
    </w:p>
    <w:p>
      <w:pPr>
        <w:spacing w:after="0" w:line="233"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 THOUSANDS, EXCEPT SHARE AND PER SHARE DATA,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27, 2022</w:t>
            </w:r>
          </w:p>
        </w:tc>
        <w:tc>
          <w:tcPr>
            <w:tcW w:w="180" w:type="dxa"/>
            <w:vAlign w:val="bottom"/>
          </w:tcPr>
          <w:p>
            <w:pPr>
              <w:spacing w:after="0"/>
              <w:rPr>
                <w:sz w:val="17"/>
                <w:szCs w:val="17"/>
                <w:color w:val="auto"/>
              </w:rPr>
            </w:pPr>
          </w:p>
        </w:tc>
        <w:tc>
          <w:tcPr>
            <w:tcW w:w="1660" w:type="dxa"/>
            <w:vAlign w:val="bottom"/>
          </w:tcPr>
          <w:p>
            <w:pPr>
              <w:jc w:val="right"/>
              <w:ind w:right="183"/>
              <w:spacing w:after="0"/>
              <w:rPr>
                <w:sz w:val="20"/>
                <w:szCs w:val="20"/>
                <w:color w:val="auto"/>
              </w:rPr>
            </w:pPr>
            <w:r>
              <w:rPr>
                <w:rFonts w:ascii="Arial" w:cs="Arial" w:eastAsia="Arial" w:hAnsi="Arial"/>
                <w:sz w:val="14"/>
                <w:szCs w:val="14"/>
                <w:b w:val="1"/>
                <w:bCs w:val="1"/>
                <w:color w:val="auto"/>
                <w:w w:val="99"/>
              </w:rPr>
              <w:t>DECEMBER 26, 2021</w:t>
            </w:r>
          </w:p>
        </w:tc>
        <w:tc>
          <w:tcPr>
            <w:tcW w:w="0" w:type="dxa"/>
            <w:vAlign w:val="bottom"/>
          </w:tcPr>
          <w:p>
            <w:pPr>
              <w:spacing w:after="0"/>
              <w:rPr>
                <w:sz w:val="1"/>
                <w:szCs w:val="1"/>
                <w:color w:val="auto"/>
              </w:rPr>
            </w:pPr>
          </w:p>
        </w:tc>
      </w:tr>
      <w:tr>
        <w:trPr>
          <w:trHeight w:val="206"/>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87,585</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Arial" w:cs="Arial" w:eastAsia="Arial" w:hAnsi="Arial"/>
                <w:sz w:val="15"/>
                <w:szCs w:val="15"/>
                <w:color w:val="auto"/>
              </w:rPr>
              <w:t>Restricted cash and cash equivalents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1,472</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Inventories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79,112</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current assets, net</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104,588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184,623</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271,287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352,792</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Property, fixtures and equipment, net</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841,120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842,012</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1,124,517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1,130,873</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Goodwill</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273,474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268,444</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453,048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453,412</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Deferred income tax assets, net</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162,743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168,068</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77,167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78,670</w:t>
            </w:r>
          </w:p>
        </w:tc>
        <w:tc>
          <w:tcPr>
            <w:tcW w:w="0" w:type="dxa"/>
            <w:vAlign w:val="bottom"/>
          </w:tcPr>
          <w:p>
            <w:pPr>
              <w:spacing w:after="0"/>
              <w:rPr>
                <w:sz w:val="1"/>
                <w:szCs w:val="1"/>
                <w:color w:val="auto"/>
              </w:rPr>
            </w:pPr>
          </w:p>
        </w:tc>
      </w:tr>
      <w:tr>
        <w:trPr>
          <w:trHeight w:val="166"/>
        </w:trPr>
        <w:tc>
          <w:tcPr>
            <w:tcW w:w="7320" w:type="dxa"/>
            <w:vAlign w:val="bottom"/>
          </w:tcPr>
          <w:p>
            <w:pPr>
              <w:ind w:left="760"/>
              <w:spacing w:after="0" w:line="167" w:lineRule="exact"/>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tcPr>
          <w:p>
            <w:pPr>
              <w:jc w:val="right"/>
              <w:ind w:right="103"/>
              <w:spacing w:after="0" w:line="167" w:lineRule="exact"/>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3,203,356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
              <w:spacing w:after="0" w:line="167" w:lineRule="exact"/>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3,294,271</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 AND STOCKHOLDERS’ EQUITY</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172,709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167,978</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Arial" w:cs="Arial" w:eastAsia="Arial" w:hAnsi="Arial"/>
                <w:sz w:val="15"/>
                <w:szCs w:val="15"/>
                <w:color w:val="auto"/>
              </w:rPr>
              <w:t>Accrued and other current liabilities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426,415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406,894</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Unearned revenue</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325,304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398,795</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Current portion of long-term debt</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10,958</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935,648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984,625</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Non-current operating lease liabilities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1,172,923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1,179,447</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 net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711,025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782,107</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 net</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90,503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125,242</w:t>
            </w:r>
          </w:p>
        </w:tc>
        <w:tc>
          <w:tcPr>
            <w:tcW w:w="0" w:type="dxa"/>
            <w:vAlign w:val="bottom"/>
          </w:tcPr>
          <w:p>
            <w:pPr>
              <w:spacing w:after="0"/>
              <w:rPr>
                <w:sz w:val="1"/>
                <w:szCs w:val="1"/>
                <w:color w:val="auto"/>
              </w:rPr>
            </w:pPr>
          </w:p>
        </w:tc>
      </w:tr>
      <w:tr>
        <w:trPr>
          <w:trHeight w:val="226"/>
        </w:trPr>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2,910,099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3,071,421</w:t>
            </w: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Arial" w:cs="Arial" w:eastAsia="Arial" w:hAnsi="Arial"/>
                <w:sz w:val="15"/>
                <w:szCs w:val="15"/>
                <w:color w:val="auto"/>
              </w:rPr>
              <w:t>Commitments and contingencies (Note 14)</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Arial" w:cs="Arial" w:eastAsia="Arial" w:hAnsi="Arial"/>
                <w:sz w:val="15"/>
                <w:szCs w:val="15"/>
                <w:color w:val="auto"/>
              </w:rPr>
              <w:t>Bloomin’ Brands stockholders’ equity</w:t>
            </w: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Preferred stock, $0.01 par value, 25,000,000 shares authorized; no shares issued and outstanding as of</w:t>
            </w:r>
          </w:p>
        </w:tc>
        <w:tc>
          <w:tcPr>
            <w:tcW w:w="28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March 27, 2022 and December 26, 2021</w:t>
            </w:r>
          </w:p>
        </w:tc>
        <w:tc>
          <w:tcPr>
            <w:tcW w:w="280" w:type="dxa"/>
            <w:vAlign w:val="bottom"/>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320" w:type="dxa"/>
            <w:vAlign w:val="bottom"/>
          </w:tcPr>
          <w:p>
            <w:pPr>
              <w:ind w:left="320"/>
              <w:spacing w:after="0" w:line="160" w:lineRule="exact"/>
              <w:rPr>
                <w:sz w:val="20"/>
                <w:szCs w:val="20"/>
                <w:color w:val="auto"/>
              </w:rPr>
            </w:pPr>
            <w:r>
              <w:rPr>
                <w:rFonts w:ascii="Arial" w:cs="Arial" w:eastAsia="Arial" w:hAnsi="Arial"/>
                <w:sz w:val="15"/>
                <w:szCs w:val="15"/>
                <w:color w:val="auto"/>
                <w:w w:val="93"/>
              </w:rPr>
              <w:t>Common stock, $0.01 par value, 475,000,000 shares authorized; 89,185,040 and 89,252,823 shares issued and</w:t>
            </w:r>
          </w:p>
        </w:tc>
        <w:tc>
          <w:tcPr>
            <w:tcW w:w="28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5"/>
                <w:szCs w:val="15"/>
                <w:color w:val="auto"/>
              </w:rPr>
              <w:t>892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893</w:t>
            </w:r>
          </w:p>
        </w:tc>
        <w:tc>
          <w:tcPr>
            <w:tcW w:w="0" w:type="dxa"/>
            <w:vAlign w:val="bottom"/>
          </w:tcPr>
          <w:p>
            <w:pPr>
              <w:spacing w:after="0"/>
              <w:rPr>
                <w:sz w:val="1"/>
                <w:szCs w:val="1"/>
                <w:color w:val="auto"/>
              </w:rPr>
            </w:pPr>
          </w:p>
        </w:tc>
      </w:tr>
      <w:tr>
        <w:trPr>
          <w:trHeight w:val="199"/>
        </w:trPr>
        <w:tc>
          <w:tcPr>
            <w:tcW w:w="7320" w:type="dxa"/>
            <w:vAlign w:val="bottom"/>
          </w:tcPr>
          <w:p>
            <w:pPr>
              <w:ind w:left="320"/>
              <w:spacing w:after="0"/>
              <w:rPr>
                <w:sz w:val="20"/>
                <w:szCs w:val="20"/>
                <w:color w:val="auto"/>
              </w:rPr>
            </w:pPr>
            <w:r>
              <w:rPr>
                <w:rFonts w:ascii="Arial" w:cs="Arial" w:eastAsia="Arial" w:hAnsi="Arial"/>
                <w:sz w:val="15"/>
                <w:szCs w:val="15"/>
                <w:color w:val="auto"/>
              </w:rPr>
              <w:t>outstanding as of March 27, 2022 and December 26, 2021, respectively</w:t>
            </w:r>
          </w:p>
        </w:tc>
        <w:tc>
          <w:tcPr>
            <w:tcW w:w="28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1,115,458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1,119,728</w:t>
            </w:r>
          </w:p>
        </w:tc>
        <w:tc>
          <w:tcPr>
            <w:tcW w:w="0" w:type="dxa"/>
            <w:vAlign w:val="bottom"/>
          </w:tcPr>
          <w:p>
            <w:pPr>
              <w:spacing w:after="0"/>
              <w:rPr>
                <w:sz w:val="1"/>
                <w:szCs w:val="1"/>
                <w:color w:val="auto"/>
              </w:rPr>
            </w:pPr>
          </w:p>
        </w:tc>
      </w:tr>
      <w:tr>
        <w:trPr>
          <w:trHeight w:val="203"/>
        </w:trPr>
        <w:tc>
          <w:tcPr>
            <w:tcW w:w="7320" w:type="dxa"/>
            <w:vAlign w:val="bottom"/>
          </w:tcPr>
          <w:p>
            <w:pPr>
              <w:ind w:left="320"/>
              <w:spacing w:after="0"/>
              <w:rPr>
                <w:sz w:val="20"/>
                <w:szCs w:val="20"/>
                <w:color w:val="auto"/>
              </w:rPr>
            </w:pPr>
            <w:r>
              <w:rPr>
                <w:rFonts w:ascii="Arial" w:cs="Arial" w:eastAsia="Arial" w:hAnsi="Arial"/>
                <w:sz w:val="15"/>
                <w:szCs w:val="15"/>
                <w:color w:val="auto"/>
              </w:rPr>
              <w:t>Accumulated deficit</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(634,356)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(698,171)</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(190,431)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(205,989)</w:t>
            </w:r>
          </w:p>
        </w:tc>
        <w:tc>
          <w:tcPr>
            <w:tcW w:w="0" w:type="dxa"/>
            <w:vAlign w:val="bottom"/>
          </w:tcPr>
          <w:p>
            <w:pPr>
              <w:spacing w:after="0"/>
              <w:rPr>
                <w:sz w:val="1"/>
                <w:szCs w:val="1"/>
                <w:color w:val="auto"/>
              </w:rPr>
            </w:pPr>
          </w:p>
        </w:tc>
      </w:tr>
      <w:tr>
        <w:trPr>
          <w:trHeight w:val="189"/>
        </w:trPr>
        <w:tc>
          <w:tcPr>
            <w:tcW w:w="7320" w:type="dxa"/>
            <w:vAlign w:val="bottom"/>
          </w:tcPr>
          <w:p>
            <w:pPr>
              <w:ind w:left="640"/>
              <w:spacing w:after="0"/>
              <w:rPr>
                <w:sz w:val="20"/>
                <w:szCs w:val="20"/>
                <w:color w:val="auto"/>
              </w:rPr>
            </w:pPr>
            <w:r>
              <w:rPr>
                <w:rFonts w:ascii="Arial" w:cs="Arial" w:eastAsia="Arial" w:hAnsi="Arial"/>
                <w:sz w:val="15"/>
                <w:szCs w:val="15"/>
                <w:color w:val="auto"/>
              </w:rPr>
              <w:t>Total Bloomin’ Brands stockholders’ equity</w:t>
            </w:r>
          </w:p>
        </w:tc>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291,563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216,461</w:t>
            </w:r>
          </w:p>
        </w:tc>
        <w:tc>
          <w:tcPr>
            <w:tcW w:w="0" w:type="dxa"/>
            <w:vAlign w:val="bottom"/>
          </w:tcPr>
          <w:p>
            <w:pPr>
              <w:spacing w:after="0"/>
              <w:rPr>
                <w:sz w:val="1"/>
                <w:szCs w:val="1"/>
                <w:color w:val="auto"/>
              </w:rPr>
            </w:pPr>
          </w:p>
        </w:tc>
      </w:tr>
      <w:tr>
        <w:trPr>
          <w:trHeight w:val="215"/>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6,389</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Total stockholders’ equity</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293,257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222,850</w:t>
            </w:r>
          </w:p>
        </w:tc>
        <w:tc>
          <w:tcPr>
            <w:tcW w:w="0" w:type="dxa"/>
            <w:vAlign w:val="bottom"/>
          </w:tcPr>
          <w:p>
            <w:pPr>
              <w:spacing w:after="0"/>
              <w:rPr>
                <w:sz w:val="1"/>
                <w:szCs w:val="1"/>
                <w:color w:val="auto"/>
              </w:rPr>
            </w:pPr>
          </w:p>
        </w:tc>
      </w:tr>
      <w:tr>
        <w:trPr>
          <w:trHeight w:val="231"/>
        </w:trPr>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liabilities and stockholders’ equity</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3,203,356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3,294,271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27, 2022</w:t>
            </w:r>
          </w:p>
        </w:tc>
        <w:tc>
          <w:tcPr>
            <w:tcW w:w="200" w:type="dxa"/>
            <w:vAlign w:val="bottom"/>
          </w:tcPr>
          <w:p>
            <w:pPr>
              <w:spacing w:after="0"/>
              <w:rPr>
                <w:sz w:val="16"/>
                <w:szCs w:val="16"/>
                <w:color w:val="auto"/>
              </w:rPr>
            </w:pPr>
          </w:p>
        </w:tc>
        <w:tc>
          <w:tcPr>
            <w:tcW w:w="1440" w:type="dxa"/>
            <w:vAlign w:val="bottom"/>
          </w:tcPr>
          <w:p>
            <w:pPr>
              <w:jc w:val="right"/>
              <w:ind w:right="203"/>
              <w:spacing w:after="0"/>
              <w:rPr>
                <w:sz w:val="20"/>
                <w:szCs w:val="20"/>
                <w:color w:val="auto"/>
              </w:rPr>
            </w:pPr>
            <w:r>
              <w:rPr>
                <w:rFonts w:ascii="Arial" w:cs="Arial" w:eastAsia="Arial" w:hAnsi="Arial"/>
                <w:sz w:val="14"/>
                <w:szCs w:val="14"/>
                <w:b w:val="1"/>
                <w:bCs w:val="1"/>
                <w:color w:val="auto"/>
              </w:rPr>
              <w:t>MARCH 28, 2021</w:t>
            </w:r>
          </w:p>
        </w:tc>
      </w:tr>
      <w:tr>
        <w:trPr>
          <w:trHeight w:val="20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03"/>
        </w:trPr>
        <w:tc>
          <w:tcPr>
            <w:tcW w:w="786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1,123,575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979,451</w:t>
            </w:r>
          </w:p>
        </w:tc>
      </w:tr>
      <w:tr>
        <w:trPr>
          <w:trHeight w:val="215"/>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8,022</w:t>
            </w:r>
          </w:p>
        </w:tc>
      </w:tr>
      <w:tr>
        <w:trPr>
          <w:trHeight w:val="212"/>
        </w:trPr>
        <w:tc>
          <w:tcPr>
            <w:tcW w:w="786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revenues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1,140,535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987,473</w:t>
            </w:r>
          </w:p>
        </w:tc>
      </w:tr>
      <w:tr>
        <w:trPr>
          <w:trHeight w:val="20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3"/>
        </w:trPr>
        <w:tc>
          <w:tcPr>
            <w:tcW w:w="7860" w:type="dxa"/>
            <w:vAlign w:val="bottom"/>
          </w:tcPr>
          <w:p>
            <w:pPr>
              <w:ind w:left="140"/>
              <w:spacing w:after="0"/>
              <w:rPr>
                <w:sz w:val="20"/>
                <w:szCs w:val="20"/>
                <w:color w:val="auto"/>
              </w:rPr>
            </w:pPr>
            <w:r>
              <w:rPr>
                <w:rFonts w:ascii="Arial" w:cs="Arial" w:eastAsia="Arial" w:hAnsi="Arial"/>
                <w:sz w:val="15"/>
                <w:szCs w:val="15"/>
                <w:color w:val="auto"/>
              </w:rPr>
              <w:t>Food and beverage costs</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359,370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291,870</w:t>
            </w:r>
          </w:p>
        </w:tc>
      </w:tr>
      <w:tr>
        <w:trPr>
          <w:trHeight w:val="209"/>
        </w:trPr>
        <w:tc>
          <w:tcPr>
            <w:tcW w:w="7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Labor and other related</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312,511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274,638</w:t>
            </w:r>
          </w:p>
        </w:tc>
      </w:tr>
      <w:tr>
        <w:trPr>
          <w:trHeight w:val="203"/>
        </w:trPr>
        <w:tc>
          <w:tcPr>
            <w:tcW w:w="7860" w:type="dxa"/>
            <w:vAlign w:val="bottom"/>
          </w:tcPr>
          <w:p>
            <w:pPr>
              <w:ind w:left="140"/>
              <w:spacing w:after="0"/>
              <w:rPr>
                <w:sz w:val="20"/>
                <w:szCs w:val="20"/>
                <w:color w:val="auto"/>
              </w:rPr>
            </w:pPr>
            <w:r>
              <w:rPr>
                <w:rFonts w:ascii="Arial" w:cs="Arial" w:eastAsia="Arial" w:hAnsi="Arial"/>
                <w:sz w:val="15"/>
                <w:szCs w:val="15"/>
                <w:color w:val="auto"/>
              </w:rPr>
              <w:t>Other restaurant operating</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259,110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229,293</w:t>
            </w:r>
          </w:p>
        </w:tc>
      </w:tr>
      <w:tr>
        <w:trPr>
          <w:trHeight w:val="209"/>
        </w:trPr>
        <w:tc>
          <w:tcPr>
            <w:tcW w:w="7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41,226</w:t>
            </w:r>
          </w:p>
        </w:tc>
      </w:tr>
      <w:tr>
        <w:trPr>
          <w:trHeight w:val="203"/>
        </w:trPr>
        <w:tc>
          <w:tcPr>
            <w:tcW w:w="786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58,674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57,248</w:t>
            </w:r>
          </w:p>
        </w:tc>
      </w:tr>
      <w:tr>
        <w:trPr>
          <w:trHeight w:val="215"/>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2,200</w:t>
            </w:r>
          </w:p>
        </w:tc>
      </w:tr>
      <w:tr>
        <w:trPr>
          <w:trHeight w:val="212"/>
        </w:trPr>
        <w:tc>
          <w:tcPr>
            <w:tcW w:w="786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costs and expenses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1,033,279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896,475</w:t>
            </w:r>
          </w:p>
        </w:tc>
      </w:tr>
      <w:tr>
        <w:trPr>
          <w:trHeight w:val="20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107,256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90,998</w:t>
            </w:r>
          </w:p>
        </w:tc>
      </w:tr>
      <w:tr>
        <w:trPr>
          <w:trHeight w:val="203"/>
        </w:trPr>
        <w:tc>
          <w:tcPr>
            <w:tcW w:w="7860" w:type="dxa"/>
            <w:vAlign w:val="bottom"/>
          </w:tcPr>
          <w:p>
            <w:pPr>
              <w:ind w:left="20"/>
              <w:spacing w:after="0"/>
              <w:rPr>
                <w:sz w:val="20"/>
                <w:szCs w:val="20"/>
                <w:color w:val="auto"/>
              </w:rPr>
            </w:pPr>
            <w:r>
              <w:rPr>
                <w:rFonts w:ascii="Arial" w:cs="Arial" w:eastAsia="Arial" w:hAnsi="Arial"/>
                <w:sz w:val="15"/>
                <w:szCs w:val="15"/>
                <w:color w:val="auto"/>
              </w:rPr>
              <w:t>Other income, net</w:t>
            </w:r>
          </w:p>
        </w:tc>
        <w:tc>
          <w:tcPr>
            <w:tcW w:w="20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2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(14,628)</w:t>
            </w:r>
          </w:p>
        </w:tc>
      </w:tr>
      <w:tr>
        <w:trPr>
          <w:trHeight w:val="189"/>
        </w:trPr>
        <w:tc>
          <w:tcPr>
            <w:tcW w:w="7860" w:type="dxa"/>
            <w:vAlign w:val="bottom"/>
          </w:tcPr>
          <w:p>
            <w:pPr>
              <w:ind w:left="20"/>
              <w:spacing w:after="0"/>
              <w:rPr>
                <w:sz w:val="20"/>
                <w:szCs w:val="20"/>
                <w:color w:val="auto"/>
              </w:rPr>
            </w:pPr>
            <w:r>
              <w:rPr>
                <w:rFonts w:ascii="Arial" w:cs="Arial" w:eastAsia="Arial" w:hAnsi="Arial"/>
                <w:sz w:val="15"/>
                <w:szCs w:val="15"/>
                <w:color w:val="auto"/>
              </w:rPr>
              <w:t>Income before provision for income taxes</w:t>
            </w: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93,623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76,391</w:t>
            </w:r>
          </w:p>
        </w:tc>
      </w:tr>
      <w:tr>
        <w:trPr>
          <w:trHeight w:val="22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6,593</w:t>
            </w:r>
          </w:p>
        </w:tc>
      </w:tr>
      <w:tr>
        <w:trPr>
          <w:trHeight w:val="189"/>
        </w:trPr>
        <w:tc>
          <w:tcPr>
            <w:tcW w:w="78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77,694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69,798</w:t>
            </w:r>
          </w:p>
        </w:tc>
      </w:tr>
      <w:tr>
        <w:trPr>
          <w:trHeight w:val="229"/>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936</w:t>
            </w:r>
          </w:p>
        </w:tc>
      </w:tr>
      <w:tr>
        <w:trPr>
          <w:trHeight w:val="166"/>
        </w:trPr>
        <w:tc>
          <w:tcPr>
            <w:tcW w:w="7860" w:type="dxa"/>
            <w:vAlign w:val="bottom"/>
          </w:tcPr>
          <w:p>
            <w:pPr>
              <w:ind w:left="20"/>
              <w:spacing w:after="0" w:line="167" w:lineRule="exact"/>
              <w:rPr>
                <w:sz w:val="20"/>
                <w:szCs w:val="20"/>
                <w:color w:val="auto"/>
              </w:rPr>
            </w:pPr>
            <w:r>
              <w:rPr>
                <w:rFonts w:ascii="Arial" w:cs="Arial" w:eastAsia="Arial" w:hAnsi="Arial"/>
                <w:sz w:val="15"/>
                <w:szCs w:val="15"/>
                <w:color w:val="auto"/>
              </w:rPr>
              <w:t>Net income attributable to Bloomin’ Brands</w:t>
            </w:r>
          </w:p>
        </w:tc>
        <w:tc>
          <w:tcPr>
            <w:tcW w:w="200" w:type="dxa"/>
            <w:vAlign w:val="bottom"/>
            <w:tcBorders>
              <w:bottom w:val="single" w:sz="8" w:color="auto"/>
            </w:tcBorders>
          </w:tcPr>
          <w:p>
            <w:pPr>
              <w:jc w:val="right"/>
              <w:ind w:right="23"/>
              <w:spacing w:after="0" w:line="167" w:lineRule="exact"/>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75,511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3"/>
              <w:spacing w:after="0" w:line="167" w:lineRule="exact"/>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68,862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2"/>
        </w:trPr>
        <w:tc>
          <w:tcPr>
            <w:tcW w:w="7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3"/>
        </w:trPr>
        <w:tc>
          <w:tcPr>
            <w:tcW w:w="78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77,694</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69,798</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3"/>
        </w:trPr>
        <w:tc>
          <w:tcPr>
            <w:tcW w:w="7860" w:type="dxa"/>
            <w:vAlign w:val="bottom"/>
          </w:tcPr>
          <w:p>
            <w:pPr>
              <w:ind w:left="140"/>
              <w:spacing w:after="0"/>
              <w:rPr>
                <w:sz w:val="20"/>
                <w:szCs w:val="20"/>
                <w:color w:val="auto"/>
              </w:rPr>
            </w:pPr>
            <w:r>
              <w:rPr>
                <w:rFonts w:ascii="Arial" w:cs="Arial" w:eastAsia="Arial" w:hAnsi="Arial"/>
                <w:sz w:val="15"/>
                <w:szCs w:val="15"/>
                <w:color w:val="auto"/>
              </w:rPr>
              <w:t>Foreign currency translation adjustment</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11,283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(6,575)</w:t>
            </w:r>
          </w:p>
        </w:tc>
      </w:tr>
      <w:tr>
        <w:trPr>
          <w:trHeight w:val="209"/>
        </w:trPr>
        <w:tc>
          <w:tcPr>
            <w:tcW w:w="7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Unrealized gain (loss) on derivatives, net of tax</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r>
      <w:tr>
        <w:trPr>
          <w:trHeight w:val="203"/>
        </w:trPr>
        <w:tc>
          <w:tcPr>
            <w:tcW w:w="7860" w:type="dxa"/>
            <w:vAlign w:val="bottom"/>
          </w:tcPr>
          <w:p>
            <w:pPr>
              <w:ind w:left="140"/>
              <w:spacing w:after="0"/>
              <w:rPr>
                <w:sz w:val="20"/>
                <w:szCs w:val="20"/>
                <w:color w:val="auto"/>
              </w:rPr>
            </w:pPr>
            <w:r>
              <w:rPr>
                <w:rFonts w:ascii="Arial" w:cs="Arial" w:eastAsia="Arial" w:hAnsi="Arial"/>
                <w:sz w:val="15"/>
                <w:szCs w:val="15"/>
                <w:color w:val="auto"/>
              </w:rPr>
              <w:t>Reclassification of adjustments for loss on derivatives included in Net income, net of tax</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3,003</w:t>
            </w:r>
          </w:p>
        </w:tc>
      </w:tr>
      <w:tr>
        <w:trPr>
          <w:trHeight w:val="229"/>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Impact of terminated interest rate swaps included in Net income, net of tax</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5"/>
                <w:szCs w:val="15"/>
                <w:color w:val="auto"/>
              </w:rPr>
              <w:t>Comprehensive income</w:t>
            </w: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93,252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66,184</w:t>
            </w:r>
          </w:p>
        </w:tc>
      </w:tr>
      <w:tr>
        <w:trPr>
          <w:trHeight w:val="215"/>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Less: comprehensive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936</w:t>
            </w:r>
          </w:p>
        </w:tc>
      </w:tr>
      <w:tr>
        <w:trPr>
          <w:trHeight w:val="206"/>
        </w:trPr>
        <w:tc>
          <w:tcPr>
            <w:tcW w:w="7860" w:type="dxa"/>
            <w:vAlign w:val="bottom"/>
          </w:tcPr>
          <w:p>
            <w:pPr>
              <w:ind w:left="20"/>
              <w:spacing w:after="0"/>
              <w:rPr>
                <w:sz w:val="20"/>
                <w:szCs w:val="20"/>
                <w:color w:val="auto"/>
              </w:rPr>
            </w:pPr>
            <w:r>
              <w:rPr>
                <w:rFonts w:ascii="Arial" w:cs="Arial" w:eastAsia="Arial" w:hAnsi="Arial"/>
                <w:sz w:val="15"/>
                <w:szCs w:val="15"/>
                <w:color w:val="auto"/>
              </w:rPr>
              <w:t>Comprehensive income attributable to Bloomin’ Brands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91,069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65,248</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1"/>
        </w:trPr>
        <w:tc>
          <w:tcPr>
            <w:tcW w:w="7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3"/>
        </w:trPr>
        <w:tc>
          <w:tcPr>
            <w:tcW w:w="7860" w:type="dxa"/>
            <w:vAlign w:val="bottom"/>
          </w:tcPr>
          <w:p>
            <w:pPr>
              <w:ind w:left="20"/>
              <w:spacing w:after="0"/>
              <w:rPr>
                <w:sz w:val="20"/>
                <w:szCs w:val="20"/>
                <w:color w:val="auto"/>
              </w:rPr>
            </w:pPr>
            <w:r>
              <w:rPr>
                <w:rFonts w:ascii="Arial" w:cs="Arial" w:eastAsia="Arial" w:hAnsi="Arial"/>
                <w:sz w:val="15"/>
                <w:szCs w:val="15"/>
                <w:color w:val="auto"/>
              </w:rPr>
              <w:t>Earnings per share:</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4"/>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7860" w:type="dxa"/>
            <w:vAlign w:val="bottom"/>
          </w:tcPr>
          <w:p>
            <w:pPr>
              <w:ind w:left="140"/>
              <w:spacing w:after="0"/>
              <w:rPr>
                <w:sz w:val="20"/>
                <w:szCs w:val="20"/>
                <w:color w:val="auto"/>
              </w:rPr>
            </w:pPr>
            <w:r>
              <w:rPr>
                <w:rFonts w:ascii="Arial" w:cs="Arial" w:eastAsia="Arial" w:hAnsi="Arial"/>
                <w:sz w:val="15"/>
                <w:szCs w:val="15"/>
                <w:color w:val="auto"/>
              </w:rPr>
              <w:t>Diluted</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0.63</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2"/>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common shares outstanding:</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6"/>
        </w:trPr>
        <w:tc>
          <w:tcPr>
            <w:tcW w:w="7860" w:type="dxa"/>
            <w:vAlign w:val="bottom"/>
          </w:tcPr>
          <w:p>
            <w:pPr>
              <w:ind w:left="140"/>
              <w:spacing w:after="0"/>
              <w:rPr>
                <w:sz w:val="20"/>
                <w:szCs w:val="20"/>
                <w:color w:val="auto"/>
              </w:rPr>
            </w:pPr>
            <w:r>
              <w:rPr>
                <w:rFonts w:ascii="Arial" w:cs="Arial" w:eastAsia="Arial" w:hAnsi="Arial"/>
                <w:sz w:val="15"/>
                <w:szCs w:val="15"/>
                <w:color w:val="auto"/>
              </w:rPr>
              <w:t>Basic</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89,355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88,367</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103,454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110,641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BLOOMIN’ BRANDS, INC.</w:t>
            </w: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2360" w:type="dxa"/>
            <w:vAlign w:val="bottom"/>
          </w:tcPr>
          <w:p>
            <w:pPr>
              <w:spacing w:after="0"/>
              <w:rPr>
                <w:sz w:val="24"/>
                <w:szCs w:val="24"/>
                <w:color w:val="auto"/>
              </w:rPr>
            </w:pPr>
          </w:p>
        </w:tc>
        <w:tc>
          <w:tcPr>
            <w:tcW w:w="1980" w:type="dxa"/>
            <w:vAlign w:val="bottom"/>
            <w:gridSpan w:val="8"/>
          </w:tcPr>
          <w:p>
            <w:pPr>
              <w:ind w:left="34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3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3"/>
          </w:tcPr>
          <w:p>
            <w:pPr>
              <w:ind w:left="20"/>
              <w:spacing w:after="0" w:line="58" w:lineRule="exact"/>
              <w:rPr>
                <w:sz w:val="20"/>
                <w:szCs w:val="20"/>
                <w:color w:val="auto"/>
              </w:rPr>
            </w:pPr>
            <w:r>
              <w:rPr>
                <w:rFonts w:ascii="Arial" w:cs="Arial" w:eastAsia="Arial" w:hAnsi="Arial"/>
                <w:sz w:val="6"/>
                <w:szCs w:val="6"/>
                <w:b w:val="1"/>
                <w:bCs w:val="1"/>
                <w:color w:val="auto"/>
              </w:rPr>
              <w:t>ADDITIONAL</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tcPr>
          <w:p>
            <w:pPr>
              <w:ind w:left="80"/>
              <w:spacing w:after="0" w:line="58" w:lineRule="exact"/>
              <w:rPr>
                <w:sz w:val="20"/>
                <w:szCs w:val="20"/>
                <w:color w:val="auto"/>
              </w:rPr>
            </w:pPr>
            <w:r>
              <w:rPr>
                <w:rFonts w:ascii="Arial" w:cs="Arial" w:eastAsia="Arial" w:hAnsi="Arial"/>
                <w:sz w:val="6"/>
                <w:szCs w:val="6"/>
                <w:b w:val="1"/>
                <w:bCs w:val="1"/>
                <w:color w:val="auto"/>
              </w:rPr>
              <w:t>ULATED</w:t>
            </w:r>
          </w:p>
        </w:tc>
        <w:tc>
          <w:tcPr>
            <w:tcW w:w="20" w:type="dxa"/>
            <w:vAlign w:val="bottom"/>
          </w:tcPr>
          <w:p>
            <w:pPr>
              <w:spacing w:after="0"/>
              <w:rPr>
                <w:sz w:val="4"/>
                <w:szCs w:val="4"/>
                <w:color w:val="auto"/>
              </w:rPr>
            </w:pPr>
          </w:p>
        </w:tc>
        <w:tc>
          <w:tcPr>
            <w:tcW w:w="1760" w:type="dxa"/>
            <w:vAlign w:val="bottom"/>
            <w:gridSpan w:val="4"/>
          </w:tcPr>
          <w:p>
            <w:pPr>
              <w:spacing w:after="0" w:line="58" w:lineRule="exact"/>
              <w:rPr>
                <w:sz w:val="20"/>
                <w:szCs w:val="20"/>
                <w:color w:val="auto"/>
              </w:rPr>
            </w:pPr>
            <w:r>
              <w:rPr>
                <w:rFonts w:ascii="Arial" w:cs="Arial" w:eastAsia="Arial" w:hAnsi="Arial"/>
                <w:sz w:val="6"/>
                <w:szCs w:val="6"/>
                <w:b w:val="1"/>
                <w:bCs w:val="1"/>
                <w:color w:val="auto"/>
              </w:rPr>
              <w:t>ACCUMULATED OTHER</w:t>
            </w:r>
          </w:p>
        </w:tc>
        <w:tc>
          <w:tcPr>
            <w:tcW w:w="20" w:type="dxa"/>
            <w:vAlign w:val="bottom"/>
          </w:tcPr>
          <w:p>
            <w:pPr>
              <w:spacing w:after="0"/>
              <w:rPr>
                <w:sz w:val="4"/>
                <w:szCs w:val="4"/>
                <w:color w:val="auto"/>
              </w:rPr>
            </w:pPr>
          </w:p>
        </w:tc>
        <w:tc>
          <w:tcPr>
            <w:tcW w:w="1580" w:type="dxa"/>
            <w:vAlign w:val="bottom"/>
            <w:gridSpan w:val="3"/>
          </w:tcPr>
          <w:p>
            <w:pPr>
              <w:jc w:val="center"/>
              <w:ind w:right="100"/>
              <w:spacing w:after="0" w:line="58" w:lineRule="exact"/>
              <w:rPr>
                <w:sz w:val="20"/>
                <w:szCs w:val="20"/>
                <w:color w:val="auto"/>
              </w:rPr>
            </w:pPr>
            <w:r>
              <w:rPr>
                <w:rFonts w:ascii="Arial" w:cs="Arial" w:eastAsia="Arial" w:hAnsi="Arial"/>
                <w:sz w:val="6"/>
                <w:szCs w:val="6"/>
                <w:b w:val="1"/>
                <w:bCs w:val="1"/>
                <w:color w:val="auto"/>
              </w:rPr>
              <w:t>NON-CONTROLLING</w:t>
            </w: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PAID-IN CAPITAL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6"/>
                <w:szCs w:val="16"/>
                <w:color w:val="auto"/>
              </w:rPr>
            </w:pP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rPr>
              <w:t>COMPREHENSIVE LOSS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INTERESTS</w:t>
            </w:r>
          </w:p>
        </w:tc>
        <w:tc>
          <w:tcPr>
            <w:tcW w:w="160" w:type="dxa"/>
            <w:vAlign w:val="bottom"/>
          </w:tcPr>
          <w:p>
            <w:pPr>
              <w:spacing w:after="0"/>
              <w:rPr>
                <w:sz w:val="16"/>
                <w:szCs w:val="16"/>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3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86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89,253</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893</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vMerge w:val="restart"/>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1,119,728</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(698,171)</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(205,989)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gridSpan w:val="2"/>
            <w:vMerge w:val="restart"/>
            <w:shd w:val="clear" w:color="auto" w:fill="CCEEFF"/>
          </w:tcPr>
          <w:p>
            <w:pPr>
              <w:jc w:val="right"/>
              <w:ind w:right="111"/>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6,389</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222,850</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26, 2021</w:t>
            </w:r>
          </w:p>
        </w:tc>
        <w:tc>
          <w:tcPr>
            <w:tcW w:w="8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75,511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2,183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77,694</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5"/>
              </w:rPr>
              <w:t>Other comprehensive income, net of</w:t>
            </w:r>
          </w:p>
        </w:tc>
        <w:tc>
          <w:tcPr>
            <w:tcW w:w="9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15,558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15,558</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w:t>
            </w:r>
          </w:p>
        </w:tc>
        <w:tc>
          <w:tcPr>
            <w:tcW w:w="9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w w:val="98"/>
              </w:rPr>
              <w:t>Cash dividends declared, $0.14 per</w:t>
            </w: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(12,559)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(12,559)</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common share</w:t>
            </w:r>
          </w:p>
        </w:tc>
        <w:tc>
          <w:tcPr>
            <w:tcW w:w="9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Repurchase and retirement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(11,696)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(11,702)</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w:t>
            </w:r>
          </w:p>
        </w:tc>
        <w:tc>
          <w:tcPr>
            <w:tcW w:w="8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9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4,843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4,843</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Common stock issued under stock</w:t>
            </w:r>
          </w:p>
        </w:tc>
        <w:tc>
          <w:tcPr>
            <w:tcW w:w="8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483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885</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plans (1)</w:t>
            </w:r>
          </w:p>
        </w:tc>
        <w:tc>
          <w:tcPr>
            <w:tcW w:w="8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w w:val="95"/>
              </w:rPr>
              <w:t>Purchase of noncontrolling interests,</w:t>
            </w: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2,566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(4,454)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(1,888)</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net of tax of $888</w:t>
            </w:r>
          </w:p>
        </w:tc>
        <w:tc>
          <w:tcPr>
            <w:tcW w:w="9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Distributions to noncontrolling</w:t>
            </w:r>
          </w:p>
        </w:tc>
        <w:tc>
          <w:tcPr>
            <w:tcW w:w="9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(2,641)</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Contributions from noncontrolling</w:t>
            </w: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217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194"/>
        </w:trPr>
        <w:tc>
          <w:tcPr>
            <w:tcW w:w="2360" w:type="dxa"/>
            <w:vAlign w:val="bottom"/>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3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86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89,185</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892</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vMerge w:val="restart"/>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1,115,458</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(634,356)</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(190,431)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gridSpan w:val="2"/>
            <w:vMerge w:val="restart"/>
            <w:shd w:val="clear" w:color="auto" w:fill="CCEEFF"/>
          </w:tcPr>
          <w:p>
            <w:pPr>
              <w:jc w:val="right"/>
              <w:ind w:right="111"/>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1,694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293,257</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March 27, 2022</w:t>
            </w: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gridSpan w:val="2"/>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vMerge w:val="continue"/>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3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BLOOMIN’ BRANDS, INC.</w:t>
            </w:r>
          </w:p>
        </w:tc>
        <w:tc>
          <w:tcPr>
            <w:tcW w:w="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2360" w:type="dxa"/>
            <w:vAlign w:val="bottom"/>
          </w:tcPr>
          <w:p>
            <w:pPr>
              <w:spacing w:after="0"/>
              <w:rPr>
                <w:sz w:val="24"/>
                <w:szCs w:val="24"/>
                <w:color w:val="auto"/>
              </w:rPr>
            </w:pPr>
          </w:p>
        </w:tc>
        <w:tc>
          <w:tcPr>
            <w:tcW w:w="1980" w:type="dxa"/>
            <w:vAlign w:val="bottom"/>
            <w:gridSpan w:val="8"/>
          </w:tcPr>
          <w:p>
            <w:pPr>
              <w:ind w:left="36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ACCUM-</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3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3"/>
          </w:tcPr>
          <w:p>
            <w:pPr>
              <w:jc w:val="center"/>
              <w:ind w:right="180"/>
              <w:spacing w:after="0" w:line="58" w:lineRule="exact"/>
              <w:rPr>
                <w:sz w:val="20"/>
                <w:szCs w:val="20"/>
                <w:color w:val="auto"/>
              </w:rPr>
            </w:pPr>
            <w:r>
              <w:rPr>
                <w:rFonts w:ascii="Arial" w:cs="Arial" w:eastAsia="Arial" w:hAnsi="Arial"/>
                <w:sz w:val="6"/>
                <w:szCs w:val="6"/>
                <w:b w:val="1"/>
                <w:bCs w:val="1"/>
                <w:color w:val="auto"/>
              </w:rPr>
              <w:t>ADDITIONAL</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tcPr>
          <w:p>
            <w:pPr>
              <w:ind w:left="120"/>
              <w:spacing w:after="0" w:line="58" w:lineRule="exact"/>
              <w:rPr>
                <w:sz w:val="20"/>
                <w:szCs w:val="20"/>
                <w:color w:val="auto"/>
              </w:rPr>
            </w:pPr>
            <w:r>
              <w:rPr>
                <w:rFonts w:ascii="Arial" w:cs="Arial" w:eastAsia="Arial" w:hAnsi="Arial"/>
                <w:sz w:val="6"/>
                <w:szCs w:val="6"/>
                <w:b w:val="1"/>
                <w:bCs w:val="1"/>
                <w:color w:val="auto"/>
              </w:rPr>
              <w:t>ULATED</w:t>
            </w:r>
          </w:p>
        </w:tc>
        <w:tc>
          <w:tcPr>
            <w:tcW w:w="20" w:type="dxa"/>
            <w:vAlign w:val="bottom"/>
          </w:tcPr>
          <w:p>
            <w:pPr>
              <w:spacing w:after="0"/>
              <w:rPr>
                <w:sz w:val="4"/>
                <w:szCs w:val="4"/>
                <w:color w:val="auto"/>
              </w:rPr>
            </w:pPr>
          </w:p>
        </w:tc>
        <w:tc>
          <w:tcPr>
            <w:tcW w:w="1760" w:type="dxa"/>
            <w:vAlign w:val="bottom"/>
            <w:gridSpan w:val="4"/>
          </w:tcPr>
          <w:p>
            <w:pPr>
              <w:ind w:left="20"/>
              <w:spacing w:after="0" w:line="58" w:lineRule="exact"/>
              <w:rPr>
                <w:sz w:val="20"/>
                <w:szCs w:val="20"/>
                <w:color w:val="auto"/>
              </w:rPr>
            </w:pPr>
            <w:r>
              <w:rPr>
                <w:rFonts w:ascii="Arial" w:cs="Arial" w:eastAsia="Arial" w:hAnsi="Arial"/>
                <w:sz w:val="6"/>
                <w:szCs w:val="6"/>
                <w:b w:val="1"/>
                <w:bCs w:val="1"/>
                <w:color w:val="auto"/>
              </w:rPr>
              <w:t>ACCUMULATED OTHER</w:t>
            </w:r>
          </w:p>
        </w:tc>
        <w:tc>
          <w:tcPr>
            <w:tcW w:w="20" w:type="dxa"/>
            <w:vAlign w:val="bottom"/>
          </w:tcPr>
          <w:p>
            <w:pPr>
              <w:spacing w:after="0"/>
              <w:rPr>
                <w:sz w:val="4"/>
                <w:szCs w:val="4"/>
                <w:color w:val="auto"/>
              </w:rPr>
            </w:pPr>
          </w:p>
        </w:tc>
        <w:tc>
          <w:tcPr>
            <w:tcW w:w="1580" w:type="dxa"/>
            <w:vAlign w:val="bottom"/>
            <w:gridSpan w:val="3"/>
          </w:tcPr>
          <w:p>
            <w:pPr>
              <w:jc w:val="center"/>
              <w:ind w:right="100"/>
              <w:spacing w:after="0" w:line="58" w:lineRule="exact"/>
              <w:rPr>
                <w:sz w:val="20"/>
                <w:szCs w:val="20"/>
                <w:color w:val="auto"/>
              </w:rPr>
            </w:pPr>
            <w:r>
              <w:rPr>
                <w:rFonts w:ascii="Arial" w:cs="Arial" w:eastAsia="Arial" w:hAnsi="Arial"/>
                <w:sz w:val="6"/>
                <w:szCs w:val="6"/>
                <w:b w:val="1"/>
                <w:bCs w:val="1"/>
                <w:color w:val="auto"/>
              </w:rPr>
              <w:t>NON-CONTROLLING</w:t>
            </w: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3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PAID-IN CAPITAL</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COMPREHENSIVE LOSS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6"/>
              </w:rPr>
              <w:t>INTERESTS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360" w:type="dxa"/>
            <w:vAlign w:val="bottom"/>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87,856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1,132,808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shd w:val="clear" w:color="auto" w:fill="CCEEFF"/>
          </w:tcPr>
          <w:p>
            <w:pPr>
              <w:ind w:left="320"/>
              <w:spacing w:after="0"/>
              <w:rPr>
                <w:sz w:val="20"/>
                <w:szCs w:val="20"/>
                <w:color w:val="auto"/>
              </w:rPr>
            </w:pPr>
            <w:r>
              <w:rPr>
                <w:rFonts w:ascii="Arial" w:cs="Arial" w:eastAsia="Arial" w:hAnsi="Arial"/>
                <w:sz w:val="15"/>
                <w:szCs w:val="15"/>
                <w:color w:val="auto"/>
                <w:w w:val="96"/>
              </w:rPr>
              <w:t>(918,096)</w:t>
            </w: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(211,446)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91"/>
              <w:spacing w:after="0"/>
              <w:rPr>
                <w:sz w:val="20"/>
                <w:szCs w:val="20"/>
                <w:color w:val="auto"/>
              </w:rPr>
            </w:pPr>
            <w:r>
              <w:rPr>
                <w:rFonts w:ascii="Arial" w:cs="Arial" w:eastAsia="Arial" w:hAnsi="Arial"/>
                <w:sz w:val="15"/>
                <w:szCs w:val="15"/>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6,812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10,957</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27, 2020</w:t>
            </w:r>
          </w:p>
        </w:tc>
        <w:tc>
          <w:tcPr>
            <w:tcW w:w="8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w w:val="99"/>
              </w:rPr>
              <w:t>Cumulative-effect from a change in</w:t>
            </w: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(47,323)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4,370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gridSpan w:val="3"/>
            <w:vMerge w:val="restart"/>
          </w:tcPr>
          <w:p>
            <w:pPr>
              <w:ind w:left="9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(42,953)</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accounting principle, net of tax</w:t>
            </w:r>
          </w:p>
        </w:tc>
        <w:tc>
          <w:tcPr>
            <w:tcW w:w="9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69,798</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w w:val="94"/>
              </w:rPr>
              <w:t>Other comprehensive loss, net of tax</w:t>
            </w: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(3,614)</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4,726</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Common stock issued under stock</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999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7,428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gridSpan w:val="3"/>
            <w:vMerge w:val="restart"/>
          </w:tcPr>
          <w:p>
            <w:pPr>
              <w:ind w:left="9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7,438</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plans (1)</w:t>
            </w: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Distributions to noncontrolling</w:t>
            </w:r>
          </w:p>
        </w:tc>
        <w:tc>
          <w:tcPr>
            <w:tcW w:w="9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gridSpan w:val="3"/>
            <w:vMerge w:val="restart"/>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(1,458)</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Contributions from noncontrolling</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gridSpan w:val="2"/>
            <w:vMerge w:val="restart"/>
          </w:tcPr>
          <w:p>
            <w:pPr>
              <w:ind w:left="90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511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194"/>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interests</w:t>
            </w:r>
          </w:p>
        </w:tc>
        <w:tc>
          <w:tcPr>
            <w:tcW w:w="9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360" w:type="dxa"/>
            <w:vAlign w:val="bottom"/>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88,855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1,097,639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shd w:val="clear" w:color="auto" w:fill="CCEEFF"/>
          </w:tcPr>
          <w:p>
            <w:pPr>
              <w:ind w:left="320"/>
              <w:spacing w:after="0"/>
              <w:rPr>
                <w:sz w:val="20"/>
                <w:szCs w:val="20"/>
                <w:color w:val="auto"/>
              </w:rPr>
            </w:pPr>
            <w:r>
              <w:rPr>
                <w:rFonts w:ascii="Arial" w:cs="Arial" w:eastAsia="Arial" w:hAnsi="Arial"/>
                <w:sz w:val="15"/>
                <w:szCs w:val="15"/>
                <w:color w:val="auto"/>
                <w:w w:val="96"/>
              </w:rPr>
              <w:t>(844,864)</w:t>
            </w: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(215,060)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91"/>
              <w:spacing w:after="0"/>
              <w:rPr>
                <w:sz w:val="20"/>
                <w:szCs w:val="20"/>
                <w:color w:val="auto"/>
              </w:rPr>
            </w:pPr>
            <w:r>
              <w:rPr>
                <w:rFonts w:ascii="Arial" w:cs="Arial" w:eastAsia="Arial" w:hAnsi="Arial"/>
                <w:sz w:val="15"/>
                <w:szCs w:val="15"/>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6,801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45,405</w:t>
            </w: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28, 2021</w:t>
            </w:r>
          </w:p>
        </w:tc>
        <w:tc>
          <w:tcPr>
            <w:tcW w:w="8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forfeitures and shares withheld for employee taxes.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4"/>
          </w:tcPr>
          <w:p>
            <w:pPr>
              <w:jc w:val="right"/>
              <w:ind w:right="1043"/>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7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27, 2022</w:t>
            </w:r>
          </w:p>
        </w:tc>
        <w:tc>
          <w:tcPr>
            <w:tcW w:w="280" w:type="dxa"/>
            <w:vAlign w:val="bottom"/>
          </w:tcPr>
          <w:p>
            <w:pPr>
              <w:spacing w:after="0"/>
              <w:rPr>
                <w:sz w:val="16"/>
                <w:szCs w:val="16"/>
                <w:color w:val="auto"/>
              </w:rPr>
            </w:pPr>
          </w:p>
        </w:tc>
        <w:tc>
          <w:tcPr>
            <w:tcW w:w="1680" w:type="dxa"/>
            <w:vAlign w:val="bottom"/>
          </w:tcPr>
          <w:p>
            <w:pPr>
              <w:jc w:val="right"/>
              <w:ind w:right="383"/>
              <w:spacing w:after="0"/>
              <w:rPr>
                <w:sz w:val="20"/>
                <w:szCs w:val="20"/>
                <w:color w:val="auto"/>
              </w:rPr>
            </w:pPr>
            <w:r>
              <w:rPr>
                <w:rFonts w:ascii="Arial" w:cs="Arial" w:eastAsia="Arial" w:hAnsi="Arial"/>
                <w:sz w:val="14"/>
                <w:szCs w:val="14"/>
                <w:b w:val="1"/>
                <w:bCs w:val="1"/>
                <w:color w:val="auto"/>
              </w:rPr>
              <w:t>MARCH 28, 2021</w:t>
            </w:r>
          </w:p>
        </w:tc>
      </w:tr>
      <w:tr>
        <w:trPr>
          <w:trHeight w:val="245"/>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provided by operating activities:</w:t>
            </w:r>
          </w:p>
        </w:tc>
        <w:tc>
          <w:tcPr>
            <w:tcW w:w="280" w:type="dxa"/>
            <w:vAlign w:val="bottom"/>
            <w:tcBorders>
              <w:top w:val="single" w:sz="8" w:color="auto"/>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spacing w:after="0"/>
              <w:rPr>
                <w:sz w:val="21"/>
                <w:szCs w:val="2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77,694</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69,798</w:t>
            </w:r>
          </w:p>
        </w:tc>
      </w:tr>
      <w:tr>
        <w:trPr>
          <w:trHeight w:val="209"/>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cash provided by operating activities: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41,775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41,226</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Amortization of debt discounts and issuance costs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1,308</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Amortization of deferred gift card sales commissions</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8,017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8,725</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Provision for impaired assets and restaurant closings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2,200</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Non-cash interest expense from terminated interest rate swaps</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4,067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Non-cash operating lease costs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19,502</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Stock-based and other non-cash compensation expense</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4,843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4,726</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income tax expense</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1,571</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Other, net</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2,229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(829)</w:t>
            </w:r>
          </w:p>
        </w:tc>
      </w:tr>
      <w:tr>
        <w:trPr>
          <w:trHeight w:val="202"/>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Change in assets and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(18,080)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(7,201)</w:t>
            </w:r>
          </w:p>
        </w:tc>
      </w:tr>
      <w:tr>
        <w:trPr>
          <w:trHeight w:val="212"/>
        </w:trPr>
        <w:tc>
          <w:tcPr>
            <w:tcW w:w="7220" w:type="dxa"/>
            <w:vAlign w:val="bottom"/>
            <w:tcBorders>
              <w:bottom w:val="single" w:sz="8" w:color="CCEEFF"/>
            </w:tcBorders>
          </w:tcPr>
          <w:p>
            <w:pPr>
              <w:ind w:left="940"/>
              <w:spacing w:after="0"/>
              <w:rPr>
                <w:sz w:val="20"/>
                <w:szCs w:val="20"/>
                <w:color w:val="auto"/>
              </w:rPr>
            </w:pPr>
            <w:r>
              <w:rPr>
                <w:rFonts w:ascii="Arial" w:cs="Arial" w:eastAsia="Arial" w:hAnsi="Arial"/>
                <w:sz w:val="15"/>
                <w:szCs w:val="15"/>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147,135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141,026</w:t>
            </w:r>
          </w:p>
        </w:tc>
      </w:tr>
      <w:tr>
        <w:trPr>
          <w:trHeight w:val="206"/>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used in investing activities:</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Capital expenditures</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(40,180)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(17,411)</w:t>
            </w:r>
          </w:p>
        </w:tc>
      </w:tr>
      <w:tr>
        <w:trPr>
          <w:trHeight w:val="229"/>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Other investments, net</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793</w:t>
            </w:r>
          </w:p>
        </w:tc>
      </w:tr>
      <w:tr>
        <w:trPr>
          <w:trHeight w:val="185"/>
        </w:trPr>
        <w:tc>
          <w:tcPr>
            <w:tcW w:w="7220" w:type="dxa"/>
            <w:vAlign w:val="bottom"/>
            <w:tcBorders>
              <w:bottom w:val="single" w:sz="8" w:color="CCEEFF"/>
            </w:tcBorders>
          </w:tcPr>
          <w:p>
            <w:pPr>
              <w:ind w:left="94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(39,150)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(16,618)</w:t>
            </w:r>
          </w:p>
        </w:tc>
      </w:tr>
      <w:tr>
        <w:trPr>
          <w:trHeight w:val="193"/>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used in financing activities:</w:t>
            </w: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Repayments of long-term debt and finance lease obligations</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(2,863)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(9,656)</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borrowings on revolving credit facilities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15,000</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Repayments of borrowings on revolving credit facilities</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(160,000)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(107,000)</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share-based compensation, net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7,438</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Distributions to noncontrolling interests</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(2,641)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(1,458)</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Contributions from noncontrolling interests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Purchase of noncontrolling interests</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for partner equity plan</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Repurchase of common stock</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(10,402)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Cash dividends paid on common stock</w:t>
            </w: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(12,559)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7220" w:type="dxa"/>
            <w:vAlign w:val="bottom"/>
            <w:tcBorders>
              <w:bottom w:val="single" w:sz="8" w:color="CCEEFF"/>
            </w:tcBorders>
          </w:tcPr>
          <w:p>
            <w:pPr>
              <w:ind w:left="940"/>
              <w:spacing w:after="0"/>
              <w:rPr>
                <w:sz w:val="20"/>
                <w:szCs w:val="20"/>
                <w:color w:val="auto"/>
              </w:rPr>
            </w:pPr>
            <w:r>
              <w:rPr>
                <w:rFonts w:ascii="Arial" w:cs="Arial" w:eastAsia="Arial" w:hAnsi="Arial"/>
                <w:sz w:val="15"/>
                <w:szCs w:val="15"/>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(101,111)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(96,912)</w:t>
            </w:r>
          </w:p>
        </w:tc>
      </w:tr>
      <w:tr>
        <w:trPr>
          <w:trHeight w:val="21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(1,246)</w:t>
            </w:r>
          </w:p>
        </w:tc>
      </w:tr>
      <w:tr>
        <w:trPr>
          <w:trHeight w:val="189"/>
        </w:trPr>
        <w:tc>
          <w:tcPr>
            <w:tcW w:w="7220" w:type="dxa"/>
            <w:vAlign w:val="bottom"/>
          </w:tcPr>
          <w:p>
            <w:pPr>
              <w:ind w:left="20"/>
              <w:spacing w:after="0"/>
              <w:rPr>
                <w:sz w:val="20"/>
                <w:szCs w:val="20"/>
                <w:color w:val="auto"/>
              </w:rPr>
            </w:pPr>
            <w:r>
              <w:rPr>
                <w:rFonts w:ascii="Arial" w:cs="Arial" w:eastAsia="Arial" w:hAnsi="Arial"/>
                <w:sz w:val="15"/>
                <w:szCs w:val="15"/>
                <w:color w:val="auto"/>
              </w:rPr>
              <w:t>Net increase in cash, cash equivalents and restricted cash</w:t>
            </w:r>
          </w:p>
        </w:tc>
        <w:tc>
          <w:tcPr>
            <w:tcW w:w="2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8,839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26,250</w:t>
            </w:r>
          </w:p>
        </w:tc>
      </w:tr>
      <w:tr>
        <w:trPr>
          <w:trHeight w:val="21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as of the beginning of the period</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89,057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110,408</w:t>
            </w:r>
          </w:p>
        </w:tc>
      </w:tr>
      <w:tr>
        <w:trPr>
          <w:trHeight w:val="206"/>
        </w:trPr>
        <w:tc>
          <w:tcPr>
            <w:tcW w:w="722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as of the end of the period</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97,896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136,658</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72"/>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Cash paid for interest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2,444</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10,230</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paid for income taxes, net of refunds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2,150</w:t>
            </w:r>
          </w:p>
        </w:tc>
      </w:tr>
      <w:tr>
        <w:trPr>
          <w:trHeight w:val="203"/>
        </w:trPr>
        <w:tc>
          <w:tcPr>
            <w:tcW w:w="7220" w:type="dxa"/>
            <w:vAlign w:val="bottom"/>
          </w:tcPr>
          <w:p>
            <w:pPr>
              <w:ind w:left="20"/>
              <w:spacing w:after="0"/>
              <w:rPr>
                <w:sz w:val="20"/>
                <w:szCs w:val="20"/>
                <w:color w:val="auto"/>
              </w:rPr>
            </w:pPr>
            <w:r>
              <w:rPr>
                <w:rFonts w:ascii="Arial" w:cs="Arial" w:eastAsia="Arial" w:hAnsi="Arial"/>
                <w:sz w:val="15"/>
                <w:szCs w:val="15"/>
                <w:color w:val="auto"/>
              </w:rPr>
              <w:t>Supplemental disclosures of non-cash investing and financing activities:</w:t>
            </w: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Leased assets obtained in exchange for new operating lease liabilities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14,819</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Leased assets obtained in exchange for new finance lease liabilities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1,313</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(Decrease) increase in liabilities from the acquisition of property, fixtures and equipment</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2,005</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w:t>
      </w:r>
    </w:p>
    <w:p>
      <w:pPr>
        <w:spacing w:after="0" w:line="333" w:lineRule="exact"/>
        <w:rPr>
          <w:sz w:val="20"/>
          <w:szCs w:val="20"/>
          <w:color w:val="auto"/>
        </w:rPr>
      </w:pPr>
    </w:p>
    <w:p>
      <w:pPr>
        <w:ind w:left="340" w:hanging="337"/>
        <w:spacing w:after="0"/>
        <w:tabs>
          <w:tab w:leader="none" w:pos="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Description of the Business and Basis of Presentation</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Description of the Business - </w:t>
      </w:r>
      <w:r>
        <w:rPr>
          <w:rFonts w:ascii="Arial" w:cs="Arial" w:eastAsia="Arial" w:hAnsi="Arial"/>
          <w:sz w:val="19"/>
          <w:szCs w:val="19"/>
          <w:color w:val="auto"/>
        </w:rPr>
        <w:t>Bloomin’ Brands (“Bloomin’ Brands” or the “Company”) owns and operates casual, upscale casual and fine dining</w:t>
      </w:r>
      <w:r>
        <w:rPr>
          <w:rFonts w:ascii="Arial" w:cs="Arial" w:eastAsia="Arial" w:hAnsi="Arial"/>
          <w:sz w:val="19"/>
          <w:szCs w:val="19"/>
          <w:i w:val="1"/>
          <w:iCs w:val="1"/>
          <w:color w:val="auto"/>
        </w:rPr>
        <w:t xml:space="preserve"> </w:t>
      </w:r>
      <w:r>
        <w:rPr>
          <w:rFonts w:ascii="Arial" w:cs="Arial" w:eastAsia="Arial" w:hAnsi="Arial"/>
          <w:sz w:val="19"/>
          <w:szCs w:val="19"/>
          <w:color w:val="auto"/>
        </w:rPr>
        <w:t>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interim unaudited condensed consolidated financial statements have been prepared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26, 2021.</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i w:val="1"/>
          <w:iCs w:val="1"/>
          <w:color w:val="auto"/>
        </w:rPr>
        <w:t xml:space="preserve">Recently Issued Financial Accounting Standards Not Yet Adopted </w:t>
      </w:r>
      <w:r>
        <w:rPr>
          <w:rFonts w:ascii="Arial" w:cs="Arial" w:eastAsia="Arial" w:hAnsi="Arial"/>
          <w:sz w:val="19"/>
          <w:szCs w:val="19"/>
          <w:color w:val="auto"/>
        </w:rPr>
        <w:t>- In November 2021, the Financial Accounting Standards Board issued</w:t>
      </w:r>
      <w:r>
        <w:rPr>
          <w:rFonts w:ascii="Arial" w:cs="Arial" w:eastAsia="Arial" w:hAnsi="Arial"/>
          <w:sz w:val="19"/>
          <w:szCs w:val="19"/>
          <w:i w:val="1"/>
          <w:iCs w:val="1"/>
          <w:color w:val="auto"/>
        </w:rPr>
        <w:t xml:space="preserve"> </w:t>
      </w:r>
      <w:r>
        <w:rPr>
          <w:rFonts w:ascii="Arial" w:cs="Arial" w:eastAsia="Arial" w:hAnsi="Arial"/>
          <w:sz w:val="19"/>
          <w:szCs w:val="19"/>
          <w:color w:val="auto"/>
        </w:rPr>
        <w:t>Accounting Standards Update (“ASU”) No. 2021-10, “Government Assistance (Topic 832): Disclosures by Business Entities about Government Assistance” (“ASU No. 2021-10”), which requires financial statement footnote disclosure regarding government assistance accounted for by applying a grant or contribution accounting model by analogy. ASU No. 2021-10 is effective for the Company for the fiscal year ending December 25, 2022, with early adoption permitted. The Company is currently evaluating the impact the adoption of ASU No. 2021-10 will have on its financial statement disclosures.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Recent accounting guidance not discussed herein is not applicable, did not have, or is not expected to have a material impact to the Company.</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Reclassifications </w:t>
      </w:r>
      <w:r>
        <w:rPr>
          <w:rFonts w:ascii="Arial" w:cs="Arial" w:eastAsia="Arial" w:hAnsi="Arial"/>
          <w:sz w:val="19"/>
          <w:szCs w:val="19"/>
          <w:color w:val="auto"/>
        </w:rPr>
        <w:t>- 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including, but not limited to, presentation of certain items within the condensed consolidated statements of cash flows and certain notes to the consolidated financial statements. These reclassifications had no effect on previously reported net income.</w:t>
      </w:r>
    </w:p>
    <w:p>
      <w:pPr>
        <w:spacing w:after="0" w:line="206" w:lineRule="exact"/>
        <w:rPr>
          <w:sz w:val="20"/>
          <w:szCs w:val="20"/>
          <w:color w:val="auto"/>
        </w:rPr>
      </w:pPr>
    </w:p>
    <w:p>
      <w:pPr>
        <w:ind w:left="340" w:hanging="337"/>
        <w:spacing w:after="0"/>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Revenue Recognition</w:t>
      </w:r>
    </w:p>
    <w:p>
      <w:pPr>
        <w:spacing w:after="0" w:line="2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includes the categories of revenue included in the Company’s Consolidated Statements of Operations and Comprehensive Income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6"/>
                <w:szCs w:val="16"/>
                <w:color w:val="auto"/>
              </w:rPr>
            </w:pPr>
          </w:p>
        </w:tc>
        <w:tc>
          <w:tcPr>
            <w:tcW w:w="1360" w:type="dxa"/>
            <w:vAlign w:val="bottom"/>
          </w:tcPr>
          <w:p>
            <w:pPr>
              <w:jc w:val="right"/>
              <w:ind w:right="164"/>
              <w:spacing w:after="0"/>
              <w:rPr>
                <w:sz w:val="20"/>
                <w:szCs w:val="20"/>
                <w:color w:val="auto"/>
              </w:rPr>
            </w:pPr>
            <w:r>
              <w:rPr>
                <w:rFonts w:ascii="Arial" w:cs="Arial" w:eastAsia="Arial" w:hAnsi="Arial"/>
                <w:sz w:val="14"/>
                <w:szCs w:val="14"/>
                <w:b w:val="1"/>
                <w:bCs w:val="1"/>
                <w:color w:val="auto"/>
                <w:w w:val="99"/>
              </w:rPr>
              <w:t>MARCH 28, 2021</w:t>
            </w:r>
          </w:p>
        </w:tc>
      </w:tr>
      <w:tr>
        <w:trPr>
          <w:trHeight w:val="19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6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r>
      <w:tr>
        <w:trPr>
          <w:trHeight w:val="203"/>
        </w:trPr>
        <w:tc>
          <w:tcPr>
            <w:tcW w:w="810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1,123,575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979,451</w:t>
            </w:r>
          </w:p>
        </w:tc>
      </w:tr>
      <w:tr>
        <w:trPr>
          <w:trHeight w:val="209"/>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8100" w:type="dxa"/>
            <w:vAlign w:val="bottom"/>
          </w:tcPr>
          <w:p>
            <w:pPr>
              <w:ind w:left="220"/>
              <w:spacing w:after="0"/>
              <w:rPr>
                <w:sz w:val="20"/>
                <w:szCs w:val="20"/>
                <w:color w:val="auto"/>
              </w:rPr>
            </w:pPr>
            <w:r>
              <w:rPr>
                <w:rFonts w:ascii="Arial" w:cs="Arial" w:eastAsia="Arial" w:hAnsi="Arial"/>
                <w:sz w:val="15"/>
                <w:szCs w:val="15"/>
                <w:color w:val="auto"/>
              </w:rPr>
              <w:t>Franchise revenues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13,406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6,789</w:t>
            </w:r>
          </w:p>
        </w:tc>
      </w:tr>
      <w:tr>
        <w:trPr>
          <w:trHeight w:val="215"/>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revenues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3,554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1,233</w:t>
            </w:r>
          </w:p>
        </w:tc>
      </w:tr>
      <w:tr>
        <w:trPr>
          <w:trHeight w:val="212"/>
        </w:trPr>
        <w:tc>
          <w:tcPr>
            <w:tcW w:w="810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Franchise and other revenues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8,022</w:t>
            </w:r>
          </w:p>
        </w:tc>
      </w:tr>
      <w:tr>
        <w:trPr>
          <w:trHeight w:val="231"/>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1,140,535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987,473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includes the disaggregation of Restaurant sales and franchise revenues, by restaurant concept and major international market,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80" w:type="dxa"/>
            <w:vAlign w:val="bottom"/>
            <w:gridSpan w:val="5"/>
          </w:tcPr>
          <w:p>
            <w:pPr>
              <w:ind w:left="580"/>
              <w:spacing w:after="0"/>
              <w:rPr>
                <w:sz w:val="20"/>
                <w:szCs w:val="20"/>
                <w:color w:val="auto"/>
              </w:rPr>
            </w:pPr>
            <w:r>
              <w:rPr>
                <w:rFonts w:ascii="Arial" w:cs="Arial" w:eastAsia="Arial" w:hAnsi="Arial"/>
                <w:sz w:val="14"/>
                <w:szCs w:val="14"/>
                <w:b w:val="1"/>
                <w:bCs w:val="1"/>
                <w:color w:val="auto"/>
              </w:rPr>
              <w:t>MARCH 27, 2022</w:t>
            </w:r>
          </w:p>
        </w:tc>
        <w:tc>
          <w:tcPr>
            <w:tcW w:w="900" w:type="dxa"/>
            <w:vAlign w:val="bottom"/>
          </w:tcPr>
          <w:p>
            <w:pPr>
              <w:spacing w:after="0"/>
              <w:rPr>
                <w:sz w:val="16"/>
                <w:szCs w:val="16"/>
                <w:color w:val="auto"/>
              </w:rPr>
            </w:pPr>
          </w:p>
        </w:tc>
        <w:tc>
          <w:tcPr>
            <w:tcW w:w="2260" w:type="dxa"/>
            <w:vAlign w:val="bottom"/>
            <w:gridSpan w:val="4"/>
          </w:tcPr>
          <w:p>
            <w:pPr>
              <w:jc w:val="right"/>
              <w:ind w:right="964"/>
              <w:spacing w:after="0"/>
              <w:rPr>
                <w:sz w:val="20"/>
                <w:szCs w:val="20"/>
                <w:color w:val="auto"/>
              </w:rPr>
            </w:pPr>
            <w:r>
              <w:rPr>
                <w:rFonts w:ascii="Arial" w:cs="Arial" w:eastAsia="Arial" w:hAnsi="Arial"/>
                <w:sz w:val="14"/>
                <w:szCs w:val="14"/>
                <w:b w:val="1"/>
                <w:bCs w:val="1"/>
                <w:color w:val="auto"/>
              </w:rPr>
              <w:t>MARCH 28, 2021</w:t>
            </w:r>
          </w:p>
        </w:tc>
        <w:tc>
          <w:tcPr>
            <w:tcW w:w="0" w:type="dxa"/>
            <w:vAlign w:val="bottom"/>
          </w:tcPr>
          <w:p>
            <w:pPr>
              <w:spacing w:after="0"/>
              <w:rPr>
                <w:sz w:val="1"/>
                <w:szCs w:val="1"/>
                <w:color w:val="auto"/>
              </w:rPr>
            </w:pPr>
          </w:p>
        </w:tc>
      </w:tr>
      <w:tr>
        <w:trPr>
          <w:trHeight w:val="129"/>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5"/>
              <w:spacing w:after="0" w:line="129" w:lineRule="exact"/>
              <w:rPr>
                <w:sz w:val="20"/>
                <w:szCs w:val="20"/>
                <w:color w:val="auto"/>
              </w:rPr>
            </w:pPr>
            <w:r>
              <w:rPr>
                <w:rFonts w:ascii="Arial" w:cs="Arial" w:eastAsia="Arial" w:hAnsi="Arial"/>
                <w:sz w:val="14"/>
                <w:szCs w:val="14"/>
                <w:b w:val="1"/>
                <w:bCs w:val="1"/>
                <w:color w:val="auto"/>
                <w:w w:val="97"/>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84"/>
              <w:spacing w:after="0" w:line="129"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186"/>
        </w:trPr>
        <w:tc>
          <w:tcPr>
            <w:tcW w:w="4840" w:type="dxa"/>
            <w:vAlign w:val="bottom"/>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REVENUES</w:t>
            </w:r>
          </w:p>
        </w:tc>
        <w:tc>
          <w:tcPr>
            <w:tcW w:w="16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304"/>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595,393</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8,459</w:t>
            </w:r>
          </w:p>
        </w:tc>
        <w:tc>
          <w:tcPr>
            <w:tcW w:w="100" w:type="dxa"/>
            <w:vAlign w:val="bottom"/>
          </w:tcPr>
          <w:p>
            <w:pPr>
              <w:spacing w:after="0"/>
              <w:rPr>
                <w:sz w:val="17"/>
                <w:szCs w:val="17"/>
                <w:color w:val="auto"/>
              </w:rPr>
            </w:pPr>
          </w:p>
        </w:tc>
        <w:tc>
          <w:tcPr>
            <w:tcW w:w="900" w:type="dxa"/>
            <w:vAlign w:val="bottom"/>
          </w:tcPr>
          <w:p>
            <w:pPr>
              <w:jc w:val="right"/>
              <w:ind w:right="726"/>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547,195</w:t>
            </w:r>
          </w:p>
        </w:tc>
        <w:tc>
          <w:tcPr>
            <w:tcW w:w="12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2,956</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175,628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157,686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151,416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126,974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97,662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1,023,635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900,059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3,703</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 Brazil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60,848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(1)</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4,104</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18,544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3,086</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99,940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4,104</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79,392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3,086</w:t>
            </w:r>
          </w:p>
        </w:tc>
        <w:tc>
          <w:tcPr>
            <w:tcW w:w="0" w:type="dxa"/>
            <w:vAlign w:val="bottom"/>
          </w:tcPr>
          <w:p>
            <w:pPr>
              <w:spacing w:after="0"/>
              <w:rPr>
                <w:sz w:val="1"/>
                <w:szCs w:val="1"/>
                <w:color w:val="auto"/>
              </w:rPr>
            </w:pPr>
          </w:p>
        </w:tc>
      </w:tr>
      <w:tr>
        <w:trPr>
          <w:trHeight w:val="206"/>
        </w:trPr>
        <w:tc>
          <w:tcPr>
            <w:tcW w:w="4840" w:type="dxa"/>
            <w:vAlign w:val="bottom"/>
          </w:tcPr>
          <w:p>
            <w:pPr>
              <w:ind w:left="44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1,123,575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13,406</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26"/>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979,451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6,789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Restaurant sales for Company-owned Outback Steakhouse restaurants outside of Brazil and Abbraccio restaurants in Brazil. Franchise revenues primarily includes revenues from franchised Outback Steakhouse restaurants.</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includes a detail of assets and liabilities from contracts with customers included on the Company’s Consolidated Balance Sheets as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27, 2022</w:t>
            </w:r>
          </w:p>
        </w:tc>
        <w:tc>
          <w:tcPr>
            <w:tcW w:w="220" w:type="dxa"/>
            <w:vAlign w:val="bottom"/>
          </w:tcPr>
          <w:p>
            <w:pPr>
              <w:spacing w:after="0"/>
              <w:rPr>
                <w:sz w:val="17"/>
                <w:szCs w:val="17"/>
                <w:color w:val="auto"/>
              </w:rPr>
            </w:pPr>
          </w:p>
        </w:tc>
        <w:tc>
          <w:tcPr>
            <w:tcW w:w="1740" w:type="dxa"/>
            <w:vAlign w:val="bottom"/>
          </w:tcPr>
          <w:p>
            <w:pPr>
              <w:jc w:val="right"/>
              <w:ind w:right="244"/>
              <w:spacing w:after="0"/>
              <w:rPr>
                <w:sz w:val="20"/>
                <w:szCs w:val="20"/>
                <w:color w:val="auto"/>
              </w:rPr>
            </w:pPr>
            <w:r>
              <w:rPr>
                <w:rFonts w:ascii="Arial" w:cs="Arial" w:eastAsia="Arial" w:hAnsi="Arial"/>
                <w:sz w:val="14"/>
                <w:szCs w:val="14"/>
                <w:b w:val="1"/>
                <w:bCs w:val="1"/>
                <w:color w:val="auto"/>
              </w:rPr>
              <w:t>DECEMBER 26, 2021</w:t>
            </w:r>
          </w:p>
        </w:tc>
      </w:tr>
      <w:tr>
        <w:trPr>
          <w:trHeight w:val="19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current assets, net</w:t>
            </w:r>
          </w:p>
        </w:tc>
        <w:tc>
          <w:tcPr>
            <w:tcW w:w="28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r>
      <w:tr>
        <w:trPr>
          <w:trHeight w:val="203"/>
        </w:trPr>
        <w:tc>
          <w:tcPr>
            <w:tcW w:w="7220" w:type="dxa"/>
            <w:vAlign w:val="bottom"/>
          </w:tcPr>
          <w:p>
            <w:pPr>
              <w:ind w:left="140"/>
              <w:spacing w:after="0"/>
              <w:rPr>
                <w:sz w:val="20"/>
                <w:szCs w:val="20"/>
                <w:color w:val="auto"/>
              </w:rPr>
            </w:pPr>
            <w:r>
              <w:rPr>
                <w:rFonts w:ascii="Arial" w:cs="Arial" w:eastAsia="Arial" w:hAnsi="Arial"/>
                <w:sz w:val="15"/>
                <w:szCs w:val="15"/>
                <w:color w:val="auto"/>
              </w:rPr>
              <w:t>Deferred gift card sales commissions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13,033</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17,793</w:t>
            </w:r>
          </w:p>
        </w:tc>
      </w:tr>
      <w:tr>
        <w:trPr>
          <w:trHeight w:val="248"/>
        </w:trPr>
        <w:tc>
          <w:tcPr>
            <w:tcW w:w="7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5"/>
                <w:szCs w:val="15"/>
                <w:color w:val="auto"/>
              </w:rPr>
              <w:t>Unearned revenue</w:t>
            </w: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gift card revenue</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314,974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387,945</w:t>
            </w:r>
          </w:p>
        </w:tc>
      </w:tr>
      <w:tr>
        <w:trPr>
          <w:trHeight w:val="203"/>
        </w:trPr>
        <w:tc>
          <w:tcPr>
            <w:tcW w:w="7220" w:type="dxa"/>
            <w:vAlign w:val="bottom"/>
          </w:tcPr>
          <w:p>
            <w:pPr>
              <w:ind w:left="140"/>
              <w:spacing w:after="0"/>
              <w:rPr>
                <w:sz w:val="20"/>
                <w:szCs w:val="20"/>
                <w:color w:val="auto"/>
              </w:rPr>
            </w:pPr>
            <w:r>
              <w:rPr>
                <w:rFonts w:ascii="Arial" w:cs="Arial" w:eastAsia="Arial" w:hAnsi="Arial"/>
                <w:sz w:val="15"/>
                <w:szCs w:val="15"/>
                <w:color w:val="auto"/>
              </w:rPr>
              <w:t>Deferred loyalty revenue</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8,217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9,386</w:t>
            </w:r>
          </w:p>
        </w:tc>
      </w:tr>
      <w:tr>
        <w:trPr>
          <w:trHeight w:val="209"/>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franchise fees - current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w:t>
            </w:r>
          </w:p>
        </w:tc>
      </w:tr>
      <w:tr>
        <w:trPr>
          <w:trHeight w:val="212"/>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1,021</w:t>
            </w:r>
          </w:p>
        </w:tc>
      </w:tr>
      <w:tr>
        <w:trPr>
          <w:trHeight w:val="231"/>
        </w:trPr>
        <w:tc>
          <w:tcPr>
            <w:tcW w:w="7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Unearned revenue</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325,304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398,795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6"/>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long-term liabilities, net</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1"/>
        </w:trPr>
        <w:tc>
          <w:tcPr>
            <w:tcW w:w="7220" w:type="dxa"/>
            <w:vAlign w:val="bottom"/>
          </w:tcPr>
          <w:p>
            <w:pPr>
              <w:ind w:left="140"/>
              <w:spacing w:after="0"/>
              <w:rPr>
                <w:sz w:val="20"/>
                <w:szCs w:val="20"/>
                <w:color w:val="auto"/>
              </w:rPr>
            </w:pPr>
            <w:r>
              <w:rPr>
                <w:rFonts w:ascii="Arial" w:cs="Arial" w:eastAsia="Arial" w:hAnsi="Arial"/>
                <w:sz w:val="15"/>
                <w:szCs w:val="15"/>
                <w:color w:val="auto"/>
              </w:rPr>
              <w:t>Deferred franchise fees - non-current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4,284</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4,280</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deferred gift card sales commissions for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6"/>
                <w:szCs w:val="16"/>
                <w:color w:val="auto"/>
              </w:rPr>
            </w:pPr>
          </w:p>
        </w:tc>
        <w:tc>
          <w:tcPr>
            <w:tcW w:w="1360" w:type="dxa"/>
            <w:vAlign w:val="bottom"/>
          </w:tcPr>
          <w:p>
            <w:pPr>
              <w:jc w:val="right"/>
              <w:ind w:right="164"/>
              <w:spacing w:after="0"/>
              <w:rPr>
                <w:sz w:val="20"/>
                <w:szCs w:val="20"/>
                <w:color w:val="auto"/>
              </w:rPr>
            </w:pPr>
            <w:r>
              <w:rPr>
                <w:rFonts w:ascii="Arial" w:cs="Arial" w:eastAsia="Arial" w:hAnsi="Arial"/>
                <w:sz w:val="14"/>
                <w:szCs w:val="14"/>
                <w:b w:val="1"/>
                <w:bCs w:val="1"/>
                <w:color w:val="auto"/>
                <w:w w:val="99"/>
              </w:rPr>
              <w:t>MARCH 28, 2021</w:t>
            </w:r>
          </w:p>
        </w:tc>
      </w:tr>
      <w:tr>
        <w:trPr>
          <w:trHeight w:val="206"/>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17,793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19,300</w:t>
            </w:r>
          </w:p>
        </w:tc>
      </w:tr>
      <w:tr>
        <w:trPr>
          <w:trHeight w:val="203"/>
        </w:trPr>
        <w:tc>
          <w:tcPr>
            <w:tcW w:w="8100" w:type="dxa"/>
            <w:vAlign w:val="bottom"/>
          </w:tcPr>
          <w:p>
            <w:pPr>
              <w:ind w:left="140"/>
              <w:spacing w:after="0"/>
              <w:rPr>
                <w:sz w:val="20"/>
                <w:szCs w:val="20"/>
                <w:color w:val="auto"/>
              </w:rPr>
            </w:pPr>
            <w:r>
              <w:rPr>
                <w:rFonts w:ascii="Arial" w:cs="Arial" w:eastAsia="Arial" w:hAnsi="Arial"/>
                <w:sz w:val="15"/>
                <w:szCs w:val="15"/>
                <w:color w:val="auto"/>
              </w:rPr>
              <w:t>Deferred gift card sales commissions amortization</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(8,725)</w:t>
            </w:r>
          </w:p>
        </w:tc>
      </w:tr>
      <w:tr>
        <w:trPr>
          <w:trHeight w:val="209"/>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gift card sales commissions capitalization</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3,499</w:t>
            </w:r>
          </w:p>
        </w:tc>
      </w:tr>
      <w:tr>
        <w:trPr>
          <w:trHeight w:val="212"/>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(572)</w:t>
            </w:r>
          </w:p>
        </w:tc>
      </w:tr>
      <w:tr>
        <w:trPr>
          <w:trHeight w:val="23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13,502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unearned gift card revenue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6"/>
                <w:szCs w:val="16"/>
                <w:color w:val="auto"/>
              </w:rPr>
            </w:pPr>
          </w:p>
        </w:tc>
        <w:tc>
          <w:tcPr>
            <w:tcW w:w="1360" w:type="dxa"/>
            <w:vAlign w:val="bottom"/>
          </w:tcPr>
          <w:p>
            <w:pPr>
              <w:jc w:val="right"/>
              <w:ind w:right="164"/>
              <w:spacing w:after="0"/>
              <w:rPr>
                <w:sz w:val="20"/>
                <w:szCs w:val="20"/>
                <w:color w:val="auto"/>
              </w:rPr>
            </w:pPr>
            <w:r>
              <w:rPr>
                <w:rFonts w:ascii="Arial" w:cs="Arial" w:eastAsia="Arial" w:hAnsi="Arial"/>
                <w:sz w:val="14"/>
                <w:szCs w:val="14"/>
                <w:b w:val="1"/>
                <w:bCs w:val="1"/>
                <w:color w:val="auto"/>
                <w:w w:val="99"/>
              </w:rPr>
              <w:t>MARCH 28, 2021</w:t>
            </w:r>
          </w:p>
        </w:tc>
      </w:tr>
      <w:tr>
        <w:trPr>
          <w:trHeight w:val="206"/>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387,945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373,048</w:t>
            </w:r>
          </w:p>
        </w:tc>
      </w:tr>
      <w:tr>
        <w:trPr>
          <w:trHeight w:val="203"/>
        </w:trPr>
        <w:tc>
          <w:tcPr>
            <w:tcW w:w="8100" w:type="dxa"/>
            <w:vAlign w:val="bottom"/>
          </w:tcPr>
          <w:p>
            <w:pPr>
              <w:ind w:left="140"/>
              <w:spacing w:after="0"/>
              <w:rPr>
                <w:sz w:val="20"/>
                <w:szCs w:val="20"/>
                <w:color w:val="auto"/>
              </w:rPr>
            </w:pPr>
            <w:r>
              <w:rPr>
                <w:rFonts w:ascii="Arial" w:cs="Arial" w:eastAsia="Arial" w:hAnsi="Arial"/>
                <w:sz w:val="15"/>
                <w:szCs w:val="15"/>
                <w:color w:val="auto"/>
              </w:rPr>
              <w:t>Gift card sales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50,280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44,169</w:t>
            </w:r>
          </w:p>
        </w:tc>
      </w:tr>
      <w:tr>
        <w:trPr>
          <w:trHeight w:val="209"/>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Gift card redemptions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(104,940)</w:t>
            </w:r>
          </w:p>
        </w:tc>
      </w:tr>
      <w:tr>
        <w:trPr>
          <w:trHeight w:val="212"/>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Gift card breakage</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(6,202)</w:t>
            </w:r>
          </w:p>
        </w:tc>
      </w:tr>
      <w:tr>
        <w:trPr>
          <w:trHeight w:val="23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314,974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306,075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40" w:hanging="337"/>
        <w:spacing w:after="0"/>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Earnings Per Share</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February 2021, the Company provided the trustee of its convertible senior notes due in 2025 (the “2025 Notes”) notice of the Company’s irrevocable election to settle the principal portion of the 2025 Notes in cash and any excess in shares. As a result, subsequent to the election, only the amounts in excess of the principal amount are considered in diluted earnings per share. The amount of the 2025 Notes settled in shares of common stock will have a dilutive impact on diluted earnings per share when the average market price of the Company’s common stock for a given period exceeds the conversion price, which was initially $11.89 per share of common stock.</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252525"/>
        </w:rPr>
        <w:t xml:space="preserve">In connection with the offering of the </w:t>
      </w:r>
      <w:r>
        <w:rPr>
          <w:rFonts w:ascii="Arial" w:cs="Arial" w:eastAsia="Arial" w:hAnsi="Arial"/>
          <w:sz w:val="19"/>
          <w:szCs w:val="19"/>
          <w:color w:val="000000"/>
        </w:rPr>
        <w:t>2025 Notes, the Company entered into</w:t>
      </w:r>
      <w:r>
        <w:rPr>
          <w:rFonts w:ascii="Arial" w:cs="Arial" w:eastAsia="Arial" w:hAnsi="Arial"/>
          <w:sz w:val="19"/>
          <w:szCs w:val="19"/>
          <w:color w:val="252525"/>
        </w:rPr>
        <w:t xml:space="preserve"> warrant transactions (the “Warrant Transactions”), which have a dilutive effect on the Company’s common stock to the extent the price of its common stock exceeds the strike price of the Warrant Transactions, which was initially $16.64.</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connection with dividends paid during the thirteen weeks ended March 27, 2022, the conversion price of the 2025 Notes decreased to $11.82 per share of common stock and the strike price of the related warrants decreased to $16.55 per share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computation of basic and diluted earnings per share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27, 2022</w:t>
            </w:r>
          </w:p>
        </w:tc>
        <w:tc>
          <w:tcPr>
            <w:tcW w:w="200" w:type="dxa"/>
            <w:vAlign w:val="bottom"/>
          </w:tcPr>
          <w:p>
            <w:pPr>
              <w:spacing w:after="0"/>
              <w:rPr>
                <w:sz w:val="16"/>
                <w:szCs w:val="16"/>
                <w:color w:val="auto"/>
              </w:rPr>
            </w:pPr>
          </w:p>
        </w:tc>
        <w:tc>
          <w:tcPr>
            <w:tcW w:w="1440" w:type="dxa"/>
            <w:vAlign w:val="bottom"/>
          </w:tcPr>
          <w:p>
            <w:pPr>
              <w:jc w:val="right"/>
              <w:ind w:right="203"/>
              <w:spacing w:after="0"/>
              <w:rPr>
                <w:sz w:val="20"/>
                <w:szCs w:val="20"/>
                <w:color w:val="auto"/>
              </w:rPr>
            </w:pPr>
            <w:r>
              <w:rPr>
                <w:rFonts w:ascii="Arial" w:cs="Arial" w:eastAsia="Arial" w:hAnsi="Arial"/>
                <w:sz w:val="14"/>
                <w:szCs w:val="14"/>
                <w:b w:val="1"/>
                <w:bCs w:val="1"/>
                <w:color w:val="auto"/>
              </w:rPr>
              <w:t>MARCH 28, 2021</w:t>
            </w:r>
          </w:p>
        </w:tc>
      </w:tr>
      <w:tr>
        <w:trPr>
          <w:trHeight w:val="20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attributable to Bloomin’ Brands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75,511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68,862</w:t>
            </w:r>
          </w:p>
        </w:tc>
      </w:tr>
      <w:tr>
        <w:trPr>
          <w:trHeight w:val="212"/>
        </w:trPr>
        <w:tc>
          <w:tcPr>
            <w:tcW w:w="7860" w:type="dxa"/>
            <w:vAlign w:val="bottom"/>
          </w:tcPr>
          <w:p>
            <w:pPr>
              <w:ind w:left="120"/>
              <w:spacing w:after="0"/>
              <w:rPr>
                <w:sz w:val="20"/>
                <w:szCs w:val="20"/>
                <w:color w:val="auto"/>
              </w:rPr>
            </w:pPr>
            <w:r>
              <w:rPr>
                <w:rFonts w:ascii="Arial" w:cs="Arial" w:eastAsia="Arial" w:hAnsi="Arial"/>
                <w:sz w:val="15"/>
                <w:szCs w:val="15"/>
                <w:color w:val="auto"/>
              </w:rPr>
              <w:t>Convertible senior notes if-converted method interest adjustment, net of tax (1)</w:t>
            </w: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1,381</w:t>
            </w:r>
          </w:p>
        </w:tc>
      </w:tr>
      <w:tr>
        <w:trPr>
          <w:trHeight w:val="231"/>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net income attributable to Bloomin’ Brands</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70,243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weighted average common shares outstanding</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89,355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88,367</w:t>
            </w:r>
          </w:p>
        </w:tc>
      </w:tr>
      <w:tr>
        <w:trPr>
          <w:trHeight w:val="206"/>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dilutive securities: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3"/>
        </w:trPr>
        <w:tc>
          <w:tcPr>
            <w:tcW w:w="7860" w:type="dxa"/>
            <w:vAlign w:val="bottom"/>
          </w:tcPr>
          <w:p>
            <w:pPr>
              <w:ind w:left="140"/>
              <w:spacing w:after="0"/>
              <w:rPr>
                <w:sz w:val="20"/>
                <w:szCs w:val="20"/>
                <w:color w:val="auto"/>
              </w:rPr>
            </w:pPr>
            <w:r>
              <w:rPr>
                <w:rFonts w:ascii="Arial" w:cs="Arial" w:eastAsia="Arial" w:hAnsi="Arial"/>
                <w:sz w:val="15"/>
                <w:szCs w:val="15"/>
                <w:color w:val="auto"/>
              </w:rPr>
              <w:t>Stock options</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709</w:t>
            </w:r>
          </w:p>
        </w:tc>
      </w:tr>
      <w:tr>
        <w:trPr>
          <w:trHeight w:val="209"/>
        </w:trPr>
        <w:tc>
          <w:tcPr>
            <w:tcW w:w="7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Nonvested restricted stock units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w:t>
            </w:r>
          </w:p>
        </w:tc>
      </w:tr>
      <w:tr>
        <w:trPr>
          <w:trHeight w:val="203"/>
        </w:trPr>
        <w:tc>
          <w:tcPr>
            <w:tcW w:w="7860" w:type="dxa"/>
            <w:vAlign w:val="bottom"/>
          </w:tcPr>
          <w:p>
            <w:pPr>
              <w:ind w:left="140"/>
              <w:spacing w:after="0"/>
              <w:rPr>
                <w:sz w:val="20"/>
                <w:szCs w:val="20"/>
                <w:color w:val="auto"/>
              </w:rPr>
            </w:pPr>
            <w:r>
              <w:rPr>
                <w:rFonts w:ascii="Arial" w:cs="Arial" w:eastAsia="Arial" w:hAnsi="Arial"/>
                <w:sz w:val="15"/>
                <w:szCs w:val="15"/>
                <w:color w:val="auto"/>
              </w:rPr>
              <w:t>Nonvested performance-based share units</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209"/>
        </w:trPr>
        <w:tc>
          <w:tcPr>
            <w:tcW w:w="7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Convertible senior notes (1)</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15,193</w:t>
            </w:r>
          </w:p>
        </w:tc>
      </w:tr>
      <w:tr>
        <w:trPr>
          <w:trHeight w:val="212"/>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Warrants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5,775</w:t>
            </w:r>
          </w:p>
        </w:tc>
      </w:tr>
      <w:tr>
        <w:trPr>
          <w:trHeight w:val="23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weighted average common shares outstanding</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103,454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110,641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earnings per share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0.78</w:t>
            </w:r>
          </w:p>
        </w:tc>
      </w:tr>
      <w:tr>
        <w:trPr>
          <w:trHeight w:val="201"/>
        </w:trPr>
        <w:tc>
          <w:tcPr>
            <w:tcW w:w="7860" w:type="dxa"/>
            <w:vAlign w:val="bottom"/>
          </w:tcPr>
          <w:p>
            <w:pPr>
              <w:ind w:left="20"/>
              <w:spacing w:after="0"/>
              <w:rPr>
                <w:sz w:val="20"/>
                <w:szCs w:val="20"/>
                <w:color w:val="auto"/>
              </w:rPr>
            </w:pPr>
            <w:r>
              <w:rPr>
                <w:rFonts w:ascii="Arial" w:cs="Arial" w:eastAsia="Arial" w:hAnsi="Arial"/>
                <w:sz w:val="15"/>
                <w:szCs w:val="15"/>
                <w:color w:val="auto"/>
              </w:rPr>
              <w:t>Diluted earnings per share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0.73</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0.63</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jc w:val="both"/>
        <w:ind w:left="620" w:hanging="617"/>
        <w:spacing w:after="0" w:line="259"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Adjustment for interest related to the 2025 Notes weighted for the portion of the period prior to the Company’s election under the 2025 Notes indenture to settle the principal portion of its 2025 Notes in cash. Effective with the Company’s election, there will be no further numerator adjustments for interest or denominator adjustments for shares required to settle the principal portion.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Share-based compensation-related weighted average securities outstanding not included in the computation of earnings per share because their effect was antidilutive were as follows,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60" w:type="dxa"/>
            <w:vAlign w:val="bottom"/>
          </w:tcPr>
          <w:p>
            <w:pPr>
              <w:spacing w:after="0"/>
              <w:rPr>
                <w:sz w:val="17"/>
                <w:szCs w:val="17"/>
                <w:color w:val="auto"/>
              </w:rPr>
            </w:pPr>
          </w:p>
        </w:tc>
        <w:tc>
          <w:tcPr>
            <w:tcW w:w="3080" w:type="dxa"/>
            <w:vAlign w:val="bottom"/>
            <w:tcBorders>
              <w:bottom w:val="single" w:sz="8" w:color="auto"/>
            </w:tcBorders>
            <w:gridSpan w:val="3"/>
          </w:tcPr>
          <w:p>
            <w:pPr>
              <w:jc w:val="right"/>
              <w:ind w:right="585"/>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27, 2022</w:t>
            </w:r>
          </w:p>
        </w:tc>
        <w:tc>
          <w:tcPr>
            <w:tcW w:w="1500" w:type="dxa"/>
            <w:vAlign w:val="bottom"/>
          </w:tcPr>
          <w:p>
            <w:pPr>
              <w:jc w:val="right"/>
              <w:ind w:right="145"/>
              <w:spacing w:after="0"/>
              <w:rPr>
                <w:sz w:val="20"/>
                <w:szCs w:val="20"/>
                <w:color w:val="auto"/>
              </w:rPr>
            </w:pPr>
            <w:r>
              <w:rPr>
                <w:rFonts w:ascii="Arial" w:cs="Arial" w:eastAsia="Arial" w:hAnsi="Arial"/>
                <w:sz w:val="14"/>
                <w:szCs w:val="14"/>
                <w:b w:val="1"/>
                <w:bCs w:val="1"/>
                <w:color w:val="auto"/>
              </w:rPr>
              <w:t>MARCH 28, 2021</w:t>
            </w:r>
          </w:p>
        </w:tc>
      </w:tr>
      <w:tr>
        <w:trPr>
          <w:trHeight w:val="206"/>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1,417</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1,364</w:t>
            </w:r>
          </w:p>
        </w:tc>
      </w:tr>
      <w:tr>
        <w:trPr>
          <w:trHeight w:val="203"/>
        </w:trPr>
        <w:tc>
          <w:tcPr>
            <w:tcW w:w="8160" w:type="dxa"/>
            <w:vAlign w:val="bottom"/>
          </w:tcPr>
          <w:p>
            <w:pPr>
              <w:ind w:left="20"/>
              <w:spacing w:after="0"/>
              <w:rPr>
                <w:sz w:val="20"/>
                <w:szCs w:val="20"/>
                <w:color w:val="auto"/>
              </w:rPr>
            </w:pPr>
            <w:r>
              <w:rPr>
                <w:rFonts w:ascii="Arial" w:cs="Arial" w:eastAsia="Arial" w:hAnsi="Arial"/>
                <w:sz w:val="15"/>
                <w:szCs w:val="15"/>
                <w:color w:val="auto"/>
              </w:rPr>
              <w:t>Nonvested restricted stock units</w:t>
            </w:r>
          </w:p>
        </w:tc>
        <w:tc>
          <w:tcPr>
            <w:tcW w:w="1480" w:type="dxa"/>
            <w:vAlign w:val="bottom"/>
          </w:tcPr>
          <w:p>
            <w:pPr>
              <w:jc w:val="right"/>
              <w:spacing w:after="0"/>
              <w:rPr>
                <w:sz w:val="20"/>
                <w:szCs w:val="20"/>
                <w:color w:val="auto"/>
              </w:rPr>
            </w:pPr>
            <w:r>
              <w:rPr>
                <w:rFonts w:ascii="Arial" w:cs="Arial" w:eastAsia="Arial" w:hAnsi="Arial"/>
                <w:sz w:val="15"/>
                <w:szCs w:val="15"/>
                <w:color w:val="auto"/>
              </w:rPr>
              <w:t>217</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209"/>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Nonvested performance-based share units</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w:t>
            </w:r>
          </w:p>
        </w:tc>
      </w:tr>
    </w:tbl>
    <w:p>
      <w:pPr>
        <w:spacing w:after="0" w:line="293" w:lineRule="exact"/>
        <w:rPr>
          <w:sz w:val="20"/>
          <w:szCs w:val="20"/>
          <w:color w:val="auto"/>
        </w:rPr>
      </w:pPr>
    </w:p>
    <w:p>
      <w:pPr>
        <w:spacing w:after="0"/>
        <w:tabs>
          <w:tab w:leader="none" w:pos="320" w:val="left"/>
        </w:tabs>
        <w:rPr>
          <w:sz w:val="20"/>
          <w:szCs w:val="20"/>
          <w:color w:val="auto"/>
        </w:rPr>
      </w:pPr>
      <w:r>
        <w:rPr>
          <w:rFonts w:ascii="Arial" w:cs="Arial" w:eastAsia="Arial" w:hAnsi="Arial"/>
          <w:sz w:val="19"/>
          <w:szCs w:val="19"/>
          <w:color w:val="auto"/>
        </w:rPr>
        <w:t>4.</w:t>
      </w:r>
      <w:r>
        <w:rPr>
          <w:sz w:val="20"/>
          <w:szCs w:val="20"/>
          <w:color w:val="auto"/>
        </w:rPr>
        <w:tab/>
      </w:r>
      <w:r>
        <w:rPr>
          <w:rFonts w:ascii="Arial" w:cs="Arial" w:eastAsia="Arial" w:hAnsi="Arial"/>
          <w:sz w:val="16"/>
          <w:szCs w:val="16"/>
          <w:color w:val="auto"/>
        </w:rPr>
        <w:t>Stock-based Compensation Plans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Company recognized stock-based compensation expense as follows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6"/>
                <w:szCs w:val="16"/>
                <w:color w:val="auto"/>
              </w:rPr>
            </w:pPr>
          </w:p>
        </w:tc>
        <w:tc>
          <w:tcPr>
            <w:tcW w:w="1360" w:type="dxa"/>
            <w:vAlign w:val="bottom"/>
          </w:tcPr>
          <w:p>
            <w:pPr>
              <w:jc w:val="right"/>
              <w:ind w:right="164"/>
              <w:spacing w:after="0"/>
              <w:rPr>
                <w:sz w:val="20"/>
                <w:szCs w:val="20"/>
                <w:color w:val="auto"/>
              </w:rPr>
            </w:pPr>
            <w:r>
              <w:rPr>
                <w:rFonts w:ascii="Arial" w:cs="Arial" w:eastAsia="Arial" w:hAnsi="Arial"/>
                <w:sz w:val="14"/>
                <w:szCs w:val="14"/>
                <w:b w:val="1"/>
                <w:bCs w:val="1"/>
                <w:color w:val="auto"/>
                <w:w w:val="99"/>
              </w:rPr>
              <w:t>MARCH 28, 2021</w:t>
            </w:r>
          </w:p>
        </w:tc>
      </w:tr>
      <w:tr>
        <w:trPr>
          <w:trHeight w:val="206"/>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Performance-based share units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1,469</w:t>
            </w:r>
          </w:p>
        </w:tc>
      </w:tr>
      <w:tr>
        <w:trPr>
          <w:trHeight w:val="203"/>
        </w:trPr>
        <w:tc>
          <w:tcPr>
            <w:tcW w:w="8100" w:type="dxa"/>
            <w:vAlign w:val="bottom"/>
          </w:tcPr>
          <w:p>
            <w:pPr>
              <w:ind w:left="20"/>
              <w:spacing w:after="0"/>
              <w:rPr>
                <w:sz w:val="20"/>
                <w:szCs w:val="20"/>
                <w:color w:val="auto"/>
              </w:rPr>
            </w:pPr>
            <w:r>
              <w:rPr>
                <w:rFonts w:ascii="Arial" w:cs="Arial" w:eastAsia="Arial" w:hAnsi="Arial"/>
                <w:sz w:val="15"/>
                <w:szCs w:val="15"/>
                <w:color w:val="auto"/>
              </w:rPr>
              <w:t>Restricted stock units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1,810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2,366</w:t>
            </w:r>
          </w:p>
        </w:tc>
      </w:tr>
      <w:tr>
        <w:trPr>
          <w:trHeight w:val="202"/>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865</w:t>
            </w:r>
          </w:p>
        </w:tc>
      </w:tr>
      <w:tr>
        <w:trPr>
          <w:trHeight w:val="203"/>
        </w:trPr>
        <w:tc>
          <w:tcPr>
            <w:tcW w:w="8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4,806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4,700</w:t>
            </w:r>
          </w:p>
        </w:tc>
      </w:tr>
      <w:tr>
        <w:trPr>
          <w:trHeight w:val="21"/>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February 2022, the Company granted 0.5 million performance-based share units (“PSUs”) subject to final payout modification by a Relative Total Shareholder Return (“Relative TSR”) modifier. This Relative TSR modifier can adjust the final payout outcome by 75%, 100% or 125% of the achieved performance metric, with the overall payout capped at 200% of the annual target grant. These PSUs have a three-year cliff vesting period and their fair value was estimated using the Monte Carlo simulation model.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Assumptions used in the Monte Carlo simulation model and the grant date fair value of PSUs granted were as follows for the periods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4"/>
          </w:tcPr>
          <w:p>
            <w:pPr>
              <w:jc w:val="right"/>
              <w:ind w:right="924"/>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 2022</w:t>
            </w:r>
          </w:p>
        </w:tc>
        <w:tc>
          <w:tcPr>
            <w:tcW w:w="260" w:type="dxa"/>
            <w:vAlign w:val="bottom"/>
          </w:tcPr>
          <w:p>
            <w:pPr>
              <w:spacing w:after="0"/>
              <w:rPr>
                <w:sz w:val="16"/>
                <w:szCs w:val="16"/>
                <w:color w:val="auto"/>
              </w:rPr>
            </w:pPr>
          </w:p>
        </w:tc>
        <w:tc>
          <w:tcPr>
            <w:tcW w:w="1600" w:type="dxa"/>
            <w:vAlign w:val="bottom"/>
          </w:tcPr>
          <w:p>
            <w:pPr>
              <w:jc w:val="right"/>
              <w:ind w:right="324"/>
              <w:spacing w:after="0"/>
              <w:rPr>
                <w:sz w:val="20"/>
                <w:szCs w:val="20"/>
                <w:color w:val="auto"/>
              </w:rPr>
            </w:pPr>
            <w:r>
              <w:rPr>
                <w:rFonts w:ascii="Arial" w:cs="Arial" w:eastAsia="Arial" w:hAnsi="Arial"/>
                <w:sz w:val="14"/>
                <w:szCs w:val="14"/>
                <w:b w:val="1"/>
                <w:bCs w:val="1"/>
                <w:color w:val="auto"/>
              </w:rPr>
              <w:t>MARCH 28, 2021</w:t>
            </w:r>
          </w:p>
        </w:tc>
      </w:tr>
      <w:tr>
        <w:trPr>
          <w:trHeight w:val="19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Assumptions:</w:t>
            </w:r>
          </w:p>
        </w:tc>
        <w:tc>
          <w:tcPr>
            <w:tcW w:w="2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r>
      <w:tr>
        <w:trPr>
          <w:trHeight w:val="203"/>
        </w:trPr>
        <w:tc>
          <w:tcPr>
            <w:tcW w:w="7440" w:type="dxa"/>
            <w:vAlign w:val="bottom"/>
          </w:tcPr>
          <w:p>
            <w:pPr>
              <w:ind w:left="140"/>
              <w:spacing w:after="0"/>
              <w:rPr>
                <w:sz w:val="20"/>
                <w:szCs w:val="20"/>
                <w:color w:val="auto"/>
              </w:rPr>
            </w:pPr>
            <w:r>
              <w:rPr>
                <w:rFonts w:ascii="Arial" w:cs="Arial" w:eastAsia="Arial" w:hAnsi="Arial"/>
                <w:sz w:val="15"/>
                <w:szCs w:val="15"/>
                <w:color w:val="auto"/>
              </w:rPr>
              <w:t>Risk-free interest rate (1)</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1.64 %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0.20 %</w:t>
            </w:r>
          </w:p>
        </w:tc>
      </w:tr>
      <w:tr>
        <w:trPr>
          <w:trHeight w:val="209"/>
        </w:trPr>
        <w:tc>
          <w:tcPr>
            <w:tcW w:w="7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Dividend yield (2)</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03"/>
        </w:trPr>
        <w:tc>
          <w:tcPr>
            <w:tcW w:w="7440" w:type="dxa"/>
            <w:vAlign w:val="bottom"/>
          </w:tcPr>
          <w:p>
            <w:pPr>
              <w:ind w:left="140"/>
              <w:spacing w:after="0"/>
              <w:rPr>
                <w:sz w:val="20"/>
                <w:szCs w:val="20"/>
                <w:color w:val="auto"/>
              </w:rPr>
            </w:pPr>
            <w:r>
              <w:rPr>
                <w:rFonts w:ascii="Arial" w:cs="Arial" w:eastAsia="Arial" w:hAnsi="Arial"/>
                <w:sz w:val="15"/>
                <w:szCs w:val="15"/>
                <w:color w:val="auto"/>
              </w:rPr>
              <w:t>Volatility (3)</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49.11 %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48.45 %</w:t>
            </w:r>
          </w:p>
        </w:tc>
      </w:tr>
      <w:tr>
        <w:trPr>
          <w:trHeight w:val="248"/>
        </w:trPr>
        <w:tc>
          <w:tcPr>
            <w:tcW w:w="7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Grant date fair value per unit (4)</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126"/>
              <w:spacing w:after="0"/>
              <w:rPr>
                <w:sz w:val="20"/>
                <w:szCs w:val="20"/>
                <w:color w:val="auto"/>
              </w:rPr>
            </w:pPr>
            <w:r>
              <w:rPr>
                <w:rFonts w:ascii="Arial" w:cs="Arial" w:eastAsia="Arial" w:hAnsi="Arial"/>
                <w:sz w:val="15"/>
                <w:szCs w:val="15"/>
                <w:color w:val="auto"/>
              </w:rPr>
              <w:t>26.10</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104"/>
              <w:spacing w:after="0"/>
              <w:rPr>
                <w:sz w:val="20"/>
                <w:szCs w:val="20"/>
                <w:color w:val="auto"/>
              </w:rPr>
            </w:pPr>
            <w:r>
              <w:rPr>
                <w:rFonts w:ascii="Arial" w:cs="Arial" w:eastAsia="Arial" w:hAnsi="Arial"/>
                <w:sz w:val="15"/>
                <w:szCs w:val="15"/>
                <w:color w:val="auto"/>
              </w:rPr>
              <w:t>29.73</w:t>
            </w:r>
          </w:p>
        </w:tc>
      </w:tr>
      <w:tr>
        <w:trPr>
          <w:trHeight w:val="280"/>
        </w:trPr>
        <w:tc>
          <w:tcPr>
            <w:tcW w:w="7440" w:type="dxa"/>
            <w:vAlign w:val="bottom"/>
          </w:tcPr>
          <w:p>
            <w:pPr>
              <w:spacing w:after="0"/>
              <w:rPr>
                <w:sz w:val="20"/>
                <w:szCs w:val="20"/>
                <w:color w:val="auto"/>
              </w:rPr>
            </w:pPr>
            <w:r>
              <w:rPr>
                <w:rFonts w:ascii="Arial" w:cs="Arial" w:eastAsia="Arial" w:hAnsi="Arial"/>
                <w:sz w:val="15"/>
                <w:szCs w:val="15"/>
                <w:color w:val="auto"/>
              </w:rPr>
              <w:t>________________</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ind w:left="620" w:hanging="61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Risk-free interest rate is the U.S. Treasury yield curve in effect as of the grant date for the performance period of the unit.</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Dividend yield is the level of dividends expected to be paid on the Company’s common stock over the expected term.</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the historical volatility of the Company’s stock over the last seven years.</w:t>
      </w:r>
    </w:p>
    <w:p>
      <w:pPr>
        <w:spacing w:after="0" w:line="8" w:lineRule="exact"/>
        <w:rPr>
          <w:rFonts w:ascii="Arial" w:cs="Arial" w:eastAsia="Arial" w:hAnsi="Arial"/>
          <w:sz w:val="15"/>
          <w:szCs w:val="15"/>
          <w:color w:val="auto"/>
        </w:rPr>
      </w:pPr>
    </w:p>
    <w:p>
      <w:pPr>
        <w:ind w:left="620" w:hanging="617"/>
        <w:spacing w:after="0" w:line="266" w:lineRule="auto"/>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Represents a premium above the per share value of the Company’s common stock for the Relative TSR modifier as of the grant date of 7.9% and 14.3% as of March 27, 2022 and March 28, 2021, respectively.</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represents unrecognized stock-based compensation expense and the remaining weighted average vesting period as of March 27, 2022: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UNRECOGNIZED COMPENSATION</w:t>
            </w:r>
          </w:p>
        </w:tc>
        <w:tc>
          <w:tcPr>
            <w:tcW w:w="250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REMAINING WEIGHTED AVERAGE</w:t>
            </w:r>
          </w:p>
        </w:tc>
        <w:tc>
          <w:tcPr>
            <w:tcW w:w="0" w:type="dxa"/>
            <w:vAlign w:val="bottom"/>
          </w:tcPr>
          <w:p>
            <w:pPr>
              <w:spacing w:after="0"/>
              <w:rPr>
                <w:sz w:val="1"/>
                <w:szCs w:val="1"/>
                <w:color w:val="auto"/>
              </w:rPr>
            </w:pPr>
          </w:p>
        </w:tc>
      </w:tr>
      <w:tr>
        <w:trPr>
          <w:trHeight w:val="129"/>
        </w:trPr>
        <w:tc>
          <w:tcPr>
            <w:tcW w:w="6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EXPENSE</w:t>
            </w: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(dollars in thousands)</w:t>
            </w:r>
          </w:p>
        </w:tc>
        <w:tc>
          <w:tcPr>
            <w:tcW w:w="2500" w:type="dxa"/>
            <w:vAlign w:val="bottom"/>
          </w:tcPr>
          <w:p>
            <w:pPr>
              <w:jc w:val="right"/>
              <w:ind w:right="287"/>
              <w:spacing w:after="0"/>
              <w:rPr>
                <w:sz w:val="20"/>
                <w:szCs w:val="20"/>
                <w:color w:val="auto"/>
              </w:rPr>
            </w:pPr>
            <w:r>
              <w:rPr>
                <w:rFonts w:ascii="Arial" w:cs="Arial" w:eastAsia="Arial" w:hAnsi="Arial"/>
                <w:sz w:val="14"/>
                <w:szCs w:val="14"/>
                <w:b w:val="1"/>
                <w:bCs w:val="1"/>
                <w:color w:val="auto"/>
              </w:rPr>
              <w:t>VESTING PERIOD (in years)</w:t>
            </w:r>
          </w:p>
        </w:tc>
        <w:tc>
          <w:tcPr>
            <w:tcW w:w="0" w:type="dxa"/>
            <w:vAlign w:val="bottom"/>
          </w:tcPr>
          <w:p>
            <w:pPr>
              <w:spacing w:after="0"/>
              <w:rPr>
                <w:sz w:val="1"/>
                <w:szCs w:val="1"/>
                <w:color w:val="auto"/>
              </w:rPr>
            </w:pPr>
          </w:p>
        </w:tc>
      </w:tr>
      <w:tr>
        <w:trPr>
          <w:trHeight w:val="20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Performance-based share units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21,163</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1"/>
        </w:trPr>
        <w:tc>
          <w:tcPr>
            <w:tcW w:w="6120" w:type="dxa"/>
            <w:vAlign w:val="bottom"/>
          </w:tcPr>
          <w:p>
            <w:pPr>
              <w:ind w:left="20"/>
              <w:spacing w:after="0"/>
              <w:rPr>
                <w:sz w:val="20"/>
                <w:szCs w:val="20"/>
                <w:color w:val="auto"/>
              </w:rPr>
            </w:pPr>
            <w:r>
              <w:rPr>
                <w:rFonts w:ascii="Arial" w:cs="Arial" w:eastAsia="Arial" w:hAnsi="Arial"/>
                <w:sz w:val="15"/>
                <w:szCs w:val="15"/>
                <w:color w:val="auto"/>
              </w:rPr>
              <w:t>Restricted stock units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tcPr>
          <w:p>
            <w:pPr>
              <w:jc w:val="right"/>
              <w:spacing w:after="0"/>
              <w:rPr>
                <w:sz w:val="20"/>
                <w:szCs w:val="20"/>
                <w:color w:val="auto"/>
              </w:rPr>
            </w:pPr>
            <w:r>
              <w:rPr>
                <w:rFonts w:ascii="Arial" w:cs="Arial" w:eastAsia="Arial" w:hAnsi="Arial"/>
                <w:sz w:val="15"/>
                <w:szCs w:val="15"/>
                <w:color w:val="auto"/>
              </w:rPr>
              <w:t>12,002</w:t>
            </w: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tabs>
          <w:tab w:leader="none" w:pos="320" w:val="left"/>
        </w:tabs>
        <w:rPr>
          <w:sz w:val="20"/>
          <w:szCs w:val="20"/>
          <w:color w:val="auto"/>
        </w:rPr>
      </w:pPr>
      <w:r>
        <w:rPr>
          <w:rFonts w:ascii="Arial" w:cs="Arial" w:eastAsia="Arial" w:hAnsi="Arial"/>
          <w:sz w:val="19"/>
          <w:szCs w:val="19"/>
          <w:color w:val="auto"/>
        </w:rPr>
        <w:t>5.</w:t>
      </w:r>
      <w:r>
        <w:rPr>
          <w:sz w:val="20"/>
          <w:szCs w:val="20"/>
          <w:color w:val="auto"/>
        </w:rPr>
        <w:tab/>
      </w:r>
      <w:r>
        <w:rPr>
          <w:rFonts w:ascii="Arial" w:cs="Arial" w:eastAsia="Arial" w:hAnsi="Arial"/>
          <w:sz w:val="17"/>
          <w:szCs w:val="17"/>
          <w:color w:val="auto"/>
        </w:rPr>
        <w:t>Other Current Assets,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Other current assets, net, consisted of the following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7"/>
                <w:szCs w:val="17"/>
                <w:color w:val="auto"/>
              </w:rPr>
            </w:pP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27, 2022</w:t>
            </w:r>
          </w:p>
        </w:tc>
        <w:tc>
          <w:tcPr>
            <w:tcW w:w="200" w:type="dxa"/>
            <w:vAlign w:val="bottom"/>
          </w:tcPr>
          <w:p>
            <w:pPr>
              <w:spacing w:after="0"/>
              <w:rPr>
                <w:sz w:val="17"/>
                <w:szCs w:val="17"/>
                <w:color w:val="auto"/>
              </w:rPr>
            </w:pPr>
          </w:p>
        </w:tc>
        <w:tc>
          <w:tcPr>
            <w:tcW w:w="1760" w:type="dxa"/>
            <w:vAlign w:val="bottom"/>
          </w:tcPr>
          <w:p>
            <w:pPr>
              <w:jc w:val="right"/>
              <w:ind w:right="244"/>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Prepaid expenses</w:t>
            </w: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21,431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21,194</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Accounts receivable - gift cards, net</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8,660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91,248</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 vendors, net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11,793</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Accounts receivable - franchisees, net</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1,345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1,701</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 other, net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18,353</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Deferred gift card sales commissions</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13,033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17,793</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Company-owned life insurance policies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17,244</w:t>
            </w:r>
          </w:p>
        </w:tc>
      </w:tr>
      <w:tr>
        <w:trPr>
          <w:trHeight w:val="21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current assets, net</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6,134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5,297</w:t>
            </w:r>
          </w:p>
        </w:tc>
      </w:tr>
      <w:tr>
        <w:trPr>
          <w:trHeight w:val="228"/>
        </w:trPr>
        <w:tc>
          <w:tcPr>
            <w:tcW w:w="7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104,588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184,623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20" w:val="left"/>
        </w:tabs>
        <w:rPr>
          <w:sz w:val="20"/>
          <w:szCs w:val="20"/>
          <w:color w:val="auto"/>
        </w:rPr>
      </w:pPr>
      <w:r>
        <w:rPr>
          <w:rFonts w:ascii="Arial" w:cs="Arial" w:eastAsia="Arial" w:hAnsi="Arial"/>
          <w:sz w:val="19"/>
          <w:szCs w:val="19"/>
          <w:color w:val="auto"/>
        </w:rPr>
        <w:t>6.</w:t>
      </w:r>
      <w:r>
        <w:rPr>
          <w:sz w:val="20"/>
          <w:szCs w:val="20"/>
          <w:color w:val="auto"/>
        </w:rPr>
        <w:tab/>
      </w:r>
      <w:r>
        <w:rPr>
          <w:rFonts w:ascii="Arial" w:cs="Arial" w:eastAsia="Arial" w:hAnsi="Arial"/>
          <w:sz w:val="17"/>
          <w:szCs w:val="17"/>
          <w:color w:val="auto"/>
        </w:rPr>
        <w:t>Long-term Debt,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outstanding Long-term debt, net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1031"/>
              <w:spacing w:after="0"/>
              <w:rPr>
                <w:sz w:val="20"/>
                <w:szCs w:val="20"/>
                <w:color w:val="auto"/>
              </w:rPr>
            </w:pPr>
            <w:r>
              <w:rPr>
                <w:rFonts w:ascii="Arial" w:cs="Arial" w:eastAsia="Arial" w:hAnsi="Arial"/>
                <w:sz w:val="14"/>
                <w:szCs w:val="14"/>
                <w:b w:val="1"/>
                <w:bCs w:val="1"/>
                <w:color w:val="auto"/>
              </w:rPr>
              <w:t>MARCH 27, 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891"/>
              <w:spacing w:after="0"/>
              <w:rPr>
                <w:sz w:val="20"/>
                <w:szCs w:val="20"/>
                <w:color w:val="auto"/>
              </w:rPr>
            </w:pPr>
            <w:r>
              <w:rPr>
                <w:rFonts w:ascii="Arial" w:cs="Arial" w:eastAsia="Arial" w:hAnsi="Arial"/>
                <w:sz w:val="14"/>
                <w:szCs w:val="14"/>
                <w:b w:val="1"/>
                <w:bCs w:val="1"/>
                <w:color w:val="auto"/>
              </w:rPr>
              <w:t>DECEMBER 26, 2021</w:t>
            </w:r>
          </w:p>
        </w:tc>
        <w:tc>
          <w:tcPr>
            <w:tcW w:w="0" w:type="dxa"/>
            <w:vAlign w:val="bottom"/>
          </w:tcPr>
          <w:p>
            <w:pPr>
              <w:spacing w:after="0"/>
              <w:rPr>
                <w:sz w:val="1"/>
                <w:szCs w:val="1"/>
                <w:color w:val="auto"/>
              </w:rPr>
            </w:pPr>
          </w:p>
        </w:tc>
      </w:tr>
      <w:tr>
        <w:trPr>
          <w:trHeight w:val="12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1"/>
                <w:szCs w:val="11"/>
                <w:color w:val="auto"/>
              </w:rPr>
            </w:pPr>
          </w:p>
        </w:tc>
        <w:tc>
          <w:tcPr>
            <w:tcW w:w="1340" w:type="dxa"/>
            <w:vAlign w:val="bottom"/>
          </w:tcPr>
          <w:p>
            <w:pPr>
              <w:jc w:val="right"/>
              <w:ind w:right="164"/>
              <w:spacing w:after="0" w:line="129"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7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1"/>
                <w:szCs w:val="11"/>
                <w:color w:val="auto"/>
              </w:rPr>
            </w:pPr>
          </w:p>
        </w:tc>
        <w:tc>
          <w:tcPr>
            <w:tcW w:w="1340" w:type="dxa"/>
            <w:vAlign w:val="bottom"/>
          </w:tcPr>
          <w:p>
            <w:pPr>
              <w:jc w:val="right"/>
              <w:ind w:right="164"/>
              <w:spacing w:after="0" w:line="129"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6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34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34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w:t>
            </w:r>
          </w:p>
        </w:tc>
        <w:tc>
          <w:tcPr>
            <w:tcW w:w="1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80"/>
              <w:spacing w:after="0"/>
              <w:rPr>
                <w:sz w:val="20"/>
                <w:szCs w:val="20"/>
                <w:color w:val="auto"/>
              </w:rPr>
            </w:pPr>
            <w:r>
              <w:rPr>
                <w:rFonts w:ascii="Arial" w:cs="Arial" w:eastAsia="Arial" w:hAnsi="Arial"/>
                <w:sz w:val="15"/>
                <w:szCs w:val="15"/>
                <w:color w:val="auto"/>
              </w:rPr>
              <w:t>Term loan A (1)</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192,500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1.76 %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195,000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1.60 %</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Revolving credit facility (2)</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4.00 %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3.75 %</w:t>
            </w:r>
          </w:p>
        </w:tc>
        <w:tc>
          <w:tcPr>
            <w:tcW w:w="0" w:type="dxa"/>
            <w:vAlign w:val="bottom"/>
          </w:tcPr>
          <w:p>
            <w:pPr>
              <w:spacing w:after="0"/>
              <w:rPr>
                <w:sz w:val="1"/>
                <w:szCs w:val="1"/>
                <w:color w:val="auto"/>
              </w:rPr>
            </w:pPr>
          </w:p>
        </w:tc>
      </w:tr>
      <w:tr>
        <w:trPr>
          <w:trHeight w:val="185"/>
        </w:trPr>
        <w:tc>
          <w:tcPr>
            <w:tcW w:w="466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Senior Secured Credit Facility</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202,500</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275,000</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 Notes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5.00 %</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5"/>
                <w:szCs w:val="15"/>
                <w:color w:val="auto"/>
              </w:rPr>
              <w:t>2029 Notes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5.13 %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5.13 %</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lease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2,376</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5"/>
                <w:szCs w:val="15"/>
                <w:color w:val="auto"/>
              </w:rPr>
              <w:t>Less: unamortized debt discount and issuance costs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(13,433)</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(14,157)</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finance lease interest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220"/>
              <w:spacing w:after="0"/>
              <w:rPr>
                <w:sz w:val="20"/>
                <w:szCs w:val="20"/>
                <w:color w:val="auto"/>
              </w:rPr>
            </w:pPr>
            <w:r>
              <w:rPr>
                <w:rFonts w:ascii="Arial" w:cs="Arial" w:eastAsia="Arial" w:hAnsi="Arial"/>
                <w:sz w:val="15"/>
                <w:szCs w:val="15"/>
                <w:color w:val="auto"/>
              </w:rPr>
              <w:t>Total debt, net</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722,245</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793,065</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current portion of long-term debt</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(11,220)</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(10,958)</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tcPr>
          <w:p>
            <w:pPr>
              <w:ind w:left="220"/>
              <w:spacing w:after="0"/>
              <w:rPr>
                <w:sz w:val="20"/>
                <w:szCs w:val="20"/>
                <w:color w:val="auto"/>
              </w:rPr>
            </w:pPr>
            <w:r>
              <w:rPr>
                <w:rFonts w:ascii="Arial" w:cs="Arial" w:eastAsia="Arial" w:hAnsi="Arial"/>
                <w:sz w:val="15"/>
                <w:szCs w:val="15"/>
                <w:color w:val="auto"/>
              </w:rPr>
              <w:t>Long-term debt,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711,025</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782,107</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5"/>
                <w:szCs w:val="15"/>
                <w:color w:val="auto"/>
              </w:rPr>
              <w:t>________________</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Interest rate represents the weighted average interest rate as of the respective periods.</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Interest rate represents the base rate option elected in anticipation of impending repayment.</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Debt Covenants - </w:t>
      </w:r>
      <w:r>
        <w:rPr>
          <w:rFonts w:ascii="Arial" w:cs="Arial" w:eastAsia="Arial" w:hAnsi="Arial"/>
          <w:sz w:val="19"/>
          <w:szCs w:val="19"/>
          <w:color w:val="auto"/>
        </w:rPr>
        <w:t>As of March 27, 2022 and December 26, 2021, the Company was in compliance with its debt covenants.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Credit Agreement Amendment - </w:t>
      </w:r>
      <w:r>
        <w:rPr>
          <w:rFonts w:ascii="Arial" w:cs="Arial" w:eastAsia="Arial" w:hAnsi="Arial"/>
          <w:sz w:val="19"/>
          <w:szCs w:val="19"/>
          <w:color w:val="auto"/>
        </w:rPr>
        <w:t>On April 16, 2021, the Company and its wholly-owned subsidiary OSI Restaurant Partners, LLC (“OSI”), as co-borrowers, entered into the Second Amended and Restated Credit Agreement (the “Credit Agreement”), which provides for senior secured financing of up to $1.0 billion consisting of a $200.0 million Term loan A and an $800.0 million revolving credit facility (the “Senior Secured Credit Facility”).</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On April 26, 2022, the Company and OSI entered into the First Amendment to the Second Amended and Restated Credit Agreement and Incremental Amendment (the “Amended Credit Agreement”), which included an increase of the Company’s existing revolving credit facility from $800.0 million to $1.0 billion and a transition from London Inter-Bank Offered Rate (“LIBOR”) to Secured Overnight Financing Rate (“SOFR”) as the benchmark rate for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purposes of calculating interest under the Senior Secured Credit Facility. At closing, an incremental $192.5 million was drawn on the revolving credit facility to fully repay the outstanding balance of Term loan A. The total indebtedness of the Company remained unchanged as a result of the Amended Credit Agreement.</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Under the Amended Credit Agreement, the Company may elect an interest rate at each reset period based on the Base Rate or Adjusted Term SOFR, plus an applicable spread. The Base Rate option is the highest of: (i) the prime rate of Wells Fargo Bank, National Association, (ii) the federal funds effective rate plus 0.5 of 1.0% or (iii) the Adjusted Term SOFR with a one-month interest period plus 1.0% (the “Base Rate”). The Adjusted Term SOFR option is the 30, 90 or 180-day SOFR, plus a term SOFR adjustment of 0.10%, subject to a 0% floor (the “Adjusted Term SOFR”). The interest rates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Borders>
              <w:bottom w:val="single" w:sz="8" w:color="CCEEFF"/>
            </w:tcBorders>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BASE RATE ELECTION</w:t>
            </w:r>
          </w:p>
        </w:tc>
        <w:tc>
          <w:tcPr>
            <w:tcW w:w="100" w:type="dxa"/>
            <w:vAlign w:val="bottom"/>
            <w:tcBorders>
              <w:bottom w:val="single" w:sz="8" w:color="CCEEFF"/>
            </w:tcBorders>
          </w:tcPr>
          <w:p>
            <w:pPr>
              <w:spacing w:after="0"/>
              <w:rPr>
                <w:sz w:val="17"/>
                <w:szCs w:val="17"/>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ADJUSTED TERM SOFR ELECTION</w:t>
            </w:r>
          </w:p>
        </w:tc>
      </w:tr>
      <w:tr>
        <w:trPr>
          <w:trHeight w:val="206"/>
        </w:trPr>
        <w:tc>
          <w:tcPr>
            <w:tcW w:w="3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Revolving credit facility</w:t>
            </w:r>
          </w:p>
        </w:tc>
        <w:tc>
          <w:tcPr>
            <w:tcW w:w="34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1"/>
              </w:rPr>
              <w:t>50 to 150 basis points over the Base Rate</w:t>
            </w:r>
          </w:p>
        </w:tc>
        <w:tc>
          <w:tcPr>
            <w:tcW w:w="4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150 to 250 basis points over the Adjusted Term SOFR</w:t>
            </w:r>
          </w:p>
        </w:tc>
      </w:tr>
    </w:tbl>
    <w:p>
      <w:pPr>
        <w:spacing w:after="0" w:line="2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transition to SOFR did not materially impact the interest rate applied to the Company’s borrowings. No other material changes were made to the terms of the Company’s Credit Agreement as a result of the Amended Credit Agreement.</w:t>
      </w:r>
    </w:p>
    <w:p>
      <w:pPr>
        <w:spacing w:after="0" w:line="190" w:lineRule="exact"/>
        <w:rPr>
          <w:sz w:val="20"/>
          <w:szCs w:val="20"/>
          <w:color w:val="auto"/>
        </w:rPr>
      </w:pPr>
    </w:p>
    <w:p>
      <w:pPr>
        <w:ind w:left="340" w:hanging="337"/>
        <w:spacing w:after="0"/>
        <w:tabs>
          <w:tab w:leader="none" w:pos="3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Convertible Senior Notes</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2025 Notes </w:t>
      </w:r>
      <w:r>
        <w:rPr>
          <w:rFonts w:ascii="Arial" w:cs="Arial" w:eastAsia="Arial" w:hAnsi="Arial"/>
          <w:sz w:val="18"/>
          <w:szCs w:val="18"/>
          <w:color w:val="auto"/>
        </w:rPr>
        <w:t>- The initial conversion rate applicable to the 2025 Notes was 84.122 shares of common stock per $1,000 principal amount of 2025</w:t>
      </w:r>
      <w:r>
        <w:rPr>
          <w:rFonts w:ascii="Arial" w:cs="Arial" w:eastAsia="Arial" w:hAnsi="Arial"/>
          <w:sz w:val="18"/>
          <w:szCs w:val="18"/>
          <w:i w:val="1"/>
          <w:iCs w:val="1"/>
          <w:color w:val="auto"/>
        </w:rPr>
        <w:t xml:space="preserve"> </w:t>
      </w:r>
      <w:r>
        <w:rPr>
          <w:rFonts w:ascii="Arial" w:cs="Arial" w:eastAsia="Arial" w:hAnsi="Arial"/>
          <w:sz w:val="18"/>
          <w:szCs w:val="18"/>
          <w:color w:val="auto"/>
        </w:rPr>
        <w:t>Notes, or a total of approximately 19.348 million shares for the total $230.0 million principal amount. This initial conversion rate was equivalent to an initial conversion price of approximately $11.89 per share. In connection with dividends paid during the thirteen weeks ended March 27, 2022, the conversion rate for the 2025 Notes decreased to approximately $11.82 per share, which represents 84.603 shares of common stock per $1,000 principal amount of the 2025 Notes, or a total of approximately 19.459 million shares.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includes the outstanding principal amount and carrying value of the 2025 Notes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27, 2022</w:t>
            </w:r>
          </w:p>
        </w:tc>
        <w:tc>
          <w:tcPr>
            <w:tcW w:w="240" w:type="dxa"/>
            <w:vAlign w:val="bottom"/>
          </w:tcPr>
          <w:p>
            <w:pPr>
              <w:spacing w:after="0"/>
              <w:rPr>
                <w:sz w:val="17"/>
                <w:szCs w:val="17"/>
                <w:color w:val="auto"/>
              </w:rPr>
            </w:pPr>
          </w:p>
        </w:tc>
        <w:tc>
          <w:tcPr>
            <w:tcW w:w="1840" w:type="dxa"/>
            <w:vAlign w:val="bottom"/>
          </w:tcPr>
          <w:p>
            <w:pPr>
              <w:jc w:val="right"/>
              <w:ind w:right="305"/>
              <w:spacing w:after="0"/>
              <w:rPr>
                <w:sz w:val="20"/>
                <w:szCs w:val="20"/>
                <w:color w:val="auto"/>
              </w:rPr>
            </w:pPr>
            <w:r>
              <w:rPr>
                <w:rFonts w:ascii="Arial" w:cs="Arial" w:eastAsia="Arial" w:hAnsi="Arial"/>
                <w:sz w:val="14"/>
                <w:szCs w:val="14"/>
                <w:b w:val="1"/>
                <w:bCs w:val="1"/>
                <w:color w:val="auto"/>
              </w:rPr>
              <w:t>DECEMBER 26, 2021</w:t>
            </w:r>
          </w:p>
        </w:tc>
      </w:tr>
      <w:tr>
        <w:trPr>
          <w:trHeight w:val="19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debt, net</w:t>
            </w:r>
          </w:p>
        </w:tc>
        <w:tc>
          <w:tcPr>
            <w:tcW w:w="32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r>
      <w:tr>
        <w:trPr>
          <w:trHeight w:val="203"/>
        </w:trPr>
        <w:tc>
          <w:tcPr>
            <w:tcW w:w="6960" w:type="dxa"/>
            <w:vAlign w:val="bottom"/>
          </w:tcPr>
          <w:p>
            <w:pPr>
              <w:ind w:left="140"/>
              <w:spacing w:after="0"/>
              <w:rPr>
                <w:sz w:val="20"/>
                <w:szCs w:val="20"/>
                <w:color w:val="auto"/>
              </w:rPr>
            </w:pPr>
            <w:r>
              <w:rPr>
                <w:rFonts w:ascii="Arial" w:cs="Arial" w:eastAsia="Arial" w:hAnsi="Arial"/>
                <w:sz w:val="15"/>
                <w:szCs w:val="15"/>
                <w:color w:val="auto"/>
              </w:rPr>
              <w:t>Principal</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780" w:type="dxa"/>
            <w:vAlign w:val="bottom"/>
          </w:tcPr>
          <w:p>
            <w:pPr>
              <w:jc w:val="right"/>
              <w:ind w:right="5"/>
              <w:spacing w:after="0"/>
              <w:rPr>
                <w:sz w:val="20"/>
                <w:szCs w:val="20"/>
                <w:color w:val="auto"/>
              </w:rPr>
            </w:pPr>
            <w:r>
              <w:rPr>
                <w:rFonts w:ascii="Arial" w:cs="Arial" w:eastAsia="Arial" w:hAnsi="Arial"/>
                <w:sz w:val="15"/>
                <w:szCs w:val="15"/>
                <w:color w:val="auto"/>
              </w:rPr>
              <w:t>230,000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230,000</w:t>
            </w:r>
          </w:p>
        </w:tc>
      </w:tr>
      <w:tr>
        <w:trPr>
          <w:trHeight w:val="215"/>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Less: debt issuance costs (1)</w:t>
            </w:r>
          </w:p>
        </w:tc>
        <w:tc>
          <w:tcPr>
            <w:tcW w:w="3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(5,898)</w:t>
            </w:r>
          </w:p>
        </w:tc>
      </w:tr>
      <w:tr>
        <w:trPr>
          <w:trHeight w:val="206"/>
        </w:trPr>
        <w:tc>
          <w:tcPr>
            <w:tcW w:w="6960" w:type="dxa"/>
            <w:vAlign w:val="bottom"/>
          </w:tcPr>
          <w:p>
            <w:pPr>
              <w:ind w:left="220"/>
              <w:spacing w:after="0"/>
              <w:rPr>
                <w:sz w:val="20"/>
                <w:szCs w:val="20"/>
                <w:color w:val="auto"/>
              </w:rPr>
            </w:pPr>
            <w:r>
              <w:rPr>
                <w:rFonts w:ascii="Arial" w:cs="Arial" w:eastAsia="Arial" w:hAnsi="Arial"/>
                <w:sz w:val="15"/>
                <w:szCs w:val="15"/>
                <w:color w:val="auto"/>
              </w:rPr>
              <w:t>Net carrying amount</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224,505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224,102</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Debt issuance costs are amortized to Interest expense, net using the effective interest method over the 2025 Notes’ expected life.</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252525"/>
        </w:rPr>
        <w:t xml:space="preserve">Following is a summary of interest expense for the </w:t>
      </w:r>
      <w:r>
        <w:rPr>
          <w:rFonts w:ascii="Arial" w:cs="Arial" w:eastAsia="Arial" w:hAnsi="Arial"/>
          <w:sz w:val="19"/>
          <w:szCs w:val="19"/>
          <w:color w:val="000000"/>
        </w:rPr>
        <w:t>2025 Notes, by component, for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45"/>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6"/>
                <w:szCs w:val="16"/>
                <w:color w:val="auto"/>
              </w:rPr>
            </w:pPr>
          </w:p>
        </w:tc>
        <w:tc>
          <w:tcPr>
            <w:tcW w:w="1300" w:type="dxa"/>
            <w:vAlign w:val="bottom"/>
          </w:tcPr>
          <w:p>
            <w:pPr>
              <w:jc w:val="right"/>
              <w:ind w:right="125"/>
              <w:spacing w:after="0"/>
              <w:rPr>
                <w:sz w:val="20"/>
                <w:szCs w:val="20"/>
                <w:color w:val="auto"/>
              </w:rPr>
            </w:pPr>
            <w:r>
              <w:rPr>
                <w:rFonts w:ascii="Arial" w:cs="Arial" w:eastAsia="Arial" w:hAnsi="Arial"/>
                <w:sz w:val="14"/>
                <w:szCs w:val="14"/>
                <w:b w:val="1"/>
                <w:bCs w:val="1"/>
                <w:color w:val="auto"/>
                <w:w w:val="97"/>
              </w:rPr>
              <w:t>MARCH 28, 2021</w:t>
            </w:r>
          </w:p>
        </w:tc>
      </w:tr>
      <w:tr>
        <w:trPr>
          <w:trHeight w:val="206"/>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Coupon interest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2,875</w:t>
            </w:r>
          </w:p>
        </w:tc>
      </w:tr>
      <w:tr>
        <w:trPr>
          <w:trHeight w:val="21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Deferred issuance cost amortization</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w:t>
            </w:r>
          </w:p>
        </w:tc>
      </w:tr>
      <w:tr>
        <w:trPr>
          <w:trHeight w:val="231"/>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interest expense (1)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The effective rate of the 2025 Notes over their expected life is </w:t>
      </w:r>
      <w:r>
        <w:rPr>
          <w:rFonts w:ascii="Arial" w:cs="Arial" w:eastAsia="Arial" w:hAnsi="Arial"/>
          <w:sz w:val="15"/>
          <w:szCs w:val="15"/>
          <w:color w:val="252525"/>
        </w:rPr>
        <w:t>5.85%.</w:t>
      </w:r>
    </w:p>
    <w:p>
      <w:pPr>
        <w:spacing w:after="0" w:line="21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Based on the daily closing prices of the Company’s stock during the quarter ended March 27, 2022, holders of the 2025 Notes are eligible to convert their 2025 Notes during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Convertible Note Warrant Transactions </w:t>
      </w:r>
      <w:r>
        <w:rPr>
          <w:rFonts w:ascii="Arial" w:cs="Arial" w:eastAsia="Arial" w:hAnsi="Arial"/>
          <w:sz w:val="19"/>
          <w:szCs w:val="19"/>
          <w:color w:val="252525"/>
        </w:rPr>
        <w:t>- The Warrant Transactions have a dilutive effect on the Company’s common stock to the extent that the</w:t>
      </w:r>
      <w:r>
        <w:rPr>
          <w:rFonts w:ascii="Arial" w:cs="Arial" w:eastAsia="Arial" w:hAnsi="Arial"/>
          <w:sz w:val="19"/>
          <w:szCs w:val="19"/>
          <w:i w:val="1"/>
          <w:iCs w:val="1"/>
          <w:color w:val="auto"/>
        </w:rPr>
        <w:t xml:space="preserve"> </w:t>
      </w:r>
      <w:r>
        <w:rPr>
          <w:rFonts w:ascii="Arial" w:cs="Arial" w:eastAsia="Arial" w:hAnsi="Arial"/>
          <w:sz w:val="19"/>
          <w:szCs w:val="19"/>
          <w:color w:val="252525"/>
        </w:rPr>
        <w:t xml:space="preserve">price of its common stock exceeds the strike price of the Warrant Transactions. The strike price was initially $16.64 per share and is subject to certain adjustments under the terms of the Warrant Transactions. In connection with </w:t>
      </w:r>
      <w:r>
        <w:rPr>
          <w:rFonts w:ascii="Arial" w:cs="Arial" w:eastAsia="Arial" w:hAnsi="Arial"/>
          <w:sz w:val="19"/>
          <w:szCs w:val="19"/>
          <w:color w:val="000000"/>
        </w:rPr>
        <w:t>dividends paid during the thirteen weeks ended March 27,</w:t>
      </w:r>
      <w:r>
        <w:rPr>
          <w:rFonts w:ascii="Arial" w:cs="Arial" w:eastAsia="Arial" w:hAnsi="Arial"/>
          <w:sz w:val="19"/>
          <w:szCs w:val="19"/>
          <w:color w:val="252525"/>
        </w:rPr>
        <w:t xml:space="preserve"> </w:t>
      </w:r>
      <w:r>
        <w:rPr>
          <w:rFonts w:ascii="Arial" w:cs="Arial" w:eastAsia="Arial" w:hAnsi="Arial"/>
          <w:sz w:val="19"/>
          <w:szCs w:val="19"/>
          <w:color w:val="000000"/>
        </w:rPr>
        <w:t xml:space="preserve">2022, the strike price for the </w:t>
      </w:r>
      <w:r>
        <w:rPr>
          <w:rFonts w:ascii="Arial" w:cs="Arial" w:eastAsia="Arial" w:hAnsi="Arial"/>
          <w:sz w:val="19"/>
          <w:szCs w:val="19"/>
          <w:color w:val="252525"/>
        </w:rPr>
        <w:t>Warrant Transactions</w:t>
      </w:r>
      <w:r>
        <w:rPr>
          <w:rFonts w:ascii="Arial" w:cs="Arial" w:eastAsia="Arial" w:hAnsi="Arial"/>
          <w:sz w:val="19"/>
          <w:szCs w:val="19"/>
          <w:color w:val="000000"/>
        </w:rPr>
        <w:t xml:space="preserve"> decreased to $16.55.</w:t>
      </w:r>
    </w:p>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9"/>
          <w:szCs w:val="19"/>
          <w:color w:val="auto"/>
        </w:rPr>
        <w:t>8.</w:t>
      </w:r>
      <w:r>
        <w:rPr>
          <w:sz w:val="20"/>
          <w:szCs w:val="20"/>
          <w:color w:val="auto"/>
        </w:rPr>
        <w:tab/>
      </w:r>
      <w:r>
        <w:rPr>
          <w:rFonts w:ascii="Arial" w:cs="Arial" w:eastAsia="Arial" w:hAnsi="Arial"/>
          <w:sz w:val="17"/>
          <w:szCs w:val="17"/>
          <w:color w:val="auto"/>
        </w:rPr>
        <w:t>Other Long-term Liabilities,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Other long-term liabilities, net, consisted of the following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27, 2022</w:t>
            </w:r>
          </w:p>
        </w:tc>
        <w:tc>
          <w:tcPr>
            <w:tcW w:w="200" w:type="dxa"/>
            <w:vAlign w:val="bottom"/>
          </w:tcPr>
          <w:p>
            <w:pPr>
              <w:spacing w:after="0"/>
              <w:rPr>
                <w:sz w:val="17"/>
                <w:szCs w:val="17"/>
                <w:color w:val="auto"/>
              </w:rPr>
            </w:pPr>
          </w:p>
        </w:tc>
        <w:tc>
          <w:tcPr>
            <w:tcW w:w="1720" w:type="dxa"/>
            <w:vAlign w:val="bottom"/>
          </w:tcPr>
          <w:p>
            <w:pPr>
              <w:jc w:val="right"/>
              <w:ind w:right="224"/>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insurance liability</w:t>
            </w: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30,779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31,517</w:t>
            </w:r>
          </w:p>
        </w:tc>
      </w:tr>
      <w:tr>
        <w:trPr>
          <w:trHeight w:val="203"/>
        </w:trPr>
        <w:tc>
          <w:tcPr>
            <w:tcW w:w="7300" w:type="dxa"/>
            <w:vAlign w:val="bottom"/>
          </w:tcPr>
          <w:p>
            <w:pPr>
              <w:ind w:left="20"/>
              <w:spacing w:after="0"/>
              <w:rPr>
                <w:sz w:val="20"/>
                <w:szCs w:val="20"/>
                <w:color w:val="auto"/>
              </w:rPr>
            </w:pPr>
            <w:r>
              <w:rPr>
                <w:rFonts w:ascii="Arial" w:cs="Arial" w:eastAsia="Arial" w:hAnsi="Arial"/>
                <w:sz w:val="15"/>
                <w:szCs w:val="15"/>
                <w:color w:val="auto"/>
              </w:rPr>
              <w:t>Deferred payroll tax liabilities (1)</w:t>
            </w:r>
          </w:p>
        </w:tc>
        <w:tc>
          <w:tcPr>
            <w:tcW w:w="260" w:type="dxa"/>
            <w:vAlign w:val="bottom"/>
          </w:tcPr>
          <w:p>
            <w:pPr>
              <w:spacing w:after="0"/>
              <w:rPr>
                <w:sz w:val="17"/>
                <w:szCs w:val="17"/>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27,302</w:t>
            </w:r>
          </w:p>
        </w:tc>
      </w:tr>
      <w:tr>
        <w:trPr>
          <w:trHeight w:val="209"/>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Executive management deferred compensation obligations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23,543</w:t>
            </w:r>
          </w:p>
        </w:tc>
      </w:tr>
      <w:tr>
        <w:trPr>
          <w:trHeight w:val="21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42,880</w:t>
            </w:r>
          </w:p>
        </w:tc>
      </w:tr>
      <w:tr>
        <w:trPr>
          <w:trHeight w:val="228"/>
        </w:trPr>
        <w:tc>
          <w:tcPr>
            <w:tcW w:w="7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90,503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125,242</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During the thirteen weeks ended March 27, 2022, the Company reclassified $27.3 million of payroll taxes deferred under the Coronavirus, Aid, Relief and Economic Security Act to current.</w:t>
      </w:r>
    </w:p>
    <w:p>
      <w:pPr>
        <w:spacing w:after="0" w:line="190" w:lineRule="exact"/>
        <w:rPr>
          <w:sz w:val="20"/>
          <w:szCs w:val="20"/>
          <w:color w:val="auto"/>
        </w:rPr>
      </w:pPr>
    </w:p>
    <w:p>
      <w:pPr>
        <w:ind w:left="340" w:hanging="337"/>
        <w:spacing w:after="0"/>
        <w:tabs>
          <w:tab w:leader="none" w:pos="3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Stockholders’ Equity</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i w:val="1"/>
          <w:iCs w:val="1"/>
          <w:color w:val="auto"/>
        </w:rPr>
        <w:t xml:space="preserve">Share Repurchases </w:t>
      </w:r>
      <w:r>
        <w:rPr>
          <w:rFonts w:ascii="Arial" w:cs="Arial" w:eastAsia="Arial" w:hAnsi="Arial"/>
          <w:sz w:val="19"/>
          <w:szCs w:val="19"/>
          <w:color w:val="auto"/>
        </w:rPr>
        <w:t>- On February 8, 2022, the Company’s Board of Directors (the “Board”) approved a share repurchase program (the “2022 Share</w:t>
      </w:r>
      <w:r>
        <w:rPr>
          <w:rFonts w:ascii="Arial" w:cs="Arial" w:eastAsia="Arial" w:hAnsi="Arial"/>
          <w:sz w:val="19"/>
          <w:szCs w:val="19"/>
          <w:i w:val="1"/>
          <w:iCs w:val="1"/>
          <w:color w:val="auto"/>
        </w:rPr>
        <w:t xml:space="preserve"> </w:t>
      </w:r>
      <w:r>
        <w:rPr>
          <w:rFonts w:ascii="Arial" w:cs="Arial" w:eastAsia="Arial" w:hAnsi="Arial"/>
          <w:sz w:val="19"/>
          <w:szCs w:val="19"/>
          <w:color w:val="auto"/>
        </w:rPr>
        <w:t>Repurchase Program”) under which the Company was authorized to repurchase up to $125.0 million of its outstanding common stock. The 2022 Share Repurchase Program will expire on August 9, 2023. As of March 27, 2022, $113.3 million remained available for repurchase under the 2022 Share Repurchase Program. Following is a summary of the shares repurchased under the Company’s share repurchase program during fiscal year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AVERAGE</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1"/>
                <w:szCs w:val="11"/>
                <w:color w:val="auto"/>
              </w:rPr>
            </w:pPr>
          </w:p>
        </w:tc>
        <w:tc>
          <w:tcPr>
            <w:tcW w:w="16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8"/>
              </w:rPr>
              <w:t>REPURCHASE PRICE</w:t>
            </w:r>
          </w:p>
        </w:tc>
        <w:tc>
          <w:tcPr>
            <w:tcW w:w="300" w:type="dxa"/>
            <w:vAlign w:val="bottom"/>
          </w:tcPr>
          <w:p>
            <w:pPr>
              <w:spacing w:after="0"/>
              <w:rPr>
                <w:sz w:val="11"/>
                <w:szCs w:val="11"/>
                <w:color w:val="auto"/>
              </w:rPr>
            </w:pPr>
          </w:p>
        </w:tc>
        <w:tc>
          <w:tcPr>
            <w:tcW w:w="1340" w:type="dxa"/>
            <w:vAlign w:val="bottom"/>
            <w:vMerge w:val="restart"/>
          </w:tcPr>
          <w:p>
            <w:pPr>
              <w:jc w:val="right"/>
              <w:ind w:right="42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612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PER SHARE</w:t>
            </w:r>
          </w:p>
        </w:tc>
        <w:tc>
          <w:tcPr>
            <w:tcW w:w="3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First fiscal quarter (1)</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11,702</w:t>
            </w:r>
          </w:p>
        </w:tc>
        <w:tc>
          <w:tcPr>
            <w:tcW w:w="0" w:type="dxa"/>
            <w:vAlign w:val="bottom"/>
          </w:tcPr>
          <w:p>
            <w:pPr>
              <w:spacing w:after="0"/>
              <w:rPr>
                <w:sz w:val="1"/>
                <w:szCs w:val="1"/>
                <w:color w:val="auto"/>
              </w:rPr>
            </w:pPr>
          </w:p>
        </w:tc>
      </w:tr>
      <w:tr>
        <w:trPr>
          <w:trHeight w:val="275"/>
        </w:trPr>
        <w:tc>
          <w:tcPr>
            <w:tcW w:w="6120" w:type="dxa"/>
            <w:vAlign w:val="bottom"/>
          </w:tcPr>
          <w:p>
            <w:pPr>
              <w:spacing w:after="0"/>
              <w:rPr>
                <w:sz w:val="20"/>
                <w:szCs w:val="20"/>
                <w:color w:val="auto"/>
              </w:rPr>
            </w:pPr>
            <w:r>
              <w:rPr>
                <w:rFonts w:ascii="Arial" w:cs="Arial" w:eastAsia="Arial" w:hAnsi="Arial"/>
                <w:sz w:val="15"/>
                <w:szCs w:val="15"/>
                <w:color w:val="auto"/>
              </w:rPr>
              <w:t>________________</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Subsequent to March 27, 2022, the Company repurchased 723 thousand shares of its common stock for $15.6 million under a Rule 10b5-1 plan.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Dividends - </w:t>
      </w:r>
      <w:r>
        <w:rPr>
          <w:rFonts w:ascii="Arial" w:cs="Arial" w:eastAsia="Arial" w:hAnsi="Arial"/>
          <w:sz w:val="19"/>
          <w:szCs w:val="19"/>
          <w:color w:val="auto"/>
        </w:rPr>
        <w:t>The Company declared and paid dividends per share during fiscal year 2022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DIVIDENDS PER</w:t>
            </w:r>
          </w:p>
        </w:tc>
        <w:tc>
          <w:tcPr>
            <w:tcW w:w="260" w:type="dxa"/>
            <w:vAlign w:val="bottom"/>
          </w:tcPr>
          <w:p>
            <w:pPr>
              <w:spacing w:after="0"/>
              <w:rPr>
                <w:sz w:val="14"/>
                <w:szCs w:val="14"/>
                <w:color w:val="auto"/>
              </w:rPr>
            </w:pPr>
          </w:p>
        </w:tc>
        <w:tc>
          <w:tcPr>
            <w:tcW w:w="1200" w:type="dxa"/>
            <w:vAlign w:val="bottom"/>
            <w:vMerge w:val="restart"/>
          </w:tcPr>
          <w:p>
            <w:pPr>
              <w:jc w:val="right"/>
              <w:ind w:right="34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6"/>
        </w:trPr>
        <w:tc>
          <w:tcPr>
            <w:tcW w:w="8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SHARE</w:t>
            </w: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First fiscal quarter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12,559</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April 2022, the Board declared a quarterly cash dividend of $0.14 per share, payable on May 25, 2022 to shareholders of record at the close of business on May 11, 2022.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Accumulated Other Comprehensive Loss (“AOCL”) - </w:t>
      </w:r>
      <w:r>
        <w:rPr>
          <w:rFonts w:ascii="Arial" w:cs="Arial" w:eastAsia="Arial" w:hAnsi="Arial"/>
          <w:sz w:val="19"/>
          <w:szCs w:val="19"/>
          <w:color w:val="auto"/>
        </w:rPr>
        <w:t>Following are the components of AOCL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19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27, 2022</w:t>
            </w:r>
          </w:p>
        </w:tc>
        <w:tc>
          <w:tcPr>
            <w:tcW w:w="200" w:type="dxa"/>
            <w:vAlign w:val="bottom"/>
          </w:tcPr>
          <w:p>
            <w:pPr>
              <w:spacing w:after="0"/>
              <w:rPr>
                <w:sz w:val="17"/>
                <w:szCs w:val="17"/>
                <w:color w:val="auto"/>
              </w:rPr>
            </w:pPr>
          </w:p>
        </w:tc>
        <w:tc>
          <w:tcPr>
            <w:tcW w:w="1760" w:type="dxa"/>
            <w:vAlign w:val="bottom"/>
          </w:tcPr>
          <w:p>
            <w:pPr>
              <w:jc w:val="right"/>
              <w:ind w:right="245"/>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(184,197)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(195,480)</w:t>
            </w:r>
          </w:p>
        </w:tc>
      </w:tr>
      <w:tr>
        <w:trPr>
          <w:trHeight w:val="21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Unrealized loss on derivatives, net of tax</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(6,234)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(10,509)</w:t>
            </w:r>
          </w:p>
        </w:tc>
      </w:tr>
      <w:tr>
        <w:trPr>
          <w:trHeight w:val="231"/>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Accumulated other comprehensive loss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(190,431)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(205,989)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Following are the components of Other comprehensive income (loss) attributable to Bloomin’ Brands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6"/>
                <w:szCs w:val="16"/>
                <w:color w:val="auto"/>
              </w:rPr>
            </w:pPr>
          </w:p>
        </w:tc>
        <w:tc>
          <w:tcPr>
            <w:tcW w:w="1300" w:type="dxa"/>
            <w:vAlign w:val="bottom"/>
          </w:tcPr>
          <w:p>
            <w:pPr>
              <w:jc w:val="right"/>
              <w:ind w:right="124"/>
              <w:spacing w:after="0"/>
              <w:rPr>
                <w:sz w:val="20"/>
                <w:szCs w:val="20"/>
                <w:color w:val="auto"/>
              </w:rPr>
            </w:pPr>
            <w:r>
              <w:rPr>
                <w:rFonts w:ascii="Arial" w:cs="Arial" w:eastAsia="Arial" w:hAnsi="Arial"/>
                <w:sz w:val="14"/>
                <w:szCs w:val="14"/>
                <w:b w:val="1"/>
                <w:bCs w:val="1"/>
                <w:color w:val="auto"/>
                <w:w w:val="97"/>
              </w:rPr>
              <w:t>MARCH 28, 2021</w:t>
            </w:r>
          </w:p>
        </w:tc>
      </w:tr>
      <w:tr>
        <w:trPr>
          <w:trHeight w:val="206"/>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11,283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(6,575)</w:t>
            </w:r>
          </w:p>
        </w:tc>
      </w:tr>
      <w:tr>
        <w:trPr>
          <w:trHeight w:val="245"/>
        </w:trPr>
        <w:tc>
          <w:tcPr>
            <w:tcW w:w="8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6"/>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gain (loss) on derivatives, net of tax</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r>
      <w:tr>
        <w:trPr>
          <w:trHeight w:val="203"/>
        </w:trPr>
        <w:tc>
          <w:tcPr>
            <w:tcW w:w="8220" w:type="dxa"/>
            <w:vAlign w:val="bottom"/>
          </w:tcPr>
          <w:p>
            <w:pPr>
              <w:ind w:left="20"/>
              <w:spacing w:after="0"/>
              <w:rPr>
                <w:sz w:val="20"/>
                <w:szCs w:val="20"/>
                <w:color w:val="auto"/>
              </w:rPr>
            </w:pPr>
            <w:r>
              <w:rPr>
                <w:rFonts w:ascii="Arial" w:cs="Arial" w:eastAsia="Arial" w:hAnsi="Arial"/>
                <w:sz w:val="15"/>
                <w:szCs w:val="15"/>
                <w:color w:val="auto"/>
              </w:rPr>
              <w:t>Reclassification of adjustments for loss on derivatives included in Net income, net of tax (1)</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3,003</w:t>
            </w:r>
          </w:p>
        </w:tc>
      </w:tr>
      <w:tr>
        <w:trPr>
          <w:trHeight w:val="22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Impact of terminated interest rate swaps included in Net income, net of tax</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unrealized gain on derivatives, net of tax</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4,275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2,961</w:t>
            </w:r>
          </w:p>
        </w:tc>
      </w:tr>
      <w:tr>
        <w:trPr>
          <w:trHeight w:val="23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comprehensive income (loss) attributable to Bloomin’ Brands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(3,614)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See Note 10 - </w:t>
      </w:r>
      <w:r>
        <w:rPr>
          <w:rFonts w:ascii="Arial" w:cs="Arial" w:eastAsia="Arial" w:hAnsi="Arial"/>
          <w:sz w:val="15"/>
          <w:szCs w:val="15"/>
          <w:i w:val="1"/>
          <w:iCs w:val="1"/>
          <w:color w:val="auto"/>
        </w:rPr>
        <w:t>Derivative Instruments and Hedging Activities</w:t>
      </w:r>
      <w:r>
        <w:rPr>
          <w:rFonts w:ascii="Arial" w:cs="Arial" w:eastAsia="Arial" w:hAnsi="Arial"/>
          <w:sz w:val="15"/>
          <w:szCs w:val="15"/>
          <w:color w:val="auto"/>
        </w:rPr>
        <w:t xml:space="preserve"> for the tax impact of reclassifications.</w:t>
      </w:r>
    </w:p>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10.</w:t>
      </w:r>
      <w:r>
        <w:rPr>
          <w:sz w:val="20"/>
          <w:szCs w:val="20"/>
          <w:color w:val="auto"/>
        </w:rPr>
        <w:tab/>
      </w:r>
      <w:r>
        <w:rPr>
          <w:rFonts w:ascii="Arial" w:cs="Arial" w:eastAsia="Arial" w:hAnsi="Arial"/>
          <w:sz w:val="17"/>
          <w:szCs w:val="17"/>
          <w:color w:val="auto"/>
        </w:rPr>
        <w:t>Derivative Instruments and Hedging Activities</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Cash Flow Hedges of Interest Rate Risk - </w:t>
      </w:r>
      <w:r>
        <w:rPr>
          <w:rFonts w:ascii="Arial" w:cs="Arial" w:eastAsia="Arial" w:hAnsi="Arial"/>
          <w:sz w:val="18"/>
          <w:szCs w:val="18"/>
          <w:color w:val="auto"/>
        </w:rPr>
        <w:t>In October 2018, the Company entered into variable-to-fixed interest rate swap agreements with 12</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hedge a portion of the cash flows of the Company’s variable rate debt. The swap agreements had an aggregate notional amount of $550.0 million and mature on November 30, 2022. Under the terms of the swap agreements, the Company pays a weighted average fixed rate of 3.04% on the notional amount and receives payments from the counterparty based on one-month LIBOR. During 2021, the Company terminated variable-to-fixed interest rate swap agreements with certain counterparties and as a result, as of March 27, 2022 had interest rate swap agreements remaining with two counterparties for an aggregate notional amount of $125.0 million.</w:t>
      </w:r>
    </w:p>
    <w:p>
      <w:pPr>
        <w:spacing w:after="0" w:line="19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Company’s swap agreements have been designated and qualify as cash flow hedges, are recognized on its Consolidated Balance Sheets at fair value and are classified based on the instruments’ maturity dates. As of March 27, 2022, the Company estimated $8.5 million will be reclassified to Interest expense, net through the November 2022 maturity date of the swaps, including interest expense related to the terminated swap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fair value and classification of the Company’s swap agreements, as of the periods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27, 2022</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26, 2021</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7"/>
              </w:rPr>
              <w:t>CONSOLIDATED BALANCE SHEET</w:t>
            </w:r>
          </w:p>
        </w:tc>
        <w:tc>
          <w:tcPr>
            <w:tcW w:w="0" w:type="dxa"/>
            <w:vAlign w:val="bottom"/>
          </w:tcPr>
          <w:p>
            <w:pPr>
              <w:spacing w:after="0"/>
              <w:rPr>
                <w:sz w:val="1"/>
                <w:szCs w:val="1"/>
                <w:color w:val="auto"/>
              </w:rPr>
            </w:pPr>
          </w:p>
        </w:tc>
      </w:tr>
      <w:tr>
        <w:trPr>
          <w:trHeight w:val="173"/>
        </w:trPr>
        <w:tc>
          <w:tcPr>
            <w:tcW w:w="5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8"/>
              </w:rPr>
              <w:t>CLASSIFICATION</w:t>
            </w:r>
          </w:p>
        </w:tc>
        <w:tc>
          <w:tcPr>
            <w:tcW w:w="0" w:type="dxa"/>
            <w:vAlign w:val="bottom"/>
          </w:tcPr>
          <w:p>
            <w:pPr>
              <w:spacing w:after="0"/>
              <w:rPr>
                <w:sz w:val="1"/>
                <w:szCs w:val="1"/>
                <w:color w:val="auto"/>
              </w:rPr>
            </w:pPr>
          </w:p>
        </w:tc>
      </w:tr>
      <w:tr>
        <w:trPr>
          <w:trHeight w:val="20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rate swaps - liability (1)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1,368</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3,056</w:t>
            </w:r>
          </w:p>
        </w:tc>
        <w:tc>
          <w:tcPr>
            <w:tcW w:w="10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Accrued and other current liabilities</w:t>
            </w:r>
          </w:p>
        </w:tc>
        <w:tc>
          <w:tcPr>
            <w:tcW w:w="0" w:type="dxa"/>
            <w:vAlign w:val="bottom"/>
          </w:tcPr>
          <w:p>
            <w:pPr>
              <w:spacing w:after="0"/>
              <w:rPr>
                <w:sz w:val="1"/>
                <w:szCs w:val="1"/>
                <w:color w:val="auto"/>
              </w:rPr>
            </w:pPr>
          </w:p>
        </w:tc>
      </w:tr>
      <w:tr>
        <w:trPr>
          <w:trHeight w:val="201"/>
        </w:trPr>
        <w:tc>
          <w:tcPr>
            <w:tcW w:w="5120" w:type="dxa"/>
            <w:vAlign w:val="bottom"/>
          </w:tcPr>
          <w:p>
            <w:pPr>
              <w:ind w:left="20"/>
              <w:spacing w:after="0"/>
              <w:rPr>
                <w:sz w:val="20"/>
                <w:szCs w:val="20"/>
                <w:color w:val="auto"/>
              </w:rPr>
            </w:pPr>
            <w:r>
              <w:rPr>
                <w:rFonts w:ascii="Arial" w:cs="Arial" w:eastAsia="Arial" w:hAnsi="Arial"/>
                <w:sz w:val="15"/>
                <w:szCs w:val="15"/>
                <w:color w:val="auto"/>
              </w:rPr>
              <w:t>Accrued 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275</w:t>
            </w:r>
          </w:p>
        </w:tc>
        <w:tc>
          <w:tcPr>
            <w:tcW w:w="100" w:type="dxa"/>
            <w:vAlign w:val="bottom"/>
          </w:tcPr>
          <w:p>
            <w:pPr>
              <w:spacing w:after="0"/>
              <w:rPr>
                <w:sz w:val="17"/>
                <w:szCs w:val="17"/>
                <w:color w:val="auto"/>
              </w:rPr>
            </w:pPr>
          </w:p>
        </w:tc>
        <w:tc>
          <w:tcPr>
            <w:tcW w:w="560" w:type="dxa"/>
            <w:vAlign w:val="bottom"/>
          </w:tcPr>
          <w:p>
            <w:pPr>
              <w:jc w:val="right"/>
              <w:ind w:right="40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276</w:t>
            </w: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auto"/>
              </w:rPr>
              <w:t>Accrued and other current liabilities</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See Note 12 -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for fair value discussion of the interest rate swaps.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90"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effects of the swap agreements on Net income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MARCH 28, 2021</w:t>
            </w:r>
          </w:p>
        </w:tc>
      </w:tr>
      <w:tr>
        <w:trPr>
          <w:trHeight w:val="206"/>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rate swap expense recognized in Interest expense,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center"/>
              <w:ind w:left="846"/>
              <w:spacing w:after="0"/>
              <w:rPr>
                <w:sz w:val="20"/>
                <w:szCs w:val="20"/>
                <w:color w:val="auto"/>
              </w:rPr>
            </w:pPr>
            <w:r>
              <w:rPr>
                <w:rFonts w:ascii="Arial" w:cs="Arial" w:eastAsia="Arial" w:hAnsi="Arial"/>
                <w:sz w:val="15"/>
                <w:szCs w:val="15"/>
                <w:color w:val="auto"/>
                <w:w w:val="96"/>
              </w:rPr>
              <w:t>(917)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center"/>
              <w:ind w:left="725"/>
              <w:spacing w:after="0"/>
              <w:rPr>
                <w:sz w:val="20"/>
                <w:szCs w:val="20"/>
                <w:color w:val="auto"/>
              </w:rPr>
            </w:pPr>
            <w:r>
              <w:rPr>
                <w:rFonts w:ascii="Arial" w:cs="Arial" w:eastAsia="Arial" w:hAnsi="Arial"/>
                <w:sz w:val="15"/>
                <w:szCs w:val="15"/>
                <w:color w:val="auto"/>
                <w:w w:val="96"/>
              </w:rPr>
              <w:t>(4,044)</w:t>
            </w:r>
          </w:p>
        </w:tc>
      </w:tr>
      <w:tr>
        <w:trPr>
          <w:trHeight w:val="21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benefit recognized in Provision for income taxes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866"/>
              <w:spacing w:after="0"/>
              <w:rPr>
                <w:sz w:val="20"/>
                <w:szCs w:val="20"/>
                <w:color w:val="auto"/>
              </w:rPr>
            </w:pPr>
            <w:r>
              <w:rPr>
                <w:rFonts w:ascii="Arial" w:cs="Arial" w:eastAsia="Arial" w:hAnsi="Arial"/>
                <w:sz w:val="15"/>
                <w:szCs w:val="15"/>
                <w:color w:val="auto"/>
                <w:w w:val="95"/>
              </w:rPr>
              <w:t>236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765"/>
              <w:spacing w:after="0"/>
              <w:rPr>
                <w:sz w:val="20"/>
                <w:szCs w:val="20"/>
                <w:color w:val="auto"/>
              </w:rPr>
            </w:pPr>
            <w:r>
              <w:rPr>
                <w:rFonts w:ascii="Arial" w:cs="Arial" w:eastAsia="Arial" w:hAnsi="Arial"/>
                <w:sz w:val="15"/>
                <w:szCs w:val="15"/>
                <w:color w:val="auto"/>
                <w:w w:val="90"/>
              </w:rPr>
              <w:t>1,041</w:t>
            </w:r>
          </w:p>
        </w:tc>
      </w:tr>
      <w:tr>
        <w:trPr>
          <w:trHeight w:val="231"/>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effects on Net income (1)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center"/>
              <w:ind w:left="846"/>
              <w:spacing w:after="0"/>
              <w:rPr>
                <w:sz w:val="20"/>
                <w:szCs w:val="20"/>
                <w:color w:val="auto"/>
              </w:rPr>
            </w:pPr>
            <w:r>
              <w:rPr>
                <w:rFonts w:ascii="Arial" w:cs="Arial" w:eastAsia="Arial" w:hAnsi="Arial"/>
                <w:sz w:val="15"/>
                <w:szCs w:val="15"/>
                <w:color w:val="auto"/>
                <w:w w:val="96"/>
              </w:rPr>
              <w:t>(681)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center"/>
              <w:ind w:left="725"/>
              <w:spacing w:after="0"/>
              <w:rPr>
                <w:sz w:val="20"/>
                <w:szCs w:val="20"/>
                <w:color w:val="auto"/>
              </w:rPr>
            </w:pPr>
            <w:r>
              <w:rPr>
                <w:rFonts w:ascii="Arial" w:cs="Arial" w:eastAsia="Arial" w:hAnsi="Arial"/>
                <w:sz w:val="15"/>
                <w:szCs w:val="15"/>
                <w:color w:val="auto"/>
                <w:w w:val="96"/>
              </w:rPr>
              <w:t>(3,003)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Excludes the effects on Net income of terminated interest rate swaps.</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March 27, 2022, all counterparties to the interest rate swaps had performed in accordance with their contractual obligations.</w:t>
      </w:r>
    </w:p>
    <w:p>
      <w:pPr>
        <w:spacing w:after="0" w:line="206"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In connection with the Amended Credit Agreement, on April 26, 2022 the Company terminated its remaining variable-to-fixed interest rate swap agreements. Following these terminations, the unrealized losses related to the terminated swap agreements included in Accumulated other comprehensive loss will be amortized to Interest expense, net during 2022.</w:t>
      </w:r>
    </w:p>
    <w:p>
      <w:pPr>
        <w:spacing w:after="0" w:line="20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6"/>
          <w:szCs w:val="16"/>
          <w:color w:val="auto"/>
        </w:rPr>
        <w:t>Leases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following table includes a detail of lease assets and liabilities included on the Company’s Consolidated Balance Sheets as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CONSOLIDATED BALANCE SHEET CLASSIFICATION</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MARCH 27, 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 right-of-use assets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1,124,517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1,130,873</w:t>
            </w:r>
          </w:p>
        </w:tc>
      </w:tr>
      <w:tr>
        <w:trPr>
          <w:trHeight w:val="212"/>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Finance lease right-of-use assets (1)</w:t>
            </w:r>
          </w:p>
        </w:tc>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Property, fixtures and equipment, net</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2,074</w:t>
            </w:r>
          </w:p>
        </w:tc>
      </w:tr>
      <w:tr>
        <w:trPr>
          <w:trHeight w:val="228"/>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lease assets, net</w:t>
            </w:r>
          </w:p>
        </w:tc>
        <w:tc>
          <w:tcPr>
            <w:tcW w:w="3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1,127,572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1,132,947</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6"/>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operating lease liabilities (2)</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and other current liabilities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177,633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177,028</w:t>
            </w:r>
          </w:p>
        </w:tc>
      </w:tr>
      <w:tr>
        <w:trPr>
          <w:trHeight w:val="203"/>
        </w:trPr>
        <w:tc>
          <w:tcPr>
            <w:tcW w:w="3480" w:type="dxa"/>
            <w:vAlign w:val="bottom"/>
          </w:tcPr>
          <w:p>
            <w:pPr>
              <w:ind w:left="20"/>
              <w:spacing w:after="0"/>
              <w:rPr>
                <w:sz w:val="20"/>
                <w:szCs w:val="20"/>
                <w:color w:val="auto"/>
              </w:rPr>
            </w:pPr>
            <w:r>
              <w:rPr>
                <w:rFonts w:ascii="Arial" w:cs="Arial" w:eastAsia="Arial" w:hAnsi="Arial"/>
                <w:sz w:val="15"/>
                <w:szCs w:val="15"/>
                <w:color w:val="auto"/>
              </w:rPr>
              <w:t>Current finance lease liabilities</w:t>
            </w:r>
          </w:p>
        </w:tc>
        <w:tc>
          <w:tcPr>
            <w:tcW w:w="3720" w:type="dxa"/>
            <w:vAlign w:val="bottom"/>
            <w:gridSpan w:val="2"/>
          </w:tcPr>
          <w:p>
            <w:pPr>
              <w:spacing w:after="0"/>
              <w:rPr>
                <w:sz w:val="20"/>
                <w:szCs w:val="20"/>
                <w:color w:val="auto"/>
              </w:rPr>
            </w:pPr>
            <w:r>
              <w:rPr>
                <w:rFonts w:ascii="Arial" w:cs="Arial" w:eastAsia="Arial" w:hAnsi="Arial"/>
                <w:sz w:val="15"/>
                <w:szCs w:val="15"/>
                <w:color w:val="auto"/>
              </w:rPr>
              <w:t>Current portion of long-term debt</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1,220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958</w:t>
            </w: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operating lease liabilities (2)</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Non-current operating lease liabilities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1,172,564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1,178,998</w:t>
            </w:r>
          </w:p>
        </w:tc>
      </w:tr>
      <w:tr>
        <w:trPr>
          <w:trHeight w:val="212"/>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Non-current finance lease liabilities</w:t>
            </w:r>
          </w:p>
        </w:tc>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Long-term debt, net</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1,264</w:t>
            </w:r>
          </w:p>
        </w:tc>
      </w:tr>
      <w:tr>
        <w:trPr>
          <w:trHeight w:val="228"/>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lease liabilities</w:t>
            </w:r>
          </w:p>
        </w:tc>
        <w:tc>
          <w:tcPr>
            <w:tcW w:w="3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1,353,375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1,358,248</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Net of accumulated amortization of $3.7 million and $3.3 million as of March 27, 2022 and December 26, 2021, respectively.</w:t>
      </w:r>
    </w:p>
    <w:p>
      <w:pPr>
        <w:spacing w:after="0" w:line="8" w:lineRule="exact"/>
        <w:rPr>
          <w:rFonts w:ascii="Arial" w:cs="Arial" w:eastAsia="Arial" w:hAnsi="Arial"/>
          <w:sz w:val="15"/>
          <w:szCs w:val="15"/>
          <w:color w:val="auto"/>
        </w:rPr>
      </w:pPr>
    </w:p>
    <w:p>
      <w:pPr>
        <w:ind w:left="620" w:hanging="617"/>
        <w:spacing w:after="0" w:line="266" w:lineRule="auto"/>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Excludes current accrued contingent percentage rent of $4.0 million and $3.5 million, as of March 27, 2022 and December 26, 2021, respectively, and immaterial current and non-current COVID-19-related deferred rent accruals.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expenses and income related to leases recognized in the Company’s Consolidated Statements of Operations and</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Comprehensive Income for the periods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60" w:type="dxa"/>
            <w:vAlign w:val="bottom"/>
          </w:tcPr>
          <w:p>
            <w:pPr>
              <w:spacing w:after="0"/>
              <w:rPr>
                <w:sz w:val="17"/>
                <w:szCs w:val="17"/>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CONSOLIDATED STATEMENTS OF OPERATIONS AND COMPREHENSIVE</w:t>
            </w: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46"/>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 CLASSIFICATION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w w:val="97"/>
              </w:rPr>
              <w:t>MARCH 27, 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w w:val="97"/>
              </w:rPr>
              <w:t>MARCH 28, 2021</w:t>
            </w:r>
          </w:p>
        </w:tc>
      </w:tr>
      <w:tr>
        <w:trPr>
          <w:trHeight w:val="206"/>
        </w:trPr>
        <w:tc>
          <w:tcPr>
            <w:tcW w:w="2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leases (1)</w:t>
            </w: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44,792</w:t>
            </w:r>
          </w:p>
        </w:tc>
      </w:tr>
      <w:tr>
        <w:trPr>
          <w:trHeight w:val="203"/>
        </w:trPr>
        <w:tc>
          <w:tcPr>
            <w:tcW w:w="2760" w:type="dxa"/>
            <w:vAlign w:val="bottom"/>
          </w:tcPr>
          <w:p>
            <w:pPr>
              <w:ind w:left="20"/>
              <w:spacing w:after="0"/>
              <w:rPr>
                <w:sz w:val="20"/>
                <w:szCs w:val="20"/>
                <w:color w:val="auto"/>
              </w:rPr>
            </w:pPr>
            <w:r>
              <w:rPr>
                <w:rFonts w:ascii="Arial" w:cs="Arial" w:eastAsia="Arial" w:hAnsi="Arial"/>
                <w:sz w:val="15"/>
                <w:szCs w:val="15"/>
                <w:color w:val="auto"/>
              </w:rPr>
              <w:t>Variable lease cost (2)</w:t>
            </w:r>
          </w:p>
        </w:tc>
        <w:tc>
          <w:tcPr>
            <w:tcW w:w="5460" w:type="dxa"/>
            <w:vAlign w:val="bottom"/>
            <w:gridSpan w:val="2"/>
          </w:tcPr>
          <w:p>
            <w:pPr>
              <w:ind w:left="20"/>
              <w:spacing w:after="0"/>
              <w:rPr>
                <w:sz w:val="20"/>
                <w:szCs w:val="20"/>
                <w:color w:val="auto"/>
              </w:rPr>
            </w:pPr>
            <w:r>
              <w:rPr>
                <w:rFonts w:ascii="Arial" w:cs="Arial" w:eastAsia="Arial" w:hAnsi="Arial"/>
                <w:sz w:val="15"/>
                <w:szCs w:val="15"/>
                <w:color w:val="auto"/>
              </w:rPr>
              <w:t>Other restaurant operating</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777</w:t>
            </w:r>
          </w:p>
        </w:tc>
      </w:tr>
      <w:tr>
        <w:trPr>
          <w:trHeight w:val="209"/>
        </w:trPr>
        <w:tc>
          <w:tcPr>
            <w:tcW w:w="2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leases:</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bl>
    <w:p>
      <w:pPr>
        <w:spacing w:after="0" w:line="5" w:lineRule="exact"/>
        <w:rPr>
          <w:sz w:val="20"/>
          <w:szCs w:val="20"/>
          <w:color w:val="auto"/>
        </w:rPr>
      </w:pPr>
    </w:p>
    <w:p>
      <w:pPr>
        <w:sectPr>
          <w:pgSz w:w="11900" w:h="16838" w:orient="portrait"/>
          <w:cols w:equalWidth="0" w:num="1">
            <w:col w:w="11240"/>
          </w:cols>
          <w:pgMar w:left="320" w:top="122" w:right="339" w:bottom="1440" w:gutter="0" w:footer="0" w:header="0"/>
        </w:sectPr>
      </w:pPr>
    </w:p>
    <w:p>
      <w:pPr>
        <w:ind w:left="140"/>
        <w:spacing w:after="0"/>
        <w:tabs>
          <w:tab w:leader="none" w:pos="2760" w:val="left"/>
        </w:tabs>
        <w:rPr>
          <w:sz w:val="20"/>
          <w:szCs w:val="20"/>
          <w:color w:val="auto"/>
        </w:rPr>
      </w:pPr>
      <w:r>
        <w:rPr>
          <w:rFonts w:ascii="Arial" w:cs="Arial" w:eastAsia="Arial" w:hAnsi="Arial"/>
          <w:sz w:val="15"/>
          <w:szCs w:val="15"/>
          <w:color w:val="auto"/>
        </w:rPr>
        <w:t>Amortization of leased assets</w:t>
      </w:r>
      <w:r>
        <w:rPr>
          <w:sz w:val="20"/>
          <w:szCs w:val="20"/>
          <w:color w:val="auto"/>
        </w:rPr>
        <w:tab/>
      </w: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130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ind w:left="140"/>
        <w:spacing w:after="0"/>
        <w:tabs>
          <w:tab w:leader="none" w:pos="2760" w:val="left"/>
        </w:tabs>
        <w:rPr>
          <w:sz w:val="20"/>
          <w:szCs w:val="20"/>
          <w:color w:val="auto"/>
        </w:rPr>
      </w:pPr>
      <w:r>
        <w:rPr>
          <w:rFonts w:ascii="Arial" w:cs="Arial" w:eastAsia="Arial" w:hAnsi="Arial"/>
          <w:sz w:val="15"/>
          <w:szCs w:val="15"/>
          <w:color w:val="auto"/>
        </w:rPr>
        <w:t>Interest on lease liabilities</w:t>
      </w:r>
      <w:r>
        <w:rPr>
          <w:sz w:val="20"/>
          <w:szCs w:val="20"/>
          <w:color w:val="auto"/>
        </w:rPr>
        <w:tab/>
      </w:r>
      <w:r>
        <w:rPr>
          <w:rFonts w:ascii="Arial" w:cs="Arial" w:eastAsia="Arial" w:hAnsi="Arial"/>
          <w:sz w:val="13"/>
          <w:szCs w:val="13"/>
          <w:color w:val="auto"/>
        </w:rPr>
        <w:t>Interest expense, net</w:t>
      </w:r>
    </w:p>
    <w:p>
      <w:pPr>
        <w:spacing w:after="0" w:line="47" w:lineRule="exact"/>
        <w:rPr>
          <w:sz w:val="20"/>
          <w:szCs w:val="20"/>
          <w:color w:val="auto"/>
        </w:rPr>
      </w:pPr>
    </w:p>
    <w:p>
      <w:pPr>
        <w:ind w:left="20"/>
        <w:spacing w:after="0"/>
        <w:tabs>
          <w:tab w:leader="none" w:pos="2760" w:val="left"/>
        </w:tabs>
        <w:rPr>
          <w:sz w:val="20"/>
          <w:szCs w:val="20"/>
          <w:color w:val="auto"/>
        </w:rPr>
      </w:pPr>
      <w:r>
        <w:rPr>
          <w:rFonts w:ascii="Arial" w:cs="Arial" w:eastAsia="Arial" w:hAnsi="Arial"/>
          <w:sz w:val="15"/>
          <w:szCs w:val="15"/>
          <w:color w:val="auto"/>
        </w:rPr>
        <w:t>Sublease revenue</w:t>
      </w:r>
      <w:r>
        <w:rPr>
          <w:sz w:val="20"/>
          <w:szCs w:val="20"/>
          <w:color w:val="auto"/>
        </w:rPr>
        <w:tab/>
      </w:r>
      <w:r>
        <w:rPr>
          <w:rFonts w:ascii="Arial" w:cs="Arial" w:eastAsia="Arial" w:hAnsi="Arial"/>
          <w:sz w:val="13"/>
          <w:szCs w:val="13"/>
          <w:color w:val="auto"/>
        </w:rPr>
        <w:t>Franchise and other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163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Lease costs, net</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r>
        <w:rPr>
          <w:sz w:val="20"/>
          <w:szCs w:val="20"/>
          <w:color w:val="auto"/>
        </w:rPr>
        <w:br w:type="column"/>
      </w:r>
    </w:p>
    <w:p>
      <w:pPr>
        <w:ind w:left="1140"/>
        <w:spacing w:after="0"/>
        <w:tabs>
          <w:tab w:leader="none" w:pos="2680" w:val="left"/>
        </w:tabs>
        <w:rPr>
          <w:sz w:val="20"/>
          <w:szCs w:val="20"/>
          <w:color w:val="auto"/>
        </w:rPr>
      </w:pPr>
      <w:r>
        <w:rPr>
          <w:rFonts w:ascii="Arial" w:cs="Arial" w:eastAsia="Arial" w:hAnsi="Arial"/>
          <w:sz w:val="15"/>
          <w:szCs w:val="15"/>
          <w:color w:val="auto"/>
        </w:rPr>
        <w:t>337</w:t>
      </w:r>
      <w:r>
        <w:rPr>
          <w:sz w:val="20"/>
          <w:szCs w:val="20"/>
          <w:color w:val="auto"/>
        </w:rPr>
        <w:tab/>
      </w:r>
      <w:r>
        <w:rPr>
          <w:rFonts w:ascii="Arial" w:cs="Arial" w:eastAsia="Arial" w:hAnsi="Arial"/>
          <w:sz w:val="15"/>
          <w:szCs w:val="15"/>
          <w:color w:val="auto"/>
        </w:rPr>
        <w:t>262</w:t>
      </w:r>
    </w:p>
    <w:p>
      <w:pPr>
        <w:spacing w:after="0" w:line="34" w:lineRule="exact"/>
        <w:rPr>
          <w:sz w:val="20"/>
          <w:szCs w:val="20"/>
          <w:color w:val="auto"/>
        </w:rPr>
      </w:pPr>
    </w:p>
    <w:p>
      <w:pPr>
        <w:ind w:left="1220"/>
        <w:spacing w:after="0"/>
        <w:tabs>
          <w:tab w:leader="none" w:pos="276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5"/>
          <w:szCs w:val="15"/>
          <w:color w:val="auto"/>
        </w:rPr>
        <w:t>36</w:t>
      </w:r>
    </w:p>
    <w:p>
      <w:pPr>
        <w:spacing w:after="0" w:line="34" w:lineRule="exact"/>
        <w:rPr>
          <w:sz w:val="20"/>
          <w:szCs w:val="20"/>
          <w:color w:val="auto"/>
        </w:rPr>
      </w:pPr>
    </w:p>
    <w:p>
      <w:pPr>
        <w:jc w:val="both"/>
        <w:ind w:left="960"/>
        <w:spacing w:after="0"/>
        <w:tabs>
          <w:tab w:leader="none" w:pos="2620" w:val="left"/>
        </w:tabs>
        <w:rPr>
          <w:sz w:val="20"/>
          <w:szCs w:val="20"/>
          <w:color w:val="auto"/>
        </w:rPr>
      </w:pPr>
      <w:r>
        <w:rPr>
          <w:rFonts w:ascii="Arial" w:cs="Arial" w:eastAsia="Arial" w:hAnsi="Arial"/>
          <w:sz w:val="15"/>
          <w:szCs w:val="15"/>
          <w:color w:val="auto"/>
        </w:rPr>
        <w:t>(2,558)</w:t>
      </w:r>
      <w:r>
        <w:rPr>
          <w:sz w:val="20"/>
          <w:szCs w:val="20"/>
          <w:color w:val="auto"/>
        </w:rPr>
        <w:tab/>
      </w:r>
      <w:r>
        <w:rPr>
          <w:rFonts w:ascii="Arial" w:cs="Arial" w:eastAsia="Arial" w:hAnsi="Arial"/>
          <w:sz w:val="15"/>
          <w:szCs w:val="15"/>
          <w:color w:val="auto"/>
        </w:rPr>
        <w:t>(835)</w:t>
      </w:r>
    </w:p>
    <w:p>
      <w:pPr>
        <w:spacing w:after="0" w:line="60" w:lineRule="exact"/>
        <w:rPr>
          <w:sz w:val="20"/>
          <w:szCs w:val="20"/>
          <w:color w:val="auto"/>
        </w:rPr>
      </w:pPr>
    </w:p>
    <w:p>
      <w:pPr>
        <w:spacing w:after="0"/>
        <w:tabs>
          <w:tab w:leader="none" w:pos="940" w:val="left"/>
          <w:tab w:leader="none" w:pos="1540" w:val="left"/>
          <w:tab w:leader="none" w:pos="25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45,055</w:t>
        <w:tab/>
        <w:t>$</w:t>
      </w:r>
      <w:r>
        <w:rPr>
          <w:sz w:val="20"/>
          <w:szCs w:val="20"/>
          <w:color w:val="auto"/>
        </w:rPr>
        <w:tab/>
      </w:r>
      <w:r>
        <w:rPr>
          <w:rFonts w:ascii="Arial" w:cs="Arial" w:eastAsia="Arial" w:hAnsi="Arial"/>
          <w:sz w:val="13"/>
          <w:szCs w:val="13"/>
          <w:color w:val="auto"/>
        </w:rPr>
        <w:t>45,032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19157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15795" cy="8255"/>
                    </a:xfrm>
                    <a:prstGeom prst="rect">
                      <a:avLst/>
                    </a:prstGeom>
                    <a:noFill/>
                  </pic:spPr>
                </pic:pic>
              </a:graphicData>
            </a:graphic>
          </wp:anchor>
        </w:drawing>
      </w:r>
    </w:p>
    <w:p>
      <w:pPr>
        <w:spacing w:after="0" w:line="342" w:lineRule="exact"/>
        <w:rPr>
          <w:sz w:val="20"/>
          <w:szCs w:val="20"/>
          <w:color w:val="auto"/>
        </w:rPr>
      </w:pPr>
    </w:p>
    <w:p>
      <w:pPr>
        <w:sectPr>
          <w:pgSz w:w="11900" w:h="16838" w:orient="portrait"/>
          <w:cols w:equalWidth="0" w:num="2">
            <w:col w:w="7520" w:space="720"/>
            <w:col w:w="3000"/>
          </w:cols>
          <w:pgMar w:left="320" w:top="122" w:right="339" w:bottom="1440" w:gutter="0" w:footer="0" w:header="0"/>
          <w:type w:val="continuous"/>
        </w:sectPr>
      </w:pPr>
    </w:p>
    <w:p>
      <w:pPr>
        <w:ind w:left="620" w:hanging="617"/>
        <w:spacing w:after="0" w:line="251" w:lineRule="auto"/>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Excludes rent expense for office facilities and Company-owned closed or subleased properties of $3.0 million and $3.5 million for the thirteen weeks ended March 27, 2022 and March 28, 2021, respectively, which is included in General and administrative expense.</w:t>
      </w:r>
    </w:p>
    <w:p>
      <w:pPr>
        <w:ind w:left="620" w:hanging="617"/>
        <w:spacing w:after="0"/>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Includes COVID-19-related rent abatements for the thirteen weeks ended March 28, 2021.</w:t>
      </w:r>
    </w:p>
    <w:p>
      <w:pPr>
        <w:spacing w:after="0" w:line="21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is a summary of cash flow impacts to the Company’s Consolidated Financial Statements related to its leases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47"/>
              <w:spacing w:after="0"/>
              <w:rPr>
                <w:sz w:val="20"/>
                <w:szCs w:val="20"/>
                <w:color w:val="auto"/>
              </w:rPr>
            </w:pPr>
            <w:r>
              <w:rPr>
                <w:rFonts w:ascii="Arial" w:cs="Arial" w:eastAsia="Arial" w:hAnsi="Arial"/>
                <w:sz w:val="14"/>
                <w:szCs w:val="14"/>
                <w:b w:val="1"/>
                <w:bCs w:val="1"/>
                <w:color w:val="auto"/>
              </w:rPr>
              <w:t>THIRTEEN WEEKS ENDED</w:t>
            </w:r>
          </w:p>
        </w:tc>
      </w:tr>
      <w:tr>
        <w:trPr>
          <w:trHeight w:val="173"/>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5"/>
                <w:szCs w:val="15"/>
                <w:color w:val="auto"/>
              </w:rPr>
            </w:pPr>
          </w:p>
        </w:tc>
        <w:tc>
          <w:tcPr>
            <w:tcW w:w="1300" w:type="dxa"/>
            <w:vAlign w:val="bottom"/>
          </w:tcPr>
          <w:p>
            <w:pPr>
              <w:jc w:val="right"/>
              <w:ind w:right="127"/>
              <w:spacing w:after="0"/>
              <w:rPr>
                <w:sz w:val="20"/>
                <w:szCs w:val="20"/>
                <w:color w:val="auto"/>
              </w:rPr>
            </w:pPr>
            <w:r>
              <w:rPr>
                <w:rFonts w:ascii="Arial" w:cs="Arial" w:eastAsia="Arial" w:hAnsi="Arial"/>
                <w:sz w:val="14"/>
                <w:szCs w:val="14"/>
                <w:b w:val="1"/>
                <w:bCs w:val="1"/>
                <w:color w:val="auto"/>
                <w:w w:val="97"/>
              </w:rPr>
              <w:t>MARCH 28, 2021</w:t>
            </w:r>
          </w:p>
        </w:tc>
      </w:tr>
      <w:tr>
        <w:trPr>
          <w:trHeight w:val="19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01"/>
        </w:trPr>
        <w:tc>
          <w:tcPr>
            <w:tcW w:w="8220" w:type="dxa"/>
            <w:vAlign w:val="bottom"/>
          </w:tcPr>
          <w:p>
            <w:pPr>
              <w:ind w:left="140"/>
              <w:spacing w:after="0"/>
              <w:rPr>
                <w:sz w:val="20"/>
                <w:szCs w:val="20"/>
                <w:color w:val="auto"/>
              </w:rPr>
            </w:pPr>
            <w:r>
              <w:rPr>
                <w:rFonts w:ascii="Arial" w:cs="Arial" w:eastAsia="Arial" w:hAnsi="Arial"/>
                <w:sz w:val="15"/>
                <w:szCs w:val="15"/>
                <w:color w:val="auto"/>
              </w:rPr>
              <w:t>Cash paid for amounts included in the measurement of operating lease liabilities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48,560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52,717</w:t>
            </w:r>
          </w:p>
        </w:tc>
      </w:tr>
    </w:tbl>
    <w:p>
      <w:pPr>
        <w:spacing w:after="0" w:line="31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6"/>
          <w:szCs w:val="16"/>
          <w:color w:val="auto"/>
        </w:rPr>
        <w:t>Fair Value Measurements</w:t>
      </w: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1</w:t>
            </w:r>
          </w:p>
        </w:tc>
        <w:tc>
          <w:tcPr>
            <w:tcW w:w="10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Unadjusted quoted market prices in active markets for identical assets or liabilities</w:t>
            </w:r>
          </w:p>
        </w:tc>
      </w:tr>
      <w:tr>
        <w:trPr>
          <w:trHeight w:val="203"/>
        </w:trPr>
        <w:tc>
          <w:tcPr>
            <w:tcW w:w="800" w:type="dxa"/>
            <w:vAlign w:val="bottom"/>
          </w:tcPr>
          <w:p>
            <w:pPr>
              <w:ind w:left="20"/>
              <w:spacing w:after="0"/>
              <w:rPr>
                <w:sz w:val="20"/>
                <w:szCs w:val="20"/>
                <w:color w:val="auto"/>
              </w:rPr>
            </w:pPr>
            <w:r>
              <w:rPr>
                <w:rFonts w:ascii="Arial" w:cs="Arial" w:eastAsia="Arial" w:hAnsi="Arial"/>
                <w:sz w:val="15"/>
                <w:szCs w:val="15"/>
                <w:color w:val="auto"/>
              </w:rPr>
              <w:t>Level 2</w:t>
            </w:r>
          </w:p>
        </w:tc>
        <w:tc>
          <w:tcPr>
            <w:tcW w:w="10420" w:type="dxa"/>
            <w:vAlign w:val="bottom"/>
          </w:tcPr>
          <w:p>
            <w:pPr>
              <w:ind w:left="320"/>
              <w:spacing w:after="0"/>
              <w:rPr>
                <w:sz w:val="20"/>
                <w:szCs w:val="20"/>
                <w:color w:val="auto"/>
              </w:rPr>
            </w:pPr>
            <w:r>
              <w:rPr>
                <w:rFonts w:ascii="Arial" w:cs="Arial" w:eastAsia="Arial" w:hAnsi="Arial"/>
                <w:sz w:val="15"/>
                <w:szCs w:val="15"/>
                <w:color w:val="auto"/>
              </w:rPr>
              <w:t>Observable inputs available at measurement date other than quoted prices included in Level 1</w:t>
            </w:r>
          </w:p>
        </w:tc>
      </w:tr>
      <w:tr>
        <w:trPr>
          <w:trHeight w:val="209"/>
        </w:trPr>
        <w:tc>
          <w:tcPr>
            <w:tcW w:w="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3</w:t>
            </w:r>
          </w:p>
        </w:tc>
        <w:tc>
          <w:tcPr>
            <w:tcW w:w="10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Unobservable inputs that cannot be corroborated by observable market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i w:val="1"/>
          <w:iCs w:val="1"/>
          <w:color w:val="auto"/>
        </w:rPr>
        <w:t xml:space="preserve">Fair Value Measurements on a Recurring Basis - </w:t>
      </w:r>
      <w:r>
        <w:rPr>
          <w:rFonts w:ascii="Arial" w:cs="Arial" w:eastAsia="Arial" w:hAnsi="Arial"/>
          <w:sz w:val="19"/>
          <w:szCs w:val="19"/>
          <w:color w:val="auto"/>
        </w:rPr>
        <w:t>The following table summarizes the Company’s financial assets and liabilities measured at fair</w:t>
      </w:r>
      <w:r>
        <w:rPr>
          <w:rFonts w:ascii="Arial" w:cs="Arial" w:eastAsia="Arial" w:hAnsi="Arial"/>
          <w:sz w:val="19"/>
          <w:szCs w:val="19"/>
          <w:i w:val="1"/>
          <w:iCs w:val="1"/>
          <w:color w:val="auto"/>
        </w:rPr>
        <w:t xml:space="preserve"> </w:t>
      </w:r>
      <w:r>
        <w:rPr>
          <w:rFonts w:ascii="Arial" w:cs="Arial" w:eastAsia="Arial" w:hAnsi="Arial"/>
          <w:sz w:val="19"/>
          <w:szCs w:val="19"/>
          <w:color w:val="auto"/>
        </w:rPr>
        <w:t>value by hierarchy level on a recurring basis as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27, 2022</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DECEMBER 26, 2021</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86"/>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900" w:type="dxa"/>
            <w:vAlign w:val="bottom"/>
          </w:tcPr>
          <w:p>
            <w:pPr>
              <w:jc w:val="right"/>
              <w:ind w:right="184"/>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LEVEL 1</w:t>
            </w:r>
          </w:p>
        </w:tc>
        <w:tc>
          <w:tcPr>
            <w:tcW w:w="160" w:type="dxa"/>
            <w:vAlign w:val="bottom"/>
          </w:tcPr>
          <w:p>
            <w:pPr>
              <w:spacing w:after="0"/>
              <w:rPr>
                <w:sz w:val="16"/>
                <w:szCs w:val="16"/>
                <w:color w:val="auto"/>
              </w:rPr>
            </w:pPr>
          </w:p>
        </w:tc>
        <w:tc>
          <w:tcPr>
            <w:tcW w:w="920" w:type="dxa"/>
            <w:vAlign w:val="bottom"/>
          </w:tcPr>
          <w:p>
            <w:pPr>
              <w:jc w:val="right"/>
              <w:ind w:right="184"/>
              <w:spacing w:after="0"/>
              <w:rPr>
                <w:sz w:val="20"/>
                <w:szCs w:val="20"/>
                <w:color w:val="auto"/>
              </w:rPr>
            </w:pPr>
            <w:r>
              <w:rPr>
                <w:rFonts w:ascii="Arial" w:cs="Arial" w:eastAsia="Arial" w:hAnsi="Arial"/>
                <w:sz w:val="14"/>
                <w:szCs w:val="14"/>
                <w:b w:val="1"/>
                <w:bCs w:val="1"/>
                <w:color w:val="auto"/>
              </w:rPr>
              <w:t>LEVEL 2</w:t>
            </w:r>
          </w:p>
        </w:tc>
      </w:tr>
      <w:tr>
        <w:trPr>
          <w:trHeight w:val="19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03"/>
        </w:trPr>
        <w:tc>
          <w:tcPr>
            <w:tcW w:w="4160" w:type="dxa"/>
            <w:vAlign w:val="bottom"/>
          </w:tcPr>
          <w:p>
            <w:pPr>
              <w:ind w:left="140"/>
              <w:spacing w:after="0"/>
              <w:rPr>
                <w:sz w:val="20"/>
                <w:szCs w:val="20"/>
                <w:color w:val="auto"/>
              </w:rPr>
            </w:pPr>
            <w:r>
              <w:rPr>
                <w:rFonts w:ascii="Arial" w:cs="Arial" w:eastAsia="Arial" w:hAnsi="Arial"/>
                <w:sz w:val="15"/>
                <w:szCs w:val="15"/>
                <w:color w:val="auto"/>
              </w:rPr>
              <w:t>Cash equivalents: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41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Fixed income funds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6,714</w:t>
            </w:r>
          </w:p>
        </w:tc>
        <w:tc>
          <w:tcPr>
            <w:tcW w:w="30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4160" w:type="dxa"/>
            <w:vAlign w:val="bottom"/>
          </w:tcPr>
          <w:p>
            <w:pPr>
              <w:ind w:left="220"/>
              <w:spacing w:after="0"/>
              <w:rPr>
                <w:sz w:val="20"/>
                <w:szCs w:val="20"/>
                <w:color w:val="auto"/>
              </w:rPr>
            </w:pPr>
            <w:r>
              <w:rPr>
                <w:rFonts w:ascii="Arial" w:cs="Arial" w:eastAsia="Arial" w:hAnsi="Arial"/>
                <w:sz w:val="15"/>
                <w:szCs w:val="15"/>
                <w:color w:val="auto"/>
              </w:rPr>
              <w:t>Money market funds</w:t>
            </w:r>
          </w:p>
        </w:tc>
        <w:tc>
          <w:tcPr>
            <w:tcW w:w="20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9,828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9,828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9,039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9,039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Restricted cash equivalents: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9"/>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Money market funds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 recurring fair value measurements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17,225</w:t>
            </w:r>
          </w:p>
        </w:tc>
        <w:tc>
          <w:tcPr>
            <w:tcW w:w="30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6"/>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4160" w:type="dxa"/>
            <w:vAlign w:val="bottom"/>
          </w:tcPr>
          <w:p>
            <w:pPr>
              <w:ind w:left="140"/>
              <w:spacing w:after="0"/>
              <w:rPr>
                <w:sz w:val="20"/>
                <w:szCs w:val="20"/>
                <w:color w:val="auto"/>
              </w:rPr>
            </w:pPr>
            <w:r>
              <w:rPr>
                <w:rFonts w:ascii="Arial" w:cs="Arial" w:eastAsia="Arial" w:hAnsi="Arial"/>
                <w:sz w:val="15"/>
                <w:szCs w:val="15"/>
                <w:color w:val="auto"/>
              </w:rPr>
              <w:t>Accrued and other current liabilities: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Derivative instruments - interest rate swaps</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1,368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3,056</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3,056</w:t>
            </w:r>
          </w:p>
        </w:tc>
      </w:tr>
      <w:tr>
        <w:trPr>
          <w:trHeight w:val="206"/>
        </w:trPr>
        <w:tc>
          <w:tcPr>
            <w:tcW w:w="4160" w:type="dxa"/>
            <w:vAlign w:val="bottom"/>
          </w:tcPr>
          <w:p>
            <w:pPr>
              <w:ind w:left="20"/>
              <w:spacing w:after="0"/>
              <w:rPr>
                <w:sz w:val="20"/>
                <w:szCs w:val="20"/>
                <w:color w:val="auto"/>
              </w:rPr>
            </w:pPr>
            <w:r>
              <w:rPr>
                <w:rFonts w:ascii="Arial" w:cs="Arial" w:eastAsia="Arial" w:hAnsi="Arial"/>
                <w:sz w:val="15"/>
                <w:szCs w:val="15"/>
                <w:color w:val="auto"/>
              </w:rPr>
              <w:t>Total liability recurring fair value measurements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1,368</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1,368</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3,056</w:t>
            </w:r>
          </w:p>
        </w:tc>
        <w:tc>
          <w:tcPr>
            <w:tcW w:w="300" w:type="dxa"/>
            <w:vAlign w:val="bottom"/>
            <w:gridSpan w:val="3"/>
          </w:tcPr>
          <w:p>
            <w:pPr>
              <w:jc w:val="right"/>
              <w:ind w:right="3"/>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3,056</w:t>
            </w:r>
          </w:p>
        </w:tc>
      </w:tr>
      <w:tr>
        <w:trPr>
          <w:trHeight w:val="20"/>
        </w:trPr>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Fair value of each class of financial instrument is determined based on the following:</w:t>
      </w:r>
    </w:p>
    <w:p>
      <w:pPr>
        <w:spacing w:after="0" w:line="124" w:lineRule="exact"/>
        <w:rPr>
          <w:sz w:val="20"/>
          <w:szCs w:val="20"/>
          <w:color w:val="auto"/>
        </w:rPr>
      </w:pPr>
    </w:p>
    <w:p>
      <w:pPr>
        <w:ind w:left="20"/>
        <w:spacing w:after="0"/>
        <w:tabs>
          <w:tab w:leader="none" w:pos="2440" w:val="left"/>
        </w:tabs>
        <w:rPr>
          <w:sz w:val="20"/>
          <w:szCs w:val="20"/>
          <w:color w:val="auto"/>
        </w:rPr>
      </w:pPr>
      <w:r>
        <w:rPr>
          <w:rFonts w:ascii="Arial" w:cs="Arial" w:eastAsia="Arial" w:hAnsi="Arial"/>
          <w:sz w:val="14"/>
          <w:szCs w:val="14"/>
          <w:b w:val="1"/>
          <w:bCs w:val="1"/>
          <w:color w:val="auto"/>
        </w:rPr>
        <w:t>FINANCIAL INSTRUMENT</w:t>
      </w:r>
      <w:r>
        <w:rPr>
          <w:sz w:val="20"/>
          <w:szCs w:val="20"/>
          <w:color w:val="auto"/>
        </w:rPr>
        <w:tab/>
      </w:r>
      <w:r>
        <w:rPr>
          <w:rFonts w:ascii="Arial" w:cs="Arial" w:eastAsia="Arial" w:hAnsi="Arial"/>
          <w:sz w:val="13"/>
          <w:szCs w:val="13"/>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245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60" w:lineRule="exact"/>
        <w:rPr>
          <w:sz w:val="20"/>
          <w:szCs w:val="20"/>
          <w:color w:val="auto"/>
        </w:rPr>
      </w:pPr>
    </w:p>
    <w:p>
      <w:pPr>
        <w:ind w:left="20"/>
        <w:spacing w:after="0" w:line="247" w:lineRule="auto"/>
        <w:rPr>
          <w:sz w:val="20"/>
          <w:szCs w:val="20"/>
          <w:color w:val="auto"/>
        </w:rPr>
      </w:pPr>
      <w:r>
        <w:rPr>
          <w:rFonts w:ascii="Arial" w:cs="Arial" w:eastAsia="Arial" w:hAnsi="Arial"/>
          <w:sz w:val="15"/>
          <w:szCs w:val="15"/>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Carrying value approximates fair value because maturities are less than three months.</w:t>
      </w:r>
    </w:p>
    <w:p>
      <w:pPr>
        <w:spacing w:after="0" w:line="206" w:lineRule="exact"/>
        <w:rPr>
          <w:sz w:val="20"/>
          <w:szCs w:val="20"/>
          <w:color w:val="auto"/>
        </w:rPr>
      </w:pPr>
    </w:p>
    <w:p>
      <w:pPr>
        <w:sectPr>
          <w:pgSz w:w="11900" w:h="16838" w:orient="portrait"/>
          <w:cols w:equalWidth="0" w:num="2">
            <w:col w:w="1980" w:space="480"/>
            <w:col w:w="8780"/>
          </w:cols>
          <w:pgMar w:left="320" w:top="122" w:right="339" w:bottom="1440" w:gutter="0" w:footer="0" w:header="0"/>
          <w:type w:val="continuous"/>
        </w:sectPr>
      </w:pPr>
    </w:p>
    <w:p>
      <w:pPr>
        <w:ind w:left="20"/>
        <w:spacing w:after="0"/>
        <w:tabs>
          <w:tab w:leader="none" w:pos="2440" w:val="left"/>
        </w:tabs>
        <w:rPr>
          <w:sz w:val="20"/>
          <w:szCs w:val="20"/>
          <w:color w:val="auto"/>
        </w:rPr>
      </w:pPr>
      <w:r>
        <w:rPr>
          <w:rFonts w:ascii="Arial" w:cs="Arial" w:eastAsia="Arial" w:hAnsi="Arial"/>
          <w:sz w:val="15"/>
          <w:szCs w:val="15"/>
          <w:color w:val="auto"/>
        </w:rPr>
        <w:t>Derivative instruments</w:t>
      </w:r>
      <w:r>
        <w:rPr>
          <w:sz w:val="20"/>
          <w:szCs w:val="20"/>
          <w:color w:val="auto"/>
        </w:rPr>
        <w:tab/>
      </w:r>
      <w:r>
        <w:rPr>
          <w:rFonts w:ascii="Arial" w:cs="Arial" w:eastAsia="Arial" w:hAnsi="Arial"/>
          <w:sz w:val="14"/>
          <w:szCs w:val="14"/>
          <w:color w:val="auto"/>
        </w:rPr>
        <w:t>The Company’s derivative instruments include interest rate swaps. Fair value measurements are based on the contractual terms of the</w:t>
      </w:r>
    </w:p>
    <w:p>
      <w:pPr>
        <w:ind w:left="2460"/>
        <w:spacing w:after="0"/>
        <w:rPr>
          <w:sz w:val="20"/>
          <w:szCs w:val="20"/>
          <w:color w:val="auto"/>
        </w:rPr>
      </w:pPr>
      <w:r>
        <w:rPr>
          <w:rFonts w:ascii="Arial" w:cs="Arial" w:eastAsia="Arial" w:hAnsi="Arial"/>
          <w:sz w:val="13"/>
          <w:szCs w:val="13"/>
          <w:color w:val="auto"/>
        </w:rPr>
        <w:t>derivatives and use observable market-based inputs. The interest rate swaps are valued using a discounted cash flow analysis on the expected</w:t>
      </w:r>
    </w:p>
    <w:p>
      <w:pPr>
        <w:ind w:left="2460"/>
        <w:spacing w:after="0" w:line="238" w:lineRule="auto"/>
        <w:rPr>
          <w:sz w:val="20"/>
          <w:szCs w:val="20"/>
          <w:color w:val="auto"/>
        </w:rPr>
      </w:pPr>
      <w:r>
        <w:rPr>
          <w:rFonts w:ascii="Arial" w:cs="Arial" w:eastAsia="Arial" w:hAnsi="Arial"/>
          <w:sz w:val="14"/>
          <w:szCs w:val="14"/>
          <w:color w:val="auto"/>
        </w:rPr>
        <w:t>cash flows of each derivative using observable inputs including interest rate curves and credit spreads. The Company also considers its own</w:t>
      </w:r>
    </w:p>
    <w:p>
      <w:pPr>
        <w:ind w:left="2460"/>
        <w:spacing w:after="0" w:line="231" w:lineRule="auto"/>
        <w:rPr>
          <w:sz w:val="20"/>
          <w:szCs w:val="20"/>
          <w:color w:val="auto"/>
        </w:rPr>
      </w:pPr>
      <w:r>
        <w:rPr>
          <w:rFonts w:ascii="Arial" w:cs="Arial" w:eastAsia="Arial" w:hAnsi="Arial"/>
          <w:sz w:val="14"/>
          <w:szCs w:val="14"/>
          <w:color w:val="auto"/>
        </w:rPr>
        <w:t>nonperformance risk and the respective counterparty’s nonperformance risk in the fair value measurements. As of March 27, 2022 and</w:t>
      </w:r>
    </w:p>
    <w:p>
      <w:pPr>
        <w:ind w:left="2460"/>
        <w:spacing w:after="0" w:line="230" w:lineRule="auto"/>
        <w:rPr>
          <w:sz w:val="20"/>
          <w:szCs w:val="20"/>
          <w:color w:val="auto"/>
        </w:rPr>
      </w:pPr>
      <w:r>
        <w:rPr>
          <w:rFonts w:ascii="Arial" w:cs="Arial" w:eastAsia="Arial" w:hAnsi="Arial"/>
          <w:sz w:val="14"/>
          <w:szCs w:val="14"/>
          <w:color w:val="auto"/>
        </w:rPr>
        <w:t>December 26, 2021, the Company has determined that the credit valuation adjustments are not significant to the overall valuation of its</w:t>
      </w:r>
    </w:p>
    <w:p>
      <w:pPr>
        <w:ind w:left="2460"/>
        <w:spacing w:after="0"/>
        <w:rPr>
          <w:sz w:val="20"/>
          <w:szCs w:val="20"/>
          <w:color w:val="auto"/>
        </w:rPr>
      </w:pPr>
      <w:r>
        <w:rPr>
          <w:rFonts w:ascii="Arial" w:cs="Arial" w:eastAsia="Arial" w:hAnsi="Arial"/>
          <w:sz w:val="15"/>
          <w:szCs w:val="15"/>
          <w:color w:val="auto"/>
        </w:rPr>
        <w:t>derivatives.</w:t>
      </w:r>
    </w:p>
    <w:p>
      <w:pPr>
        <w:spacing w:after="0" w:line="3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 xml:space="preserve">Interim Disclosures about Fair Value of Financial Instruments - </w:t>
      </w:r>
      <w:r>
        <w:rPr>
          <w:rFonts w:ascii="Arial" w:cs="Arial" w:eastAsia="Arial" w:hAnsi="Arial"/>
          <w:sz w:val="18"/>
          <w:szCs w:val="18"/>
          <w:color w:val="auto"/>
        </w:rPr>
        <w:t>The Company’s non-derivative financial instruments consist of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accounts payable and current and long-term debt. The fair values of cash equivalents, accounts receivable and accounts payable approximate their carrying amounts reported on its Consolidated Balance Sheets due to their short duration.</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MARCH 27, 2022</w:t>
            </w:r>
          </w:p>
        </w:tc>
        <w:tc>
          <w:tcPr>
            <w:tcW w:w="420" w:type="dxa"/>
            <w:vAlign w:val="bottom"/>
          </w:tcPr>
          <w:p>
            <w:pPr>
              <w:spacing w:after="0"/>
              <w:rPr>
                <w:sz w:val="17"/>
                <w:szCs w:val="17"/>
                <w:color w:val="auto"/>
              </w:rPr>
            </w:pPr>
          </w:p>
        </w:tc>
        <w:tc>
          <w:tcPr>
            <w:tcW w:w="2340" w:type="dxa"/>
            <w:vAlign w:val="bottom"/>
            <w:gridSpan w:val="4"/>
          </w:tcPr>
          <w:p>
            <w:pPr>
              <w:jc w:val="right"/>
              <w:ind w:right="646"/>
              <w:spacing w:after="0"/>
              <w:rPr>
                <w:sz w:val="20"/>
                <w:szCs w:val="20"/>
                <w:color w:val="auto"/>
              </w:rPr>
            </w:pPr>
            <w:r>
              <w:rPr>
                <w:rFonts w:ascii="Arial" w:cs="Arial" w:eastAsia="Arial" w:hAnsi="Arial"/>
                <w:sz w:val="14"/>
                <w:szCs w:val="14"/>
                <w:b w:val="1"/>
                <w:bCs w:val="1"/>
                <w:color w:val="auto"/>
              </w:rPr>
              <w:t>DECEMBER 26, 2021</w:t>
            </w:r>
          </w:p>
        </w:tc>
        <w:tc>
          <w:tcPr>
            <w:tcW w:w="0" w:type="dxa"/>
            <w:vAlign w:val="bottom"/>
          </w:tcPr>
          <w:p>
            <w:pPr>
              <w:spacing w:after="0"/>
              <w:rPr>
                <w:sz w:val="1"/>
                <w:szCs w:val="1"/>
                <w:color w:val="auto"/>
              </w:rPr>
            </w:pPr>
          </w:p>
        </w:tc>
      </w:tr>
      <w:tr>
        <w:trPr>
          <w:trHeight w:val="129"/>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86"/>
              <w:spacing w:after="0" w:line="129" w:lineRule="exact"/>
              <w:rPr>
                <w:sz w:val="20"/>
                <w:szCs w:val="20"/>
                <w:color w:val="auto"/>
              </w:rPr>
            </w:pPr>
            <w:r>
              <w:rPr>
                <w:rFonts w:ascii="Arial" w:cs="Arial" w:eastAsia="Arial" w:hAnsi="Arial"/>
                <w:sz w:val="14"/>
                <w:szCs w:val="14"/>
                <w:b w:val="1"/>
                <w:bCs w:val="1"/>
                <w:color w:val="auto"/>
                <w:w w:val="99"/>
              </w:rPr>
              <w:t>FAIR VALUE</w:t>
            </w:r>
          </w:p>
        </w:tc>
        <w:tc>
          <w:tcPr>
            <w:tcW w:w="100" w:type="dxa"/>
            <w:vAlign w:val="bottom"/>
          </w:tcPr>
          <w:p>
            <w:pPr>
              <w:spacing w:after="0"/>
              <w:rPr>
                <w:sz w:val="11"/>
                <w:szCs w:val="11"/>
                <w:color w:val="auto"/>
              </w:rPr>
            </w:pPr>
          </w:p>
        </w:tc>
        <w:tc>
          <w:tcPr>
            <w:tcW w:w="14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5620" w:type="dxa"/>
            <w:vAlign w:val="bottom"/>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2</w:t>
            </w:r>
          </w:p>
        </w:tc>
        <w:tc>
          <w:tcPr>
            <w:tcW w:w="14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306"/>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w:t>
            </w:r>
          </w:p>
        </w:tc>
        <w:tc>
          <w:tcPr>
            <w:tcW w:w="4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140"/>
              <w:spacing w:after="0"/>
              <w:rPr>
                <w:sz w:val="20"/>
                <w:szCs w:val="20"/>
                <w:color w:val="auto"/>
              </w:rPr>
            </w:pPr>
            <w:r>
              <w:rPr>
                <w:rFonts w:ascii="Arial" w:cs="Arial" w:eastAsia="Arial" w:hAnsi="Arial"/>
                <w:sz w:val="15"/>
                <w:szCs w:val="15"/>
                <w:color w:val="auto"/>
              </w:rPr>
              <w:t>Term loan A</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192,500</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188,169</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195,000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190,125</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Revolving credit facility</w:t>
            </w:r>
          </w:p>
        </w:tc>
        <w:tc>
          <w:tcPr>
            <w:tcW w:w="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76,926</w:t>
            </w:r>
          </w:p>
        </w:tc>
        <w:tc>
          <w:tcPr>
            <w:tcW w:w="0" w:type="dxa"/>
            <w:vAlign w:val="bottom"/>
          </w:tcPr>
          <w:p>
            <w:pPr>
              <w:spacing w:after="0"/>
              <w:rPr>
                <w:sz w:val="1"/>
                <w:szCs w:val="1"/>
                <w:color w:val="auto"/>
              </w:rPr>
            </w:pPr>
          </w:p>
        </w:tc>
      </w:tr>
      <w:tr>
        <w:trPr>
          <w:trHeight w:val="203"/>
        </w:trPr>
        <w:tc>
          <w:tcPr>
            <w:tcW w:w="5620" w:type="dxa"/>
            <w:vAlign w:val="bottom"/>
          </w:tcPr>
          <w:p>
            <w:pPr>
              <w:ind w:left="40"/>
              <w:spacing w:after="0"/>
              <w:rPr>
                <w:sz w:val="20"/>
                <w:szCs w:val="20"/>
                <w:color w:val="auto"/>
              </w:rPr>
            </w:pPr>
            <w:r>
              <w:rPr>
                <w:rFonts w:ascii="Arial" w:cs="Arial" w:eastAsia="Arial" w:hAnsi="Arial"/>
                <w:sz w:val="15"/>
                <w:szCs w:val="15"/>
                <w:color w:val="auto"/>
              </w:rPr>
              <w:t>2025 Notes</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230,000</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441,515</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230,000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447,615</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2029 Notes</w:t>
            </w:r>
          </w:p>
        </w:tc>
        <w:tc>
          <w:tcPr>
            <w:tcW w:w="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286,647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304,395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6"/>
          <w:szCs w:val="16"/>
          <w:color w:val="auto"/>
        </w:rPr>
        <w:t>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645"/>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 2022</w:t>
            </w:r>
          </w:p>
        </w:tc>
        <w:tc>
          <w:tcPr>
            <w:tcW w:w="180" w:type="dxa"/>
            <w:vAlign w:val="bottom"/>
          </w:tcPr>
          <w:p>
            <w:pPr>
              <w:spacing w:after="0"/>
              <w:rPr>
                <w:sz w:val="16"/>
                <w:szCs w:val="16"/>
                <w:color w:val="auto"/>
              </w:rPr>
            </w:pPr>
          </w:p>
        </w:tc>
        <w:tc>
          <w:tcPr>
            <w:tcW w:w="1380" w:type="dxa"/>
            <w:vAlign w:val="bottom"/>
          </w:tcPr>
          <w:p>
            <w:pPr>
              <w:jc w:val="right"/>
              <w:ind w:right="185"/>
              <w:spacing w:after="0"/>
              <w:rPr>
                <w:sz w:val="20"/>
                <w:szCs w:val="20"/>
                <w:color w:val="auto"/>
              </w:rPr>
            </w:pPr>
            <w:r>
              <w:rPr>
                <w:rFonts w:ascii="Arial" w:cs="Arial" w:eastAsia="Arial" w:hAnsi="Arial"/>
                <w:sz w:val="14"/>
                <w:szCs w:val="14"/>
                <w:b w:val="1"/>
                <w:bCs w:val="1"/>
                <w:color w:val="auto"/>
                <w:w w:val="99"/>
              </w:rPr>
              <w:t>MARCH 28, 2021</w:t>
            </w:r>
          </w:p>
        </w:tc>
      </w:tr>
      <w:tr>
        <w:trPr>
          <w:trHeight w:val="20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before provision for income taxes</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93,623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76,391</w:t>
            </w:r>
          </w:p>
        </w:tc>
      </w:tr>
      <w:tr>
        <w:trPr>
          <w:trHeight w:val="203"/>
        </w:trPr>
        <w:tc>
          <w:tcPr>
            <w:tcW w:w="802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15,929</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05"/>
              <w:spacing w:after="0"/>
              <w:rPr>
                <w:sz w:val="20"/>
                <w:szCs w:val="20"/>
                <w:color w:val="auto"/>
              </w:rPr>
            </w:pPr>
            <w:r>
              <w:rPr>
                <w:rFonts w:ascii="Arial" w:cs="Arial" w:eastAsia="Arial" w:hAnsi="Arial"/>
                <w:sz w:val="15"/>
                <w:szCs w:val="15"/>
                <w:color w:val="auto"/>
              </w:rPr>
              <w:t>6,593</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Effective income tax rate</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8.6 %</w:t>
            </w:r>
          </w:p>
        </w:tc>
      </w:tr>
    </w:tbl>
    <w:p>
      <w:pPr>
        <w:spacing w:after="0" w:line="29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effective income tax rate for the thirteen weeks ended March 27, 2022 increased by 8.4 percentage points as compared to the thirteen weeks ended March 28, 2021. The increase was primarily due to the change in the amount and mix of forecasted pre-tax book income across the Company’s U.S. and international subsidiaries.</w:t>
      </w:r>
    </w:p>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December 28, 2021, the U.S. Treasury and the Internal Revenue Service released final regulations that, among other things, provide guidance on several aspects of the foreign tax credit rules. As part of the guidance issued, these regulations change longstanding foreign tax credit regulations that now make foreign taxes paid to certain countries no longer creditable in the United States. The Company expects that a portion of post-2021 foreign taxes paid will not be creditable in the United States. Furthermore, the impact of these regulations will result in the utilization of a portion of existing prior year foreign tax credit carryforwards for which the Company had previously recorded a valuation allowance. The valuation allowance related to the credits expected to be utilized will be released during 2022. The impact of non-creditable foreign taxes and the release of the valuation allowance has been considered as part of the effective income tax rate for the thirteen weeks ended March 27, 2022.</w:t>
      </w:r>
    </w:p>
    <w:p>
      <w:pPr>
        <w:spacing w:after="0" w:line="181"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The Company has a blended federal and state statutory rate of approximately 26%. The effective income tax rates for the thirteen weeks ended March 27, 2022 and March 28, 2021 were lower than the statutory rate primarily due to the benefit of FICA tax credits on certain employees’ tips.</w:t>
      </w: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7"/>
          <w:szCs w:val="17"/>
          <w:color w:val="auto"/>
        </w:rPr>
        <w:t>Commitments and Contingencies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 xml:space="preserve">Litigation and Other Matters </w:t>
      </w:r>
      <w:r>
        <w:rPr>
          <w:rFonts w:ascii="Arial" w:cs="Arial" w:eastAsia="Arial" w:hAnsi="Arial"/>
          <w:sz w:val="17"/>
          <w:szCs w:val="17"/>
          <w:color w:val="auto"/>
        </w:rPr>
        <w:t>- The Company is subject to legal proceedings, claims and liabilities, such as liquor liability, slip and fall cases, wage-and-hour and other employment-related litigation, which arise in the ordinary course of business. A reserve is recorded when it is both: (i) probable that a loss has occurred and (ii) the amount of loss can be reasonably estimated. There may be instances in which an exposure to loss exceeds the recorded reserve. The Company evaluates, on a quarterly basis, developments in legal proceedings that could cause an increase or decrease in the amount of the reserve that has been previously recorded, or a revision to the disclosed estimated range of possible losses, as applicable.</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Company’s legal proceedings range from cases brought by a single plaintiff to threatened class actions with many putative class members. While some matters pending against the Company specify the damages claimed by the plaintiff or class, many seek unspecified amounts or are at very early stages of the legal process. Even when the amount of damages claimed against the Company are stated, the claimed amount may be exaggerated, unsupported or unrelated to possible outcomes, and as such, are not meaningful indicators of the Company’s potential liability or financial exposure. As a result, some matters have not yet progressed sufficiently through discovery or development of important factual information and legal issues to enable the Company to estimate an amount of loss or a range of possible loss.</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Company recorded reserves of $7.5 million and $7.1 million for certain of its outstanding legal proceedings as of March 27, 2022 and December 26, 2021, respectively, within Accrued and other current liabilities and Other long-term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Company intends to defend itself in legal matters. Some of these matters may be covered, at least in part, by insurance if they exceed specified retention or deductible amounts. However, it is possible that claims may be denied by the Company’s insurance carriers, the Company may be required by its insurance carriers to contribute to the payment of claims, or the Company’s insurance coverage may not continue to be available on acceptable terms or in sufficient amounts. The Company records receivables from third party insurers when recovery has been determined to be probable. The Company believes that the ultimate determination of liability in connection with legal claims pending against the Company, if any, in excess of amounts already provided for such matters in the consolidated financial statements, will not have a material adverse effect on its business, annual results of operations, liquidity or financial position. However, it is possible that the Company’s business, results of operations, liquidity, or financial condition could be materially affected in a particular future reporting period by the unfavorable resolution of one or more matters or contingencies during such period.</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 xml:space="preserve">Lease Guarantees </w:t>
      </w:r>
      <w:r>
        <w:rPr>
          <w:rFonts w:ascii="Arial" w:cs="Arial" w:eastAsia="Arial" w:hAnsi="Arial"/>
          <w:sz w:val="18"/>
          <w:szCs w:val="18"/>
          <w:color w:val="auto"/>
        </w:rPr>
        <w:t>- The Company assigned its interest, and is contingently liable, under certain real estate leases. These leases have varying terms,</w:t>
      </w:r>
      <w:r>
        <w:rPr>
          <w:rFonts w:ascii="Arial" w:cs="Arial" w:eastAsia="Arial" w:hAnsi="Arial"/>
          <w:sz w:val="18"/>
          <w:szCs w:val="18"/>
          <w:i w:val="1"/>
          <w:iCs w:val="1"/>
          <w:color w:val="auto"/>
        </w:rPr>
        <w:t xml:space="preserve"> </w:t>
      </w:r>
      <w:r>
        <w:rPr>
          <w:rFonts w:ascii="Arial" w:cs="Arial" w:eastAsia="Arial" w:hAnsi="Arial"/>
          <w:sz w:val="18"/>
          <w:szCs w:val="18"/>
          <w:color w:val="auto"/>
        </w:rPr>
        <w:t>the latest of which expires in 2032. As of March 27, 2022, the undiscounted payments that the Company could be required to make in the event of non-payment by the primary lessees was approximately $24.2 million. The present value of these potential payments discounted at the Company’s incremental borrowing rate as of March 27, 2022 was approximately $20.0 million. In the event of default, the indemnity clauses in the Company’s purchase and sale agreements govern its ability to pursue and recover damages incurred. As of March 27, 2022 and December 26, 2021, the Company’s recorded contingent lease liability was $9.0 million and $8.7 million, respectively.</w:t>
      </w:r>
    </w:p>
    <w:p>
      <w:pPr>
        <w:spacing w:after="0" w:line="19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7"/>
          <w:szCs w:val="17"/>
          <w:color w:val="auto"/>
        </w:rPr>
        <w:t>Segment Reporting</w:t>
      </w:r>
    </w:p>
    <w:p>
      <w:pPr>
        <w:spacing w:after="0" w:line="23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considers its restaurant concepts and international markets as operating segments, which reflects how the Company manages its business, reviews operating performance and allocates resources. Resources are allocated and performance is assessed by the Company’s Chief Executive Officer (“CEO”), whom the Company has determined to be its Chief Operating Decision Maker (“CODM”). The Company aggregates its operating segments into two reportable segments, U.S. and international. The U.S. segment includes all restaurants operating in the U.S. while restaurants operating outside the U.S. are included in the international segment.</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summary of reporting segments: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39"/>
        </w:trPr>
        <w:tc>
          <w:tcPr>
            <w:tcW w:w="266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U.S.</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458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3820" w:type="dxa"/>
            <w:vAlign w:val="bottom"/>
            <w:tcBorders>
              <w:top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66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United States of America</w:t>
            </w: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Bonefish Grill</w:t>
            </w:r>
          </w:p>
        </w:tc>
        <w:tc>
          <w:tcPr>
            <w:tcW w:w="100" w:type="dxa"/>
            <w:vAlign w:val="bottom"/>
            <w:tcBorders>
              <w:right w:val="single" w:sz="8" w:color="auto"/>
            </w:tcBorders>
            <w:shd w:val="clear" w:color="auto" w:fill="CCEEFF"/>
          </w:tcPr>
          <w:p>
            <w:pPr>
              <w:spacing w:after="0"/>
              <w:rPr>
                <w:sz w:val="8"/>
                <w:szCs w:val="8"/>
                <w:color w:val="auto"/>
              </w:rPr>
            </w:pPr>
          </w:p>
        </w:tc>
        <w:tc>
          <w:tcPr>
            <w:tcW w:w="38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660" w:type="dxa"/>
            <w:vAlign w:val="bottom"/>
            <w:tcBorders>
              <w:left w:val="single" w:sz="8" w:color="auto"/>
              <w:right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580" w:type="dxa"/>
            <w:vAlign w:val="bottom"/>
            <w:tcBorders>
              <w:right w:val="single" w:sz="8" w:color="auto"/>
            </w:tcBorders>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38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Fleming’s Prime Steakhouse &amp; Wine Bar</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International</w:t>
            </w: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 Hong Kong/China</w:t>
            </w: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Carrabba’s Italian Grill (Abbraccio)</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0"/>
                <w:szCs w:val="20"/>
                <w:color w:val="auto"/>
              </w:rPr>
            </w:pPr>
            <w:r>
              <w:rPr>
                <w:rFonts w:ascii="Arial" w:cs="Arial" w:eastAsia="Arial" w:hAnsi="Arial"/>
                <w:sz w:val="15"/>
                <w:szCs w:val="15"/>
                <w:color w:val="auto"/>
              </w:rPr>
              <w:t>_________________</w:t>
            </w:r>
          </w:p>
        </w:tc>
        <w:tc>
          <w:tcPr>
            <w:tcW w:w="10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Includes franchise locations.</w:t>
      </w:r>
    </w:p>
    <w:p>
      <w:pPr>
        <w:spacing w:after="0" w:line="219"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 xml:space="preserve">Segment accounting policies are the same as those described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Form 10-K for the year ended December 26, 2021.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summary of Total revenues by segment,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45"/>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6"/>
                <w:szCs w:val="16"/>
                <w:color w:val="auto"/>
              </w:rPr>
            </w:pPr>
          </w:p>
        </w:tc>
        <w:tc>
          <w:tcPr>
            <w:tcW w:w="1300" w:type="dxa"/>
            <w:vAlign w:val="bottom"/>
          </w:tcPr>
          <w:p>
            <w:pPr>
              <w:jc w:val="right"/>
              <w:ind w:right="125"/>
              <w:spacing w:after="0"/>
              <w:rPr>
                <w:sz w:val="20"/>
                <w:szCs w:val="20"/>
                <w:color w:val="auto"/>
              </w:rPr>
            </w:pPr>
            <w:r>
              <w:rPr>
                <w:rFonts w:ascii="Arial" w:cs="Arial" w:eastAsia="Arial" w:hAnsi="Arial"/>
                <w:sz w:val="14"/>
                <w:szCs w:val="14"/>
                <w:b w:val="1"/>
                <w:bCs w:val="1"/>
                <w:color w:val="auto"/>
                <w:w w:val="97"/>
              </w:rPr>
              <w:t>MARCH 28, 2021</w:t>
            </w:r>
          </w:p>
        </w:tc>
      </w:tr>
      <w:tr>
        <w:trPr>
          <w:trHeight w:val="19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03"/>
        </w:trPr>
        <w:tc>
          <w:tcPr>
            <w:tcW w:w="8220" w:type="dxa"/>
            <w:vAlign w:val="bottom"/>
          </w:tcPr>
          <w:p>
            <w:pPr>
              <w:ind w:left="220"/>
              <w:spacing w:after="0"/>
              <w:rPr>
                <w:sz w:val="20"/>
                <w:szCs w:val="20"/>
                <w:color w:val="auto"/>
              </w:rPr>
            </w:pPr>
            <w:r>
              <w:rPr>
                <w:rFonts w:ascii="Arial" w:cs="Arial" w:eastAsia="Arial" w:hAnsi="Arial"/>
                <w:sz w:val="15"/>
                <w:szCs w:val="15"/>
                <w:color w:val="auto"/>
              </w:rPr>
              <w:t>U.S.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1,036,407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904,918</w:t>
            </w:r>
          </w:p>
        </w:tc>
      </w:tr>
      <w:tr>
        <w:trPr>
          <w:trHeight w:val="215"/>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104,128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82,555</w:t>
            </w:r>
          </w:p>
        </w:tc>
      </w:tr>
      <w:tr>
        <w:trPr>
          <w:trHeight w:val="206"/>
        </w:trPr>
        <w:tc>
          <w:tcPr>
            <w:tcW w:w="822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1,140,535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987,473</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segment income from operations to Income before provision for income taxes,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6"/>
                <w:szCs w:val="16"/>
                <w:color w:val="auto"/>
              </w:rPr>
            </w:pPr>
          </w:p>
        </w:tc>
        <w:tc>
          <w:tcPr>
            <w:tcW w:w="1300" w:type="dxa"/>
            <w:vAlign w:val="bottom"/>
          </w:tcPr>
          <w:p>
            <w:pPr>
              <w:jc w:val="right"/>
              <w:ind w:right="124"/>
              <w:spacing w:after="0"/>
              <w:rPr>
                <w:sz w:val="20"/>
                <w:szCs w:val="20"/>
                <w:color w:val="auto"/>
              </w:rPr>
            </w:pPr>
            <w:r>
              <w:rPr>
                <w:rFonts w:ascii="Arial" w:cs="Arial" w:eastAsia="Arial" w:hAnsi="Arial"/>
                <w:sz w:val="14"/>
                <w:szCs w:val="14"/>
                <w:b w:val="1"/>
                <w:bCs w:val="1"/>
                <w:color w:val="auto"/>
                <w:w w:val="97"/>
              </w:rPr>
              <w:t>MARCH 28, 2021</w:t>
            </w:r>
          </w:p>
        </w:tc>
      </w:tr>
      <w:tr>
        <w:trPr>
          <w:trHeight w:val="19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Segment income from operations</w:t>
            </w: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03"/>
        </w:trPr>
        <w:tc>
          <w:tcPr>
            <w:tcW w:w="8220" w:type="dxa"/>
            <w:vAlign w:val="bottom"/>
          </w:tcPr>
          <w:p>
            <w:pPr>
              <w:ind w:left="140"/>
              <w:spacing w:after="0"/>
              <w:rPr>
                <w:sz w:val="20"/>
                <w:szCs w:val="20"/>
                <w:color w:val="auto"/>
              </w:rPr>
            </w:pPr>
            <w:r>
              <w:rPr>
                <w:rFonts w:ascii="Arial" w:cs="Arial" w:eastAsia="Arial" w:hAnsi="Arial"/>
                <w:sz w:val="15"/>
                <w:szCs w:val="15"/>
                <w:color w:val="auto"/>
              </w:rPr>
              <w:t>U.S.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132,226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121,735</w:t>
            </w:r>
          </w:p>
        </w:tc>
      </w:tr>
      <w:tr>
        <w:trPr>
          <w:trHeight w:val="229"/>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3,537</w:t>
            </w:r>
          </w:p>
        </w:tc>
      </w:tr>
      <w:tr>
        <w:trPr>
          <w:trHeight w:val="189"/>
        </w:trPr>
        <w:tc>
          <w:tcPr>
            <w:tcW w:w="8220" w:type="dxa"/>
            <w:vAlign w:val="bottom"/>
          </w:tcPr>
          <w:p>
            <w:pPr>
              <w:ind w:left="320"/>
              <w:spacing w:after="0"/>
              <w:rPr>
                <w:sz w:val="20"/>
                <w:szCs w:val="20"/>
                <w:color w:val="auto"/>
              </w:rPr>
            </w:pPr>
            <w:r>
              <w:rPr>
                <w:rFonts w:ascii="Arial" w:cs="Arial" w:eastAsia="Arial" w:hAnsi="Arial"/>
                <w:sz w:val="15"/>
                <w:szCs w:val="15"/>
                <w:color w:val="auto"/>
              </w:rPr>
              <w:t>Total segment income from operations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141,110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125,272</w:t>
            </w:r>
          </w:p>
        </w:tc>
      </w:tr>
      <w:tr>
        <w:trPr>
          <w:trHeight w:val="229"/>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Unallocated corporate operating expense</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(34,274)</w:t>
            </w:r>
          </w:p>
        </w:tc>
      </w:tr>
      <w:tr>
        <w:trPr>
          <w:trHeight w:val="189"/>
        </w:trPr>
        <w:tc>
          <w:tcPr>
            <w:tcW w:w="8220" w:type="dxa"/>
            <w:vAlign w:val="bottom"/>
          </w:tcPr>
          <w:p>
            <w:pPr>
              <w:ind w:left="320"/>
              <w:spacing w:after="0"/>
              <w:rPr>
                <w:sz w:val="20"/>
                <w:szCs w:val="20"/>
                <w:color w:val="auto"/>
              </w:rPr>
            </w:pPr>
            <w:r>
              <w:rPr>
                <w:rFonts w:ascii="Arial" w:cs="Arial" w:eastAsia="Arial" w:hAnsi="Arial"/>
                <w:sz w:val="15"/>
                <w:szCs w:val="15"/>
                <w:color w:val="auto"/>
              </w:rPr>
              <w:t>Total income from operations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107,256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90,998</w:t>
            </w:r>
          </w:p>
        </w:tc>
      </w:tr>
      <w:tr>
        <w:trPr>
          <w:trHeight w:val="209"/>
        </w:trPr>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income, net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212"/>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Interest expense, net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(14,628)</w:t>
            </w:r>
          </w:p>
        </w:tc>
      </w:tr>
      <w:tr>
        <w:trPr>
          <w:trHeight w:val="231"/>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Income before provision for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93,623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76,391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summary of Depreciation and amortization expense by segment for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6"/>
                <w:szCs w:val="16"/>
                <w:color w:val="auto"/>
              </w:rPr>
            </w:pPr>
          </w:p>
        </w:tc>
        <w:tc>
          <w:tcPr>
            <w:tcW w:w="1300" w:type="dxa"/>
            <w:vAlign w:val="bottom"/>
          </w:tcPr>
          <w:p>
            <w:pPr>
              <w:jc w:val="right"/>
              <w:ind w:right="124"/>
              <w:spacing w:after="0"/>
              <w:rPr>
                <w:sz w:val="20"/>
                <w:szCs w:val="20"/>
                <w:color w:val="auto"/>
              </w:rPr>
            </w:pPr>
            <w:r>
              <w:rPr>
                <w:rFonts w:ascii="Arial" w:cs="Arial" w:eastAsia="Arial" w:hAnsi="Arial"/>
                <w:sz w:val="14"/>
                <w:szCs w:val="14"/>
                <w:b w:val="1"/>
                <w:bCs w:val="1"/>
                <w:color w:val="auto"/>
                <w:w w:val="97"/>
              </w:rPr>
              <w:t>MARCH 28, 2021</w:t>
            </w:r>
          </w:p>
        </w:tc>
      </w:tr>
      <w:tr>
        <w:trPr>
          <w:trHeight w:val="19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03"/>
        </w:trPr>
        <w:tc>
          <w:tcPr>
            <w:tcW w:w="8220" w:type="dxa"/>
            <w:vAlign w:val="bottom"/>
          </w:tcPr>
          <w:p>
            <w:pPr>
              <w:ind w:left="220"/>
              <w:spacing w:after="0"/>
              <w:rPr>
                <w:sz w:val="20"/>
                <w:szCs w:val="20"/>
                <w:color w:val="auto"/>
              </w:rPr>
            </w:pPr>
            <w:r>
              <w:rPr>
                <w:rFonts w:ascii="Arial" w:cs="Arial" w:eastAsia="Arial" w:hAnsi="Arial"/>
                <w:sz w:val="15"/>
                <w:szCs w:val="15"/>
                <w:color w:val="auto"/>
              </w:rPr>
              <w:t>U.S.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34,759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33,645</w:t>
            </w:r>
          </w:p>
        </w:tc>
      </w:tr>
      <w:tr>
        <w:trPr>
          <w:trHeight w:val="209"/>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5,720</w:t>
            </w:r>
          </w:p>
        </w:tc>
      </w:tr>
      <w:tr>
        <w:trPr>
          <w:trHeight w:val="212"/>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Corporate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1,861</w:t>
            </w:r>
          </w:p>
        </w:tc>
      </w:tr>
      <w:tr>
        <w:trPr>
          <w:trHeight w:val="231"/>
        </w:trPr>
        <w:tc>
          <w:tcPr>
            <w:tcW w:w="8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41,226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Statement</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98" w:lineRule="exact"/>
        <w:rPr>
          <w:sz w:val="20"/>
          <w:szCs w:val="20"/>
          <w:color w:val="auto"/>
        </w:rPr>
      </w:pPr>
    </w:p>
    <w:p>
      <w:pPr>
        <w:ind w:left="460" w:hanging="457"/>
        <w:spacing w:after="0"/>
        <w:tabs>
          <w:tab w:leader="none" w:pos="4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Consumer reactions to public health and food safety issues;</w:t>
      </w:r>
    </w:p>
    <w:p>
      <w:pPr>
        <w:spacing w:after="0" w:line="232" w:lineRule="exact"/>
        <w:rPr>
          <w:rFonts w:ascii="Arial" w:cs="Arial" w:eastAsia="Arial" w:hAnsi="Arial"/>
          <w:sz w:val="19"/>
          <w:szCs w:val="19"/>
          <w:color w:val="auto"/>
        </w:rPr>
      </w:pPr>
    </w:p>
    <w:p>
      <w:pPr>
        <w:jc w:val="both"/>
        <w:ind w:left="460" w:hanging="457"/>
        <w:spacing w:after="0" w:line="252" w:lineRule="auto"/>
        <w:tabs>
          <w:tab w:leader="none" w:pos="459"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severity, extent and duration of the COVID-19 pandemic, its impacts on our business and results of operations, financial condition and liquidity, including any adverse impact on our stock price and on the other factors listed below, and the responses of domestic and foreign federal, state and local governments to the pandemic;</w:t>
      </w:r>
    </w:p>
    <w:p>
      <w:pPr>
        <w:spacing w:after="0" w:line="201" w:lineRule="exact"/>
        <w:rPr>
          <w:rFonts w:ascii="Arial" w:cs="Arial" w:eastAsia="Arial" w:hAnsi="Arial"/>
          <w:sz w:val="19"/>
          <w:szCs w:val="19"/>
          <w:color w:val="auto"/>
        </w:rPr>
      </w:pPr>
    </w:p>
    <w:p>
      <w:pPr>
        <w:ind w:left="460" w:hanging="457"/>
        <w:spacing w:after="0"/>
        <w:tabs>
          <w:tab w:leader="none" w:pos="4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Minimum wage increases, additional mandated employee benefits and fluctuations in the cost and availability of employees;</w:t>
      </w:r>
    </w:p>
    <w:p>
      <w:pPr>
        <w:spacing w:after="0" w:line="232" w:lineRule="exact"/>
        <w:rPr>
          <w:rFonts w:ascii="Arial" w:cs="Arial" w:eastAsia="Arial" w:hAnsi="Arial"/>
          <w:sz w:val="19"/>
          <w:szCs w:val="19"/>
          <w:color w:val="auto"/>
        </w:rPr>
      </w:pPr>
    </w:p>
    <w:p>
      <w:pPr>
        <w:ind w:left="460" w:hanging="457"/>
        <w:spacing w:after="0"/>
        <w:tabs>
          <w:tab w:leader="none" w:pos="4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Fluctuations in the price and availability of commodities, including supplier freight charges and restaurant distribution expenses;</w:t>
      </w:r>
    </w:p>
    <w:p>
      <w:pPr>
        <w:spacing w:after="0" w:line="232" w:lineRule="exact"/>
        <w:rPr>
          <w:rFonts w:ascii="Arial" w:cs="Arial" w:eastAsia="Arial" w:hAnsi="Arial"/>
          <w:sz w:val="19"/>
          <w:szCs w:val="19"/>
          <w:color w:val="auto"/>
        </w:rPr>
      </w:pPr>
    </w:p>
    <w:p>
      <w:pPr>
        <w:ind w:left="460" w:hanging="457"/>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compete in the highly competitive restaurant industry with many well-established competitors and new market entrants;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ind w:left="460" w:hanging="457"/>
        <w:spacing w:after="0" w:line="264" w:lineRule="auto"/>
        <w:tabs>
          <w:tab w:leader="none" w:pos="449" w:val="left"/>
        </w:tabs>
        <w:numPr>
          <w:ilvl w:val="0"/>
          <w:numId w:val="24"/>
        </w:numPr>
        <w:rPr>
          <w:rFonts w:ascii="Arial" w:cs="Arial" w:eastAsia="Arial" w:hAnsi="Arial"/>
          <w:sz w:val="19"/>
          <w:szCs w:val="19"/>
          <w:color w:val="auto"/>
        </w:rPr>
      </w:pPr>
      <w:r>
        <w:rPr>
          <w:rFonts w:ascii="Arial" w:cs="Arial" w:eastAsia="Arial" w:hAnsi="Arial"/>
          <w:sz w:val="19"/>
          <w:szCs w:val="19"/>
          <w:color w:val="auto"/>
        </w:rPr>
        <w:t>Economic conditions and their effects on consumer confidence and discretionary spending, consumer traffic, the cost and availability of credit and interest rates;</w:t>
      </w:r>
    </w:p>
    <w:p>
      <w:pPr>
        <w:spacing w:after="0" w:line="189" w:lineRule="exact"/>
        <w:rPr>
          <w:rFonts w:ascii="Arial" w:cs="Arial" w:eastAsia="Arial" w:hAnsi="Arial"/>
          <w:sz w:val="19"/>
          <w:szCs w:val="19"/>
          <w:color w:val="auto"/>
        </w:rPr>
      </w:pPr>
    </w:p>
    <w:p>
      <w:pPr>
        <w:ind w:left="460" w:hanging="457"/>
        <w:spacing w:after="0"/>
        <w:tabs>
          <w:tab w:leader="none" w:pos="4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ability to recruit and retain high-quality leadership, restaurant-level management and team members;</w:t>
      </w:r>
    </w:p>
    <w:p>
      <w:pPr>
        <w:spacing w:after="0" w:line="232" w:lineRule="exact"/>
        <w:rPr>
          <w:rFonts w:ascii="Arial" w:cs="Arial" w:eastAsia="Arial" w:hAnsi="Arial"/>
          <w:sz w:val="19"/>
          <w:szCs w:val="19"/>
          <w:color w:val="auto"/>
        </w:rPr>
      </w:pPr>
    </w:p>
    <w:p>
      <w:pPr>
        <w:ind w:left="460" w:hanging="457"/>
        <w:spacing w:after="0" w:line="264" w:lineRule="auto"/>
        <w:tabs>
          <w:tab w:leader="none" w:pos="451"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ability to preserve and grow the reputation and value of our brands, particularly in light of changes in consumer engagement with social media platforms and limited control with respect to the operations of our franchisees;</w:t>
      </w:r>
    </w:p>
    <w:p>
      <w:pPr>
        <w:spacing w:after="0" w:line="189" w:lineRule="exact"/>
        <w:rPr>
          <w:rFonts w:ascii="Arial" w:cs="Arial" w:eastAsia="Arial" w:hAnsi="Arial"/>
          <w:sz w:val="19"/>
          <w:szCs w:val="19"/>
          <w:color w:val="auto"/>
        </w:rPr>
      </w:pPr>
    </w:p>
    <w:p>
      <w:pPr>
        <w:ind w:left="460" w:hanging="457"/>
        <w:spacing w:after="0" w:line="264" w:lineRule="auto"/>
        <w:tabs>
          <w:tab w:leader="none" w:pos="449"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ability to protect our information technology systems from interruption or security breach, including cyber security threats, and to protect consumer data and personal employee information;</w:t>
      </w:r>
    </w:p>
    <w:p>
      <w:pPr>
        <w:spacing w:after="0" w:line="189" w:lineRule="exact"/>
        <w:rPr>
          <w:rFonts w:ascii="Arial" w:cs="Arial" w:eastAsia="Arial" w:hAnsi="Arial"/>
          <w:sz w:val="19"/>
          <w:szCs w:val="19"/>
          <w:color w:val="auto"/>
        </w:rPr>
      </w:pPr>
    </w:p>
    <w:p>
      <w:pPr>
        <w:ind w:left="460" w:hanging="457"/>
        <w:spacing w:after="0"/>
        <w:tabs>
          <w:tab w:leader="none" w:pos="4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Dependence on a limited number of suppliers and distributors to meet our beef, chicken and other major product supply needs;</w:t>
      </w:r>
    </w:p>
    <w:p>
      <w:pPr>
        <w:spacing w:after="0" w:line="232" w:lineRule="exact"/>
        <w:rPr>
          <w:rFonts w:ascii="Arial" w:cs="Arial" w:eastAsia="Arial" w:hAnsi="Arial"/>
          <w:sz w:val="19"/>
          <w:szCs w:val="19"/>
          <w:color w:val="auto"/>
        </w:rPr>
      </w:pPr>
    </w:p>
    <w:p>
      <w:pPr>
        <w:ind w:left="460" w:hanging="457"/>
        <w:spacing w:after="0" w:line="264" w:lineRule="auto"/>
        <w:tabs>
          <w:tab w:leader="none" w:pos="449"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effects of international economic, political and social conditions and legal systems on our foreign operations and on foreign currency exchange rates;</w:t>
      </w:r>
    </w:p>
    <w:p>
      <w:pPr>
        <w:spacing w:after="0" w:line="189" w:lineRule="exact"/>
        <w:rPr>
          <w:rFonts w:ascii="Arial" w:cs="Arial" w:eastAsia="Arial" w:hAnsi="Arial"/>
          <w:sz w:val="19"/>
          <w:szCs w:val="19"/>
          <w:color w:val="auto"/>
        </w:rPr>
      </w:pPr>
    </w:p>
    <w:p>
      <w:pPr>
        <w:ind w:left="460" w:hanging="457"/>
        <w:spacing w:after="0" w:line="292" w:lineRule="auto"/>
        <w:tabs>
          <w:tab w:leader="none" w:pos="4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comply with governmental laws and regulations, the costs of compliance with such laws and regulations and the effects of changes to applicable laws and regulations, including tax laws and unanticipated liabilities, and the impact of any litigation;</w:t>
      </w:r>
    </w:p>
    <w:p>
      <w:pPr>
        <w:spacing w:after="0" w:line="166" w:lineRule="exact"/>
        <w:rPr>
          <w:rFonts w:ascii="Arial" w:cs="Arial" w:eastAsia="Arial" w:hAnsi="Arial"/>
          <w:sz w:val="18"/>
          <w:szCs w:val="18"/>
          <w:color w:val="auto"/>
        </w:rPr>
      </w:pPr>
    </w:p>
    <w:p>
      <w:pPr>
        <w:ind w:left="460" w:hanging="457"/>
        <w:spacing w:after="0" w:line="264" w:lineRule="auto"/>
        <w:tabs>
          <w:tab w:leader="none" w:pos="451"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ability to effectively respond to changes in patterns of consumer traffic, consumer tastes and dietary habits, including by maintaining relationships with third party delivery apps and services;</w:t>
      </w:r>
    </w:p>
    <w:p>
      <w:pPr>
        <w:spacing w:after="0" w:line="189" w:lineRule="exact"/>
        <w:rPr>
          <w:rFonts w:ascii="Arial" w:cs="Arial" w:eastAsia="Arial" w:hAnsi="Arial"/>
          <w:sz w:val="19"/>
          <w:szCs w:val="19"/>
          <w:color w:val="auto"/>
        </w:rPr>
      </w:pPr>
    </w:p>
    <w:p>
      <w:pPr>
        <w:jc w:val="both"/>
        <w:ind w:left="460" w:hanging="457"/>
        <w:spacing w:after="0" w:line="252" w:lineRule="auto"/>
        <w:tabs>
          <w:tab w:leader="none" w:pos="453"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201" w:lineRule="exact"/>
        <w:rPr>
          <w:rFonts w:ascii="Arial" w:cs="Arial" w:eastAsia="Arial" w:hAnsi="Arial"/>
          <w:sz w:val="19"/>
          <w:szCs w:val="19"/>
          <w:color w:val="auto"/>
        </w:rPr>
      </w:pPr>
    </w:p>
    <w:p>
      <w:pPr>
        <w:ind w:left="460" w:hanging="457"/>
        <w:spacing w:after="0" w:line="264" w:lineRule="auto"/>
        <w:tabs>
          <w:tab w:leader="none" w:pos="452" w:val="left"/>
        </w:tabs>
        <w:numPr>
          <w:ilvl w:val="0"/>
          <w:numId w:val="24"/>
        </w:numPr>
        <w:rPr>
          <w:rFonts w:ascii="Arial" w:cs="Arial" w:eastAsia="Arial" w:hAnsi="Arial"/>
          <w:sz w:val="19"/>
          <w:szCs w:val="19"/>
          <w:color w:val="auto"/>
        </w:rPr>
      </w:pPr>
      <w:r>
        <w:rPr>
          <w:rFonts w:ascii="Arial" w:cs="Arial" w:eastAsia="Arial" w:hAnsi="Arial"/>
          <w:sz w:val="19"/>
          <w:szCs w:val="19"/>
          <w:color w:val="auto"/>
        </w:rPr>
        <w:t>Seasonal and periodic fluctuations in our results and the effects of significant adverse weather conditions and other disasters or unforeseen events;</w:t>
      </w:r>
    </w:p>
    <w:p>
      <w:pPr>
        <w:spacing w:after="0" w:line="189" w:lineRule="exact"/>
        <w:rPr>
          <w:rFonts w:ascii="Arial" w:cs="Arial" w:eastAsia="Arial" w:hAnsi="Arial"/>
          <w:sz w:val="19"/>
          <w:szCs w:val="19"/>
          <w:color w:val="auto"/>
        </w:rPr>
      </w:pPr>
    </w:p>
    <w:p>
      <w:pPr>
        <w:ind w:left="460" w:hanging="457"/>
        <w:spacing w:after="0" w:line="324" w:lineRule="auto"/>
        <w:tabs>
          <w:tab w:leader="none" w:pos="45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spacing w:after="0" w:line="142" w:lineRule="exact"/>
        <w:rPr>
          <w:rFonts w:ascii="Arial" w:cs="Arial" w:eastAsia="Arial" w:hAnsi="Arial"/>
          <w:sz w:val="17"/>
          <w:szCs w:val="17"/>
          <w:color w:val="auto"/>
        </w:rPr>
      </w:pPr>
    </w:p>
    <w:p>
      <w:pPr>
        <w:ind w:left="460" w:hanging="457"/>
        <w:spacing w:after="0" w:line="264" w:lineRule="auto"/>
        <w:tabs>
          <w:tab w:leader="none" w:pos="454" w:val="left"/>
        </w:tabs>
        <w:numPr>
          <w:ilvl w:val="0"/>
          <w:numId w:val="24"/>
        </w:numPr>
        <w:rPr>
          <w:rFonts w:ascii="Arial" w:cs="Arial" w:eastAsia="Arial" w:hAnsi="Arial"/>
          <w:sz w:val="19"/>
          <w:szCs w:val="19"/>
          <w:color w:val="auto"/>
        </w:rPr>
      </w:pPr>
      <w:r>
        <w:rPr>
          <w:rFonts w:ascii="Arial" w:cs="Arial" w:eastAsia="Arial" w:hAnsi="Arial"/>
          <w:sz w:val="19"/>
          <w:szCs w:val="19"/>
          <w:color w:val="auto"/>
        </w:rPr>
        <w:t>Any impairment in the carrying value of our goodwill or other intangible or long-lived assets and its effect on our financial condition and results of operations; and</w:t>
      </w:r>
    </w:p>
    <w:p>
      <w:pPr>
        <w:spacing w:after="0" w:line="189" w:lineRule="exact"/>
        <w:rPr>
          <w:rFonts w:ascii="Arial" w:cs="Arial" w:eastAsia="Arial" w:hAnsi="Arial"/>
          <w:sz w:val="19"/>
          <w:szCs w:val="19"/>
          <w:color w:val="auto"/>
        </w:rPr>
      </w:pPr>
    </w:p>
    <w:p>
      <w:pPr>
        <w:ind w:left="540" w:hanging="537"/>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Such other factors as discussed in Part I, Item IA. Risk Factors of our Annual Report on Form 10-K for the year ended December 26, 2021.</w:t>
      </w:r>
    </w:p>
    <w:p>
      <w:pPr>
        <w:spacing w:after="0" w:line="25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are one of the largest casual dining restaurant companies in the world with a portfolio of leading, differentiated restaurant concepts. As of March 27, 2022, we owned and operated 1,166 full-service restaurants and off-premises only kitchens and franchised 333 full-service restaurants and off-premises only kitchens across 47 states, Guam and 15 countries. We have four founder-inspired concepts: Outback Steakhouse, Carrabba’s Italian Grill, Bonefish Grill and Fleming’s Prime Steakhouse &amp; Wine Bar.</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Highlights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Our financial highlights for the thirteen weeks ended March 27, 2022 (“first quarter of 2022”) include the following:</w:t>
      </w:r>
    </w:p>
    <w:p>
      <w:pPr>
        <w:spacing w:after="0" w:line="233"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U.S. combined and Outback Steakhouse comparable restaurant sales of 14.0% and 9.2%, respectively;</w:t>
      </w:r>
    </w:p>
    <w:p>
      <w:pPr>
        <w:spacing w:after="0" w:line="16" w:lineRule="exact"/>
        <w:rPr>
          <w:rFonts w:ascii="Arial" w:cs="Arial" w:eastAsia="Arial" w:hAnsi="Arial"/>
          <w:sz w:val="19"/>
          <w:szCs w:val="19"/>
          <w:color w:val="auto"/>
        </w:rPr>
      </w:pPr>
    </w:p>
    <w:p>
      <w:pPr>
        <w:ind w:left="620" w:hanging="307"/>
        <w:spacing w:after="0"/>
        <w:tabs>
          <w:tab w:leader="none" w:pos="6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Increase in Total revenues of 15.5%, as compared to the first quarter of 2021;</w:t>
      </w:r>
    </w:p>
    <w:p>
      <w:pPr>
        <w:ind w:left="620" w:hanging="307"/>
        <w:spacing w:after="0"/>
        <w:tabs>
          <w:tab w:leader="none" w:pos="609" w:val="left"/>
        </w:tabs>
        <w:numPr>
          <w:ilvl w:val="0"/>
          <w:numId w:val="25"/>
        </w:numPr>
        <w:rPr>
          <w:rFonts w:ascii="Arial" w:cs="Arial" w:eastAsia="Arial" w:hAnsi="Arial"/>
          <w:sz w:val="19"/>
          <w:szCs w:val="19"/>
          <w:color w:val="auto"/>
        </w:rPr>
      </w:pPr>
      <w:r>
        <w:rPr>
          <w:rFonts w:ascii="Arial" w:cs="Arial" w:eastAsia="Arial" w:hAnsi="Arial"/>
          <w:sz w:val="19"/>
          <w:szCs w:val="19"/>
          <w:color w:val="auto"/>
        </w:rPr>
        <w:t>Restaurant-level operating and operating income margins of 17.1% and 9.4%, respectively, as compared to 18.8% and 9.2%, respectively, for the first quarter of 2021;</w:t>
      </w:r>
    </w:p>
    <w:p>
      <w:pPr>
        <w:spacing w:after="0" w:line="1" w:lineRule="exact"/>
        <w:rPr>
          <w:rFonts w:ascii="Arial" w:cs="Arial" w:eastAsia="Arial" w:hAnsi="Arial"/>
          <w:sz w:val="19"/>
          <w:szCs w:val="19"/>
          <w:color w:val="auto"/>
        </w:rPr>
      </w:pPr>
    </w:p>
    <w:p>
      <w:pPr>
        <w:ind w:left="620" w:hanging="307"/>
        <w:spacing w:after="0"/>
        <w:tabs>
          <w:tab w:leader="none" w:pos="6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Income from operations of $107.3 million, as compared to $91.0 million in the first quarter of 2021; and</w:t>
      </w:r>
    </w:p>
    <w:p>
      <w:pPr>
        <w:ind w:left="620" w:hanging="307"/>
        <w:spacing w:after="0"/>
        <w:tabs>
          <w:tab w:leader="none" w:pos="6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Diluted earnings per share of $0.73, as compared to $0.63 for the first quarter of 2021.</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Financial Performance Indicators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Key measures that we use in evaluating our restaurants and assessing our business include the following:</w:t>
      </w:r>
    </w:p>
    <w:p>
      <w:pPr>
        <w:spacing w:after="0" w:line="233" w:lineRule="exact"/>
        <w:rPr>
          <w:sz w:val="20"/>
          <w:szCs w:val="20"/>
          <w:color w:val="auto"/>
        </w:rPr>
      </w:pPr>
    </w:p>
    <w:p>
      <w:pPr>
        <w:ind w:left="620" w:hanging="307"/>
        <w:spacing w:after="0" w:line="264" w:lineRule="auto"/>
        <w:tabs>
          <w:tab w:leader="none" w:pos="609"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auto"/>
        </w:rPr>
        <w:t xml:space="preserve">Average restaurant unit volumes </w:t>
      </w:r>
      <w:r>
        <w:rPr>
          <w:rFonts w:ascii="Arial" w:cs="Arial" w:eastAsia="Arial" w:hAnsi="Arial"/>
          <w:sz w:val="19"/>
          <w:szCs w:val="19"/>
          <w:color w:val="auto"/>
        </w:rPr>
        <w:t>— average sales (excluding gift card breakage) per restaurant to measure changes in customer traffic,</w:t>
      </w:r>
      <w:r>
        <w:rPr>
          <w:rFonts w:ascii="Arial" w:cs="Arial" w:eastAsia="Arial" w:hAnsi="Arial"/>
          <w:sz w:val="19"/>
          <w:szCs w:val="19"/>
          <w:i w:val="1"/>
          <w:iCs w:val="1"/>
          <w:color w:val="auto"/>
        </w:rPr>
        <w:t xml:space="preserve"> </w:t>
      </w:r>
      <w:r>
        <w:rPr>
          <w:rFonts w:ascii="Arial" w:cs="Arial" w:eastAsia="Arial" w:hAnsi="Arial"/>
          <w:sz w:val="19"/>
          <w:szCs w:val="19"/>
          <w:color w:val="auto"/>
        </w:rPr>
        <w:t>pricing and development of the brand;</w:t>
      </w:r>
    </w:p>
    <w:p>
      <w:pPr>
        <w:spacing w:after="0" w:line="189" w:lineRule="exact"/>
        <w:rPr>
          <w:rFonts w:ascii="Arial" w:cs="Arial" w:eastAsia="Arial" w:hAnsi="Arial"/>
          <w:sz w:val="19"/>
          <w:szCs w:val="19"/>
          <w:color w:val="auto"/>
        </w:rPr>
      </w:pPr>
    </w:p>
    <w:p>
      <w:pPr>
        <w:jc w:val="both"/>
        <w:ind w:left="620" w:hanging="307"/>
        <w:spacing w:after="0" w:line="252" w:lineRule="auto"/>
        <w:tabs>
          <w:tab w:leader="none" w:pos="609" w:val="left"/>
        </w:tabs>
        <w:numPr>
          <w:ilvl w:val="0"/>
          <w:numId w:val="2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Comparable restaurant sales </w:t>
      </w:r>
      <w:r>
        <w:rPr>
          <w:rFonts w:ascii="Arial" w:cs="Arial" w:eastAsia="Arial" w:hAnsi="Arial"/>
          <w:sz w:val="19"/>
          <w:szCs w:val="19"/>
          <w:color w:val="auto"/>
        </w:rPr>
        <w:t>— year-over-year comparison of the change in sales volumes (excluding gift card breakage) for Company-owned restaurants that are open 18 months or more in order to remove the impact of new restaurant openings in comparing the operations of existing restaurants;</w:t>
      </w:r>
    </w:p>
    <w:p>
      <w:pPr>
        <w:spacing w:after="0" w:line="201" w:lineRule="exact"/>
        <w:rPr>
          <w:rFonts w:ascii="Arial" w:cs="Arial" w:eastAsia="Arial" w:hAnsi="Arial"/>
          <w:sz w:val="19"/>
          <w:szCs w:val="19"/>
          <w:i w:val="1"/>
          <w:iCs w:val="1"/>
          <w:color w:val="auto"/>
        </w:rPr>
      </w:pPr>
    </w:p>
    <w:p>
      <w:pPr>
        <w:ind w:left="620" w:hanging="307"/>
        <w:spacing w:after="0" w:line="264" w:lineRule="auto"/>
        <w:tabs>
          <w:tab w:leader="none" w:pos="609"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auto"/>
        </w:rPr>
        <w:t xml:space="preserve">System-wide sales </w:t>
      </w:r>
      <w:r>
        <w:rPr>
          <w:rFonts w:ascii="Arial" w:cs="Arial" w:eastAsia="Arial" w:hAnsi="Arial"/>
          <w:sz w:val="19"/>
          <w:szCs w:val="19"/>
          <w:color w:val="auto"/>
        </w:rPr>
        <w:t>— total restaurant sales volume for all Company-owned and franchise restaurants, regardless of ownership, to interpret</w:t>
      </w:r>
      <w:r>
        <w:rPr>
          <w:rFonts w:ascii="Arial" w:cs="Arial" w:eastAsia="Arial" w:hAnsi="Arial"/>
          <w:sz w:val="19"/>
          <w:szCs w:val="19"/>
          <w:i w:val="1"/>
          <w:iCs w:val="1"/>
          <w:color w:val="auto"/>
        </w:rPr>
        <w:t xml:space="preserve"> </w:t>
      </w:r>
      <w:r>
        <w:rPr>
          <w:rFonts w:ascii="Arial" w:cs="Arial" w:eastAsia="Arial" w:hAnsi="Arial"/>
          <w:sz w:val="19"/>
          <w:szCs w:val="19"/>
          <w:color w:val="auto"/>
        </w:rPr>
        <w:t>the overall health of our brands;</w:t>
      </w:r>
    </w:p>
    <w:p>
      <w:pPr>
        <w:spacing w:after="0" w:line="189" w:lineRule="exact"/>
        <w:rPr>
          <w:rFonts w:ascii="Arial" w:cs="Arial" w:eastAsia="Arial" w:hAnsi="Arial"/>
          <w:sz w:val="19"/>
          <w:szCs w:val="19"/>
          <w:color w:val="auto"/>
        </w:rPr>
      </w:pPr>
    </w:p>
    <w:p>
      <w:pPr>
        <w:ind w:left="620" w:hanging="307"/>
        <w:spacing w:after="0" w:line="264" w:lineRule="auto"/>
        <w:tabs>
          <w:tab w:leader="none" w:pos="609" w:val="left"/>
        </w:tabs>
        <w:numPr>
          <w:ilvl w:val="0"/>
          <w:numId w:val="2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Restaurant-level operating margin, Income from operations, Net income and Diluted earnings per share </w:t>
      </w:r>
      <w:r>
        <w:rPr>
          <w:rFonts w:ascii="Arial" w:cs="Arial" w:eastAsia="Arial" w:hAnsi="Arial"/>
          <w:sz w:val="19"/>
          <w:szCs w:val="19"/>
          <w:color w:val="auto"/>
        </w:rPr>
        <w:t>— financial measures utilized to</w:t>
      </w:r>
      <w:r>
        <w:rPr>
          <w:rFonts w:ascii="Arial" w:cs="Arial" w:eastAsia="Arial" w:hAnsi="Arial"/>
          <w:sz w:val="19"/>
          <w:szCs w:val="19"/>
          <w:i w:val="1"/>
          <w:iCs w:val="1"/>
          <w:color w:val="auto"/>
        </w:rPr>
        <w:t xml:space="preserve"> </w:t>
      </w:r>
      <w:r>
        <w:rPr>
          <w:rFonts w:ascii="Arial" w:cs="Arial" w:eastAsia="Arial" w:hAnsi="Arial"/>
          <w:sz w:val="19"/>
          <w:szCs w:val="19"/>
          <w:color w:val="auto"/>
        </w:rPr>
        <w:t>evaluate our operating performance.</w:t>
      </w:r>
    </w:p>
    <w:p>
      <w:pPr>
        <w:spacing w:after="0" w:line="189" w:lineRule="exact"/>
        <w:rPr>
          <w:rFonts w:ascii="Arial" w:cs="Arial" w:eastAsia="Arial" w:hAnsi="Arial"/>
          <w:sz w:val="19"/>
          <w:szCs w:val="19"/>
          <w:i w:val="1"/>
          <w:iCs w:val="1"/>
          <w:color w:val="auto"/>
        </w:rPr>
      </w:pPr>
    </w:p>
    <w:p>
      <w:pPr>
        <w:jc w:val="both"/>
        <w:ind w:left="620"/>
        <w:spacing w:after="0" w:line="244" w:lineRule="auto"/>
        <w:rPr>
          <w:rFonts w:ascii="Arial" w:cs="Arial" w:eastAsia="Arial" w:hAnsi="Arial"/>
          <w:sz w:val="19"/>
          <w:szCs w:val="19"/>
          <w:i w:val="1"/>
          <w:iCs w:val="1"/>
          <w:color w:val="auto"/>
        </w:rPr>
      </w:pPr>
      <w:r>
        <w:rPr>
          <w:rFonts w:ascii="Arial" w:cs="Arial" w:eastAsia="Arial" w:hAnsi="Arial"/>
          <w:sz w:val="19"/>
          <w:szCs w:val="19"/>
          <w:color w:val="auto"/>
        </w:rPr>
        <w:t>Restaurant-level operating margin is widely regarded in the industry as a useful metric to evaluate restaurant-level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expenses and Other restaurant operating expenses (including advertising expenses) represent, in each case as such items are reflected in our Consolidated Statements of Operations and Comprehensive Income. The following categories of our revenue and operating expenses are not included in restaurant-level operating margin because we do not consider them reflective of operating performance at the restaurant-level within a period:</w:t>
      </w:r>
    </w:p>
    <w:p>
      <w:pPr>
        <w:spacing w:after="0" w:line="211" w:lineRule="exact"/>
        <w:rPr>
          <w:rFonts w:ascii="Arial" w:cs="Arial" w:eastAsia="Arial" w:hAnsi="Arial"/>
          <w:sz w:val="19"/>
          <w:szCs w:val="19"/>
          <w:i w:val="1"/>
          <w:iCs w:val="1"/>
          <w:color w:val="auto"/>
        </w:rPr>
      </w:pPr>
    </w:p>
    <w:p>
      <w:pPr>
        <w:ind w:left="1240" w:hanging="386"/>
        <w:spacing w:after="0" w:line="249" w:lineRule="auto"/>
        <w:tabs>
          <w:tab w:leader="none" w:pos="1238" w:val="left"/>
        </w:tabs>
        <w:numPr>
          <w:ilvl w:val="1"/>
          <w:numId w:val="26"/>
        </w:numPr>
        <w:rPr>
          <w:rFonts w:ascii="Arial" w:cs="Arial" w:eastAsia="Arial" w:hAnsi="Arial"/>
          <w:sz w:val="19"/>
          <w:szCs w:val="19"/>
          <w:color w:val="auto"/>
        </w:rPr>
      </w:pPr>
      <w:r>
        <w:rPr>
          <w:rFonts w:ascii="Arial" w:cs="Arial" w:eastAsia="Arial" w:hAnsi="Arial"/>
          <w:sz w:val="19"/>
          <w:szCs w:val="19"/>
          <w:color w:val="auto"/>
        </w:rPr>
        <w:t>Franchise and other revenues which are earned primarily from franchise royalties and other non-food and beverage revenue streams, such as rental and sublease income;</w:t>
      </w:r>
    </w:p>
    <w:p>
      <w:pPr>
        <w:ind w:left="1240" w:hanging="386"/>
        <w:spacing w:after="0" w:line="247" w:lineRule="auto"/>
        <w:tabs>
          <w:tab w:leader="none" w:pos="1239" w:val="left"/>
        </w:tabs>
        <w:numPr>
          <w:ilvl w:val="1"/>
          <w:numId w:val="26"/>
        </w:numPr>
        <w:rPr>
          <w:rFonts w:ascii="Arial" w:cs="Arial" w:eastAsia="Arial" w:hAnsi="Arial"/>
          <w:sz w:val="19"/>
          <w:szCs w:val="19"/>
          <w:color w:val="auto"/>
        </w:rPr>
      </w:pPr>
      <w:r>
        <w:rPr>
          <w:rFonts w:ascii="Arial" w:cs="Arial" w:eastAsia="Arial" w:hAnsi="Arial"/>
          <w:sz w:val="19"/>
          <w:szCs w:val="19"/>
          <w:color w:val="auto"/>
        </w:rPr>
        <w:t>Depreciation and amortization which, although substantially all of which is related to restaurant-level assets, represent historical sunk costs rather than cash outlays for the restaurants;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ind w:left="1240" w:hanging="386"/>
        <w:spacing w:after="0" w:line="249" w:lineRule="auto"/>
        <w:tabs>
          <w:tab w:leader="none" w:pos="12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General and administrative expense which includes primarily non-restaurant-level costs associated with support of the restaurants and other activities at our corporate offices; and</w:t>
      </w:r>
    </w:p>
    <w:p>
      <w:pPr>
        <w:ind w:left="1220" w:hanging="366"/>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28"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color w:val="auto"/>
        </w:rPr>
        <w:t>Restaurant-level operating margin excludes various expenses, as discussed above, that are essential to support the operations of our restaurants and may materially impact our Consolidated Statements of Operations and Comprehensive Income. As a result, restaurant-level operating margin is not indicative of our consolidated results of operations and is presented exclusively as a supplement to, and not a substitute for, Net income or Income from operations. In addition, our presentation of restaurant-level operating margin may not be comparable to similarly titled measures used by other companies in our industry;</w:t>
      </w:r>
    </w:p>
    <w:p>
      <w:pPr>
        <w:spacing w:after="0" w:line="194" w:lineRule="exact"/>
        <w:rPr>
          <w:sz w:val="20"/>
          <w:szCs w:val="20"/>
          <w:color w:val="auto"/>
        </w:rPr>
      </w:pPr>
    </w:p>
    <w:p>
      <w:pPr>
        <w:ind w:left="620" w:hanging="307"/>
        <w:spacing w:after="0"/>
        <w:tabs>
          <w:tab w:leader="none" w:pos="62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Adjusted restaurant-level operating margin, Adjusted income from operations, Adjusted net income and Adjusted diluted earnings per share</w:t>
      </w:r>
    </w:p>
    <w:p>
      <w:pPr>
        <w:spacing w:after="0" w:line="39" w:lineRule="exact"/>
        <w:rPr>
          <w:rFonts w:ascii="Arial" w:cs="Arial" w:eastAsia="Arial" w:hAnsi="Arial"/>
          <w:sz w:val="17"/>
          <w:szCs w:val="17"/>
          <w:i w:val="1"/>
          <w:iCs w:val="1"/>
          <w:color w:val="auto"/>
        </w:rPr>
      </w:pPr>
    </w:p>
    <w:p>
      <w:pPr>
        <w:ind w:left="620"/>
        <w:spacing w:after="0"/>
        <w:rPr>
          <w:rFonts w:ascii="Arial" w:cs="Arial" w:eastAsia="Arial" w:hAnsi="Arial"/>
          <w:sz w:val="17"/>
          <w:szCs w:val="17"/>
          <w:i w:val="1"/>
          <w:iCs w:val="1"/>
          <w:color w:val="auto"/>
        </w:rPr>
      </w:pPr>
      <w:r>
        <w:rPr>
          <w:rFonts w:ascii="Arial" w:cs="Arial" w:eastAsia="Arial" w:hAnsi="Arial"/>
          <w:sz w:val="19"/>
          <w:szCs w:val="19"/>
          <w:color w:val="auto"/>
        </w:rPr>
        <w:t>— non-GAAP financial measures utilized to evaluate our operating performance.</w:t>
      </w:r>
    </w:p>
    <w:p>
      <w:pPr>
        <w:spacing w:after="0" w:line="204" w:lineRule="exact"/>
        <w:rPr>
          <w:sz w:val="20"/>
          <w:szCs w:val="20"/>
          <w:color w:val="auto"/>
        </w:rPr>
      </w:pPr>
    </w:p>
    <w:p>
      <w:pPr>
        <w:jc w:val="both"/>
        <w:ind w:left="620"/>
        <w:spacing w:after="0" w:line="278" w:lineRule="auto"/>
        <w:rPr>
          <w:sz w:val="20"/>
          <w:szCs w:val="20"/>
          <w:color w:val="auto"/>
        </w:rPr>
      </w:pPr>
      <w:r>
        <w:rPr>
          <w:rFonts w:ascii="Arial" w:cs="Arial" w:eastAsia="Arial" w:hAnsi="Arial"/>
          <w:sz w:val="17"/>
          <w:szCs w:val="17"/>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 plans.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Selected Operating Data</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presents the number of our full-service restaurants in operation as of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Number of restaurants (at end of the period):</w:t>
            </w:r>
          </w:p>
        </w:tc>
        <w:tc>
          <w:tcPr>
            <w:tcW w:w="198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27, 2022</w:t>
            </w:r>
          </w:p>
        </w:tc>
        <w:tc>
          <w:tcPr>
            <w:tcW w:w="1900" w:type="dxa"/>
            <w:vAlign w:val="bottom"/>
          </w:tcPr>
          <w:p>
            <w:pPr>
              <w:jc w:val="right"/>
              <w:ind w:right="343"/>
              <w:spacing w:after="0"/>
              <w:rPr>
                <w:sz w:val="20"/>
                <w:szCs w:val="20"/>
                <w:color w:val="auto"/>
              </w:rPr>
            </w:pPr>
            <w:r>
              <w:rPr>
                <w:rFonts w:ascii="Arial" w:cs="Arial" w:eastAsia="Arial" w:hAnsi="Arial"/>
                <w:sz w:val="14"/>
                <w:szCs w:val="14"/>
                <w:b w:val="1"/>
                <w:bCs w:val="1"/>
                <w:color w:val="auto"/>
              </w:rPr>
              <w:t>MARCH 28, 2021</w:t>
            </w:r>
          </w:p>
        </w:tc>
        <w:tc>
          <w:tcPr>
            <w:tcW w:w="0" w:type="dxa"/>
            <w:vAlign w:val="bottom"/>
          </w:tcPr>
          <w:p>
            <w:pPr>
              <w:spacing w:after="0"/>
              <w:rPr>
                <w:sz w:val="1"/>
                <w:szCs w:val="1"/>
                <w:color w:val="auto"/>
              </w:rPr>
            </w:pPr>
          </w:p>
        </w:tc>
      </w:tr>
      <w:tr>
        <w:trPr>
          <w:trHeight w:val="19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1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692</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Carrabba’s Italian Grill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Aussie Grill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Company-owned (1)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1"/>
        </w:trPr>
        <w:tc>
          <w:tcPr>
            <w:tcW w:w="73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U.S. 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1,164</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1,172</w:t>
            </w:r>
          </w:p>
        </w:tc>
        <w:tc>
          <w:tcPr>
            <w:tcW w:w="0" w:type="dxa"/>
            <w:vAlign w:val="bottom"/>
          </w:tcPr>
          <w:p>
            <w:pPr>
              <w:spacing w:after="0"/>
              <w:rPr>
                <w:sz w:val="1"/>
                <w:szCs w:val="1"/>
                <w:color w:val="auto"/>
              </w:rPr>
            </w:pPr>
          </w:p>
        </w:tc>
      </w:tr>
      <w:tr>
        <w:trPr>
          <w:trHeight w:val="193"/>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5"/>
                <w:szCs w:val="15"/>
                <w:color w:val="auto"/>
              </w:rPr>
              <w:t>Company-owned</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 - Brazil (2)</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3"/>
        </w:trPr>
        <w:tc>
          <w:tcPr>
            <w:tcW w:w="7360" w:type="dxa"/>
            <w:vAlign w:val="bottom"/>
          </w:tcPr>
          <w:p>
            <w:pPr>
              <w:ind w:left="220"/>
              <w:spacing w:after="0"/>
              <w:rPr>
                <w:sz w:val="20"/>
                <w:szCs w:val="20"/>
                <w:color w:val="auto"/>
              </w:rPr>
            </w:pPr>
            <w:r>
              <w:rPr>
                <w:rFonts w:ascii="Arial" w:cs="Arial" w:eastAsia="Arial" w:hAnsi="Arial"/>
                <w:sz w:val="15"/>
                <w:szCs w:val="15"/>
                <w:color w:val="auto"/>
              </w:rPr>
              <w:t>Other (1)(3)</w:t>
            </w:r>
          </w:p>
        </w:tc>
        <w:tc>
          <w:tcPr>
            <w:tcW w:w="188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20"/>
              <w:spacing w:after="0"/>
              <w:rPr>
                <w:sz w:val="20"/>
                <w:szCs w:val="20"/>
                <w:color w:val="auto"/>
              </w:rPr>
            </w:pPr>
            <w:r>
              <w:rPr>
                <w:rFonts w:ascii="Arial" w:cs="Arial" w:eastAsia="Arial" w:hAnsi="Arial"/>
                <w:sz w:val="15"/>
                <w:szCs w:val="15"/>
                <w:color w:val="auto"/>
              </w:rPr>
              <w:t>Outback Steakhouse - South Korea (1)</w:t>
            </w:r>
          </w:p>
        </w:tc>
        <w:tc>
          <w:tcPr>
            <w:tcW w:w="188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01"/>
        </w:trPr>
        <w:tc>
          <w:tcPr>
            <w:tcW w:w="73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International 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231"/>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System-wide 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1,450</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5"/>
                <w:szCs w:val="15"/>
                <w:color w:val="auto"/>
              </w:rPr>
              <w:t>System-wide total - Company-owned</w:t>
            </w: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360" w:type="dxa"/>
            <w:vAlign w:val="bottom"/>
            <w:vMerge w:val="continue"/>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1,163</w:t>
            </w:r>
          </w:p>
        </w:tc>
        <w:tc>
          <w:tcPr>
            <w:tcW w:w="1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1,156</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System-wide total - Franchised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Restaurant counts as of March 28, 2021 have been adjusted to exclude off-premises only locations included in the table below.</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February 28, 2022 and 2021, respectively, to correspond with the balance sheet dates of this subsidiary.</w:t>
      </w:r>
    </w:p>
    <w:p>
      <w:pPr>
        <w:spacing w:after="0" w:line="8" w:lineRule="exact"/>
        <w:rPr>
          <w:rFonts w:ascii="Arial" w:cs="Arial" w:eastAsia="Arial" w:hAnsi="Arial"/>
          <w:sz w:val="15"/>
          <w:szCs w:val="15"/>
          <w:color w:val="auto"/>
        </w:rPr>
      </w:pPr>
    </w:p>
    <w:p>
      <w:pPr>
        <w:ind w:left="620" w:hanging="617"/>
        <w:spacing w:after="0" w:line="266" w:lineRule="auto"/>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International Company-owned Other included two Aussie Grill locations as of March 27, 2022 and March 28, 2021. International Franchised Other included three Aussie Grill locations as of March 27, 2022 and March 28, 2021.</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presents the number of our off-premises only kitchens in operation as of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00" w:type="dxa"/>
            <w:vAlign w:val="bottom"/>
          </w:tcPr>
          <w:p>
            <w:pPr>
              <w:ind w:left="20"/>
              <w:spacing w:after="0"/>
              <w:rPr>
                <w:sz w:val="20"/>
                <w:szCs w:val="20"/>
                <w:color w:val="auto"/>
              </w:rPr>
            </w:pPr>
            <w:r>
              <w:rPr>
                <w:rFonts w:ascii="Arial" w:cs="Arial" w:eastAsia="Arial" w:hAnsi="Arial"/>
                <w:sz w:val="15"/>
                <w:szCs w:val="15"/>
                <w:b w:val="1"/>
                <w:bCs w:val="1"/>
                <w:color w:val="auto"/>
              </w:rPr>
              <w:t>Number of kitchens (at end of the period) (1):</w:t>
            </w:r>
          </w:p>
        </w:tc>
        <w:tc>
          <w:tcPr>
            <w:tcW w:w="202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27, 2022</w:t>
            </w:r>
          </w:p>
        </w:tc>
        <w:tc>
          <w:tcPr>
            <w:tcW w:w="1920" w:type="dxa"/>
            <w:vAlign w:val="bottom"/>
          </w:tcPr>
          <w:p>
            <w:pPr>
              <w:jc w:val="right"/>
              <w:ind w:right="364"/>
              <w:spacing w:after="0"/>
              <w:rPr>
                <w:sz w:val="20"/>
                <w:szCs w:val="20"/>
                <w:color w:val="auto"/>
              </w:rPr>
            </w:pPr>
            <w:r>
              <w:rPr>
                <w:rFonts w:ascii="Arial" w:cs="Arial" w:eastAsia="Arial" w:hAnsi="Arial"/>
                <w:sz w:val="14"/>
                <w:szCs w:val="14"/>
                <w:b w:val="1"/>
                <w:bCs w:val="1"/>
                <w:color w:val="auto"/>
              </w:rPr>
              <w:t>MARCH 28, 2021</w:t>
            </w:r>
          </w:p>
        </w:tc>
      </w:tr>
      <w:tr>
        <w:trPr>
          <w:trHeight w:val="193"/>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1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r>
      <w:tr>
        <w:trPr>
          <w:trHeight w:val="203"/>
        </w:trPr>
        <w:tc>
          <w:tcPr>
            <w:tcW w:w="7300" w:type="dxa"/>
            <w:vAlign w:val="bottom"/>
          </w:tcPr>
          <w:p>
            <w:pPr>
              <w:ind w:left="140"/>
              <w:spacing w:after="0"/>
              <w:rPr>
                <w:sz w:val="20"/>
                <w:szCs w:val="20"/>
                <w:color w:val="auto"/>
              </w:rPr>
            </w:pPr>
            <w:r>
              <w:rPr>
                <w:rFonts w:ascii="Arial" w:cs="Arial" w:eastAsia="Arial" w:hAnsi="Arial"/>
                <w:sz w:val="15"/>
                <w:szCs w:val="15"/>
                <w:color w:val="auto"/>
              </w:rPr>
              <w:t>Company-owned</w:t>
            </w:r>
          </w:p>
        </w:tc>
        <w:tc>
          <w:tcPr>
            <w:tcW w:w="19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9"/>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03"/>
        </w:trPr>
        <w:tc>
          <w:tcPr>
            <w:tcW w:w="7300" w:type="dxa"/>
            <w:vAlign w:val="bottom"/>
          </w:tcPr>
          <w:p>
            <w:pPr>
              <w:ind w:left="140"/>
              <w:spacing w:after="0"/>
              <w:rPr>
                <w:sz w:val="20"/>
                <w:szCs w:val="20"/>
                <w:color w:val="auto"/>
              </w:rPr>
            </w:pPr>
            <w:r>
              <w:rPr>
                <w:rFonts w:ascii="Arial" w:cs="Arial" w:eastAsia="Arial" w:hAnsi="Arial"/>
                <w:sz w:val="15"/>
                <w:szCs w:val="15"/>
                <w:color w:val="auto"/>
              </w:rPr>
              <w:t>Company-owned</w:t>
            </w:r>
          </w:p>
        </w:tc>
        <w:tc>
          <w:tcPr>
            <w:tcW w:w="19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6"/>
        </w:trPr>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Franchised - South Korea</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r>
      <w:tr>
        <w:trPr>
          <w:trHeight w:val="189"/>
        </w:trPr>
        <w:tc>
          <w:tcPr>
            <w:tcW w:w="7300" w:type="dxa"/>
            <w:vAlign w:val="bottom"/>
          </w:tcPr>
          <w:p>
            <w:pPr>
              <w:ind w:left="20"/>
              <w:spacing w:after="0"/>
              <w:rPr>
                <w:sz w:val="20"/>
                <w:szCs w:val="20"/>
                <w:color w:val="auto"/>
              </w:rPr>
            </w:pPr>
            <w:r>
              <w:rPr>
                <w:rFonts w:ascii="Arial" w:cs="Arial" w:eastAsia="Arial" w:hAnsi="Arial"/>
                <w:sz w:val="15"/>
                <w:szCs w:val="15"/>
                <w:color w:val="auto"/>
              </w:rPr>
              <w:t>System-wide 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r>
      <w:tr>
        <w:trPr>
          <w:trHeight w:val="21"/>
        </w:trPr>
        <w:tc>
          <w:tcPr>
            <w:tcW w:w="73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Excludes virtual concepts that operate out of existing restaurants and sports venue locations.</w:t>
      </w:r>
    </w:p>
    <w:p>
      <w:pPr>
        <w:spacing w:after="0" w:line="200" w:lineRule="exact"/>
        <w:rPr>
          <w:rFonts w:ascii="Arial" w:cs="Arial" w:eastAsia="Arial" w:hAnsi="Arial"/>
          <w:sz w:val="15"/>
          <w:szCs w:val="15"/>
          <w:color w:val="auto"/>
        </w:rPr>
      </w:pPr>
    </w:p>
    <w:p>
      <w:pPr>
        <w:spacing w:after="0" w:line="358"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percentages of certain items in our Consolidated Statements of Operations in relation to Total revenues or</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Restaurant sales, for the periods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324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000" w:type="dxa"/>
            <w:vAlign w:val="bottom"/>
          </w:tcPr>
          <w:p>
            <w:pPr>
              <w:spacing w:after="0"/>
              <w:rPr>
                <w:sz w:val="16"/>
                <w:szCs w:val="16"/>
                <w:color w:val="auto"/>
              </w:rPr>
            </w:pP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27, 2022</w:t>
            </w:r>
          </w:p>
        </w:tc>
        <w:tc>
          <w:tcPr>
            <w:tcW w:w="1560" w:type="dxa"/>
            <w:vAlign w:val="bottom"/>
          </w:tcPr>
          <w:p>
            <w:pPr>
              <w:jc w:val="right"/>
              <w:ind w:right="183"/>
              <w:spacing w:after="0"/>
              <w:rPr>
                <w:sz w:val="20"/>
                <w:szCs w:val="20"/>
                <w:color w:val="auto"/>
              </w:rPr>
            </w:pPr>
            <w:r>
              <w:rPr>
                <w:rFonts w:ascii="Arial" w:cs="Arial" w:eastAsia="Arial" w:hAnsi="Arial"/>
                <w:sz w:val="14"/>
                <w:szCs w:val="14"/>
                <w:b w:val="1"/>
                <w:bCs w:val="1"/>
                <w:color w:val="auto"/>
              </w:rPr>
              <w:t>MARCH 28, 2021</w:t>
            </w:r>
          </w:p>
        </w:tc>
      </w:tr>
      <w:tr>
        <w:trPr>
          <w:trHeight w:val="206"/>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03"/>
        </w:trPr>
        <w:tc>
          <w:tcPr>
            <w:tcW w:w="800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1560" w:type="dxa"/>
            <w:vAlign w:val="bottom"/>
          </w:tcPr>
          <w:p>
            <w:pPr>
              <w:jc w:val="right"/>
              <w:spacing w:after="0"/>
              <w:rPr>
                <w:sz w:val="20"/>
                <w:szCs w:val="20"/>
                <w:color w:val="auto"/>
              </w:rPr>
            </w:pPr>
            <w:r>
              <w:rPr>
                <w:rFonts w:ascii="Arial" w:cs="Arial" w:eastAsia="Arial" w:hAnsi="Arial"/>
                <w:sz w:val="15"/>
                <w:szCs w:val="15"/>
                <w:color w:val="auto"/>
              </w:rPr>
              <w:t>98.5 %</w:t>
            </w: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99.2 %</w:t>
            </w:r>
          </w:p>
        </w:tc>
      </w:tr>
      <w:tr>
        <w:trPr>
          <w:trHeight w:val="229"/>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15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0.8</w:t>
            </w:r>
          </w:p>
        </w:tc>
      </w:tr>
      <w:tr>
        <w:trPr>
          <w:trHeight w:val="189"/>
        </w:trPr>
        <w:tc>
          <w:tcPr>
            <w:tcW w:w="8000" w:type="dxa"/>
            <w:vAlign w:val="bottom"/>
          </w:tcPr>
          <w:p>
            <w:pPr>
              <w:ind w:left="760"/>
              <w:spacing w:after="0"/>
              <w:rPr>
                <w:sz w:val="20"/>
                <w:szCs w:val="20"/>
                <w:color w:val="auto"/>
              </w:rPr>
            </w:pPr>
            <w:r>
              <w:rPr>
                <w:rFonts w:ascii="Arial" w:cs="Arial" w:eastAsia="Arial" w:hAnsi="Arial"/>
                <w:sz w:val="15"/>
                <w:szCs w:val="15"/>
                <w:color w:val="auto"/>
              </w:rPr>
              <w:t>Total revenues</w:t>
            </w:r>
          </w:p>
        </w:tc>
        <w:tc>
          <w:tcPr>
            <w:tcW w:w="1560" w:type="dxa"/>
            <w:vAlign w:val="bottom"/>
          </w:tcPr>
          <w:p>
            <w:pPr>
              <w:jc w:val="right"/>
              <w:ind w:right="104"/>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16"/>
                <w:szCs w:val="16"/>
                <w:color w:val="auto"/>
              </w:rPr>
            </w:pPr>
          </w:p>
        </w:tc>
        <w:tc>
          <w:tcPr>
            <w:tcW w:w="1560" w:type="dxa"/>
            <w:vAlign w:val="bottom"/>
          </w:tcPr>
          <w:p>
            <w:pPr>
              <w:jc w:val="right"/>
              <w:ind w:right="103"/>
              <w:spacing w:after="0"/>
              <w:rPr>
                <w:sz w:val="20"/>
                <w:szCs w:val="20"/>
                <w:color w:val="auto"/>
              </w:rPr>
            </w:pPr>
            <w:r>
              <w:rPr>
                <w:rFonts w:ascii="Arial" w:cs="Arial" w:eastAsia="Arial" w:hAnsi="Arial"/>
                <w:sz w:val="15"/>
                <w:szCs w:val="15"/>
                <w:color w:val="auto"/>
              </w:rPr>
              <w:t>100.0</w:t>
            </w:r>
          </w:p>
        </w:tc>
      </w:tr>
      <w:tr>
        <w:trPr>
          <w:trHeight w:val="209"/>
        </w:trPr>
        <w:tc>
          <w:tcPr>
            <w:tcW w:w="8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3"/>
        </w:trPr>
        <w:tc>
          <w:tcPr>
            <w:tcW w:w="8000" w:type="dxa"/>
            <w:vAlign w:val="bottom"/>
          </w:tcPr>
          <w:p>
            <w:pPr>
              <w:ind w:left="140"/>
              <w:spacing w:after="0"/>
              <w:rPr>
                <w:sz w:val="20"/>
                <w:szCs w:val="20"/>
                <w:color w:val="auto"/>
              </w:rPr>
            </w:pPr>
            <w:r>
              <w:rPr>
                <w:rFonts w:ascii="Arial" w:cs="Arial" w:eastAsia="Arial" w:hAnsi="Arial"/>
                <w:sz w:val="15"/>
                <w:szCs w:val="15"/>
                <w:color w:val="auto"/>
              </w:rPr>
              <w:t>Food and beverage costs (1)</w:t>
            </w:r>
          </w:p>
        </w:tc>
        <w:tc>
          <w:tcPr>
            <w:tcW w:w="1560" w:type="dxa"/>
            <w:vAlign w:val="bottom"/>
          </w:tcPr>
          <w:p>
            <w:pPr>
              <w:jc w:val="right"/>
              <w:ind w:right="104"/>
              <w:spacing w:after="0"/>
              <w:rPr>
                <w:sz w:val="20"/>
                <w:szCs w:val="20"/>
                <w:color w:val="auto"/>
              </w:rPr>
            </w:pPr>
            <w:r>
              <w:rPr>
                <w:rFonts w:ascii="Arial" w:cs="Arial" w:eastAsia="Arial" w:hAnsi="Arial"/>
                <w:sz w:val="15"/>
                <w:szCs w:val="15"/>
                <w:color w:val="auto"/>
              </w:rPr>
              <w:t>32.0</w:t>
            </w:r>
          </w:p>
        </w:tc>
        <w:tc>
          <w:tcPr>
            <w:tcW w:w="120" w:type="dxa"/>
            <w:vAlign w:val="bottom"/>
          </w:tcPr>
          <w:p>
            <w:pPr>
              <w:spacing w:after="0"/>
              <w:rPr>
                <w:sz w:val="17"/>
                <w:szCs w:val="17"/>
                <w:color w:val="auto"/>
              </w:rPr>
            </w:pPr>
          </w:p>
        </w:tc>
        <w:tc>
          <w:tcPr>
            <w:tcW w:w="1560" w:type="dxa"/>
            <w:vAlign w:val="bottom"/>
          </w:tcPr>
          <w:p>
            <w:pPr>
              <w:jc w:val="right"/>
              <w:ind w:right="103"/>
              <w:spacing w:after="0"/>
              <w:rPr>
                <w:sz w:val="20"/>
                <w:szCs w:val="20"/>
                <w:color w:val="auto"/>
              </w:rPr>
            </w:pPr>
            <w:r>
              <w:rPr>
                <w:rFonts w:ascii="Arial" w:cs="Arial" w:eastAsia="Arial" w:hAnsi="Arial"/>
                <w:sz w:val="15"/>
                <w:szCs w:val="15"/>
                <w:color w:val="auto"/>
              </w:rPr>
              <w:t>29.8</w:t>
            </w:r>
          </w:p>
        </w:tc>
      </w:tr>
      <w:tr>
        <w:trPr>
          <w:trHeight w:val="209"/>
        </w:trPr>
        <w:tc>
          <w:tcPr>
            <w:tcW w:w="8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Labor and other related (1)</w:t>
            </w:r>
          </w:p>
        </w:tc>
        <w:tc>
          <w:tcPr>
            <w:tcW w:w="15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27.8</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28.0</w:t>
            </w:r>
          </w:p>
        </w:tc>
      </w:tr>
      <w:tr>
        <w:trPr>
          <w:trHeight w:val="203"/>
        </w:trPr>
        <w:tc>
          <w:tcPr>
            <w:tcW w:w="8000" w:type="dxa"/>
            <w:vAlign w:val="bottom"/>
          </w:tcPr>
          <w:p>
            <w:pPr>
              <w:ind w:left="140"/>
              <w:spacing w:after="0"/>
              <w:rPr>
                <w:sz w:val="20"/>
                <w:szCs w:val="20"/>
                <w:color w:val="auto"/>
              </w:rPr>
            </w:pPr>
            <w:r>
              <w:rPr>
                <w:rFonts w:ascii="Arial" w:cs="Arial" w:eastAsia="Arial" w:hAnsi="Arial"/>
                <w:sz w:val="15"/>
                <w:szCs w:val="15"/>
                <w:color w:val="auto"/>
              </w:rPr>
              <w:t>Other restaurant operating (1)</w:t>
            </w:r>
          </w:p>
        </w:tc>
        <w:tc>
          <w:tcPr>
            <w:tcW w:w="1560" w:type="dxa"/>
            <w:vAlign w:val="bottom"/>
          </w:tcPr>
          <w:p>
            <w:pPr>
              <w:jc w:val="right"/>
              <w:ind w:right="104"/>
              <w:spacing w:after="0"/>
              <w:rPr>
                <w:sz w:val="20"/>
                <w:szCs w:val="20"/>
                <w:color w:val="auto"/>
              </w:rPr>
            </w:pPr>
            <w:r>
              <w:rPr>
                <w:rFonts w:ascii="Arial" w:cs="Arial" w:eastAsia="Arial" w:hAnsi="Arial"/>
                <w:sz w:val="15"/>
                <w:szCs w:val="15"/>
                <w:color w:val="auto"/>
              </w:rPr>
              <w:t>23.1</w:t>
            </w:r>
          </w:p>
        </w:tc>
        <w:tc>
          <w:tcPr>
            <w:tcW w:w="120" w:type="dxa"/>
            <w:vAlign w:val="bottom"/>
          </w:tcPr>
          <w:p>
            <w:pPr>
              <w:spacing w:after="0"/>
              <w:rPr>
                <w:sz w:val="17"/>
                <w:szCs w:val="17"/>
                <w:color w:val="auto"/>
              </w:rPr>
            </w:pPr>
          </w:p>
        </w:tc>
        <w:tc>
          <w:tcPr>
            <w:tcW w:w="1560" w:type="dxa"/>
            <w:vAlign w:val="bottom"/>
          </w:tcPr>
          <w:p>
            <w:pPr>
              <w:jc w:val="right"/>
              <w:ind w:right="103"/>
              <w:spacing w:after="0"/>
              <w:rPr>
                <w:sz w:val="20"/>
                <w:szCs w:val="20"/>
                <w:color w:val="auto"/>
              </w:rPr>
            </w:pPr>
            <w:r>
              <w:rPr>
                <w:rFonts w:ascii="Arial" w:cs="Arial" w:eastAsia="Arial" w:hAnsi="Arial"/>
                <w:sz w:val="15"/>
                <w:szCs w:val="15"/>
                <w:color w:val="auto"/>
              </w:rPr>
              <w:t>23.4</w:t>
            </w:r>
          </w:p>
        </w:tc>
      </w:tr>
      <w:tr>
        <w:trPr>
          <w:trHeight w:val="209"/>
        </w:trPr>
        <w:tc>
          <w:tcPr>
            <w:tcW w:w="8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15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3.7</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4.2</w:t>
            </w:r>
          </w:p>
        </w:tc>
      </w:tr>
      <w:tr>
        <w:trPr>
          <w:trHeight w:val="203"/>
        </w:trPr>
        <w:tc>
          <w:tcPr>
            <w:tcW w:w="800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1560" w:type="dxa"/>
            <w:vAlign w:val="bottom"/>
          </w:tcPr>
          <w:p>
            <w:pPr>
              <w:jc w:val="right"/>
              <w:ind w:right="104"/>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17"/>
                <w:szCs w:val="17"/>
                <w:color w:val="auto"/>
              </w:rPr>
            </w:pPr>
          </w:p>
        </w:tc>
        <w:tc>
          <w:tcPr>
            <w:tcW w:w="1560" w:type="dxa"/>
            <w:vAlign w:val="bottom"/>
          </w:tcPr>
          <w:p>
            <w:pPr>
              <w:jc w:val="right"/>
              <w:ind w:right="103"/>
              <w:spacing w:after="0"/>
              <w:rPr>
                <w:sz w:val="20"/>
                <w:szCs w:val="20"/>
                <w:color w:val="auto"/>
              </w:rPr>
            </w:pPr>
            <w:r>
              <w:rPr>
                <w:rFonts w:ascii="Arial" w:cs="Arial" w:eastAsia="Arial" w:hAnsi="Arial"/>
                <w:sz w:val="15"/>
                <w:szCs w:val="15"/>
                <w:color w:val="auto"/>
              </w:rPr>
              <w:t>5.8</w:t>
            </w:r>
          </w:p>
        </w:tc>
      </w:tr>
      <w:tr>
        <w:trPr>
          <w:trHeight w:val="202"/>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15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0.2</w:t>
            </w:r>
          </w:p>
        </w:tc>
      </w:tr>
      <w:tr>
        <w:trPr>
          <w:trHeight w:val="212"/>
        </w:trPr>
        <w:tc>
          <w:tcPr>
            <w:tcW w:w="800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costs and expenses</w:t>
            </w:r>
          </w:p>
        </w:tc>
        <w:tc>
          <w:tcPr>
            <w:tcW w:w="15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90.6</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90.8</w:t>
            </w:r>
          </w:p>
        </w:tc>
      </w:tr>
      <w:tr>
        <w:trPr>
          <w:trHeight w:val="206"/>
        </w:trPr>
        <w:tc>
          <w:tcPr>
            <w:tcW w:w="8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15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9.4</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9.2</w:t>
            </w:r>
          </w:p>
        </w:tc>
      </w:tr>
      <w:tr>
        <w:trPr>
          <w:trHeight w:val="203"/>
        </w:trPr>
        <w:tc>
          <w:tcPr>
            <w:tcW w:w="8000" w:type="dxa"/>
            <w:vAlign w:val="bottom"/>
          </w:tcPr>
          <w:p>
            <w:pPr>
              <w:ind w:left="20"/>
              <w:spacing w:after="0"/>
              <w:rPr>
                <w:sz w:val="20"/>
                <w:szCs w:val="20"/>
                <w:color w:val="auto"/>
              </w:rPr>
            </w:pPr>
            <w:r>
              <w:rPr>
                <w:rFonts w:ascii="Arial" w:cs="Arial" w:eastAsia="Arial" w:hAnsi="Arial"/>
                <w:sz w:val="15"/>
                <w:szCs w:val="15"/>
                <w:color w:val="auto"/>
              </w:rPr>
              <w:t>Other income, net</w:t>
            </w: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15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(1.5)</w:t>
            </w:r>
          </w:p>
        </w:tc>
      </w:tr>
      <w:tr>
        <w:trPr>
          <w:trHeight w:val="189"/>
        </w:trPr>
        <w:tc>
          <w:tcPr>
            <w:tcW w:w="8000" w:type="dxa"/>
            <w:vAlign w:val="bottom"/>
          </w:tcPr>
          <w:p>
            <w:pPr>
              <w:ind w:left="20"/>
              <w:spacing w:after="0"/>
              <w:rPr>
                <w:sz w:val="20"/>
                <w:szCs w:val="20"/>
                <w:color w:val="auto"/>
              </w:rPr>
            </w:pPr>
            <w:r>
              <w:rPr>
                <w:rFonts w:ascii="Arial" w:cs="Arial" w:eastAsia="Arial" w:hAnsi="Arial"/>
                <w:sz w:val="15"/>
                <w:szCs w:val="15"/>
                <w:color w:val="auto"/>
              </w:rPr>
              <w:t>Income before provision for income taxes</w:t>
            </w:r>
          </w:p>
        </w:tc>
        <w:tc>
          <w:tcPr>
            <w:tcW w:w="1560" w:type="dxa"/>
            <w:vAlign w:val="bottom"/>
          </w:tcPr>
          <w:p>
            <w:pPr>
              <w:jc w:val="right"/>
              <w:ind w:right="104"/>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16"/>
                <w:szCs w:val="16"/>
                <w:color w:val="auto"/>
              </w:rPr>
            </w:pPr>
          </w:p>
        </w:tc>
        <w:tc>
          <w:tcPr>
            <w:tcW w:w="1560" w:type="dxa"/>
            <w:vAlign w:val="bottom"/>
          </w:tcPr>
          <w:p>
            <w:pPr>
              <w:jc w:val="right"/>
              <w:ind w:right="103"/>
              <w:spacing w:after="0"/>
              <w:rPr>
                <w:sz w:val="20"/>
                <w:szCs w:val="20"/>
                <w:color w:val="auto"/>
              </w:rPr>
            </w:pPr>
            <w:r>
              <w:rPr>
                <w:rFonts w:ascii="Arial" w:cs="Arial" w:eastAsia="Arial" w:hAnsi="Arial"/>
                <w:sz w:val="15"/>
                <w:szCs w:val="15"/>
                <w:color w:val="auto"/>
              </w:rPr>
              <w:t>7.7</w:t>
            </w: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5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0.6</w:t>
            </w:r>
          </w:p>
        </w:tc>
      </w:tr>
      <w:tr>
        <w:trPr>
          <w:trHeight w:val="189"/>
        </w:trPr>
        <w:tc>
          <w:tcPr>
            <w:tcW w:w="800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560" w:type="dxa"/>
            <w:vAlign w:val="bottom"/>
          </w:tcPr>
          <w:p>
            <w:pPr>
              <w:jc w:val="right"/>
              <w:ind w:right="104"/>
              <w:spacing w:after="0"/>
              <w:rPr>
                <w:sz w:val="20"/>
                <w:szCs w:val="20"/>
                <w:color w:val="auto"/>
              </w:rPr>
            </w:pPr>
            <w:r>
              <w:rPr>
                <w:rFonts w:ascii="Arial" w:cs="Arial" w:eastAsia="Arial" w:hAnsi="Arial"/>
                <w:sz w:val="15"/>
                <w:szCs w:val="15"/>
                <w:color w:val="auto"/>
              </w:rPr>
              <w:t>6.8</w:t>
            </w:r>
          </w:p>
        </w:tc>
        <w:tc>
          <w:tcPr>
            <w:tcW w:w="120" w:type="dxa"/>
            <w:vAlign w:val="bottom"/>
          </w:tcPr>
          <w:p>
            <w:pPr>
              <w:spacing w:after="0"/>
              <w:rPr>
                <w:sz w:val="16"/>
                <w:szCs w:val="16"/>
                <w:color w:val="auto"/>
              </w:rPr>
            </w:pPr>
          </w:p>
        </w:tc>
        <w:tc>
          <w:tcPr>
            <w:tcW w:w="1560" w:type="dxa"/>
            <w:vAlign w:val="bottom"/>
          </w:tcPr>
          <w:p>
            <w:pPr>
              <w:jc w:val="right"/>
              <w:ind w:right="103"/>
              <w:spacing w:after="0"/>
              <w:rPr>
                <w:sz w:val="20"/>
                <w:szCs w:val="20"/>
                <w:color w:val="auto"/>
              </w:rPr>
            </w:pPr>
            <w:r>
              <w:rPr>
                <w:rFonts w:ascii="Arial" w:cs="Arial" w:eastAsia="Arial" w:hAnsi="Arial"/>
                <w:sz w:val="15"/>
                <w:szCs w:val="15"/>
                <w:color w:val="auto"/>
              </w:rPr>
              <w:t>7.1</w:t>
            </w:r>
          </w:p>
        </w:tc>
      </w:tr>
      <w:tr>
        <w:trPr>
          <w:trHeight w:val="215"/>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Less: net income attributable to noncontrolling interests</w:t>
            </w:r>
          </w:p>
        </w:tc>
        <w:tc>
          <w:tcPr>
            <w:tcW w:w="15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0.2</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0.1</w:t>
            </w:r>
          </w:p>
        </w:tc>
      </w:tr>
      <w:tr>
        <w:trPr>
          <w:trHeight w:val="206"/>
        </w:trPr>
        <w:tc>
          <w:tcPr>
            <w:tcW w:w="8000" w:type="dxa"/>
            <w:vAlign w:val="bottom"/>
          </w:tcPr>
          <w:p>
            <w:pPr>
              <w:ind w:left="20"/>
              <w:spacing w:after="0"/>
              <w:rPr>
                <w:sz w:val="20"/>
                <w:szCs w:val="20"/>
                <w:color w:val="auto"/>
              </w:rPr>
            </w:pPr>
            <w:r>
              <w:rPr>
                <w:rFonts w:ascii="Arial" w:cs="Arial" w:eastAsia="Arial" w:hAnsi="Arial"/>
                <w:sz w:val="15"/>
                <w:szCs w:val="15"/>
                <w:color w:val="auto"/>
              </w:rPr>
              <w:t>Net income attributable to Bloomin’ Brands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6.6 %</w:t>
            </w:r>
          </w:p>
        </w:tc>
        <w:tc>
          <w:tcPr>
            <w:tcW w:w="12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7.0 %</w:t>
            </w:r>
          </w:p>
        </w:tc>
      </w:tr>
      <w:tr>
        <w:trPr>
          <w:trHeight w:val="20"/>
        </w:trPr>
        <w:tc>
          <w:tcPr>
            <w:tcW w:w="8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w:t>
      </w:r>
    </w:p>
    <w:p>
      <w:pPr>
        <w:spacing w:after="0" w:line="16" w:lineRule="exact"/>
        <w:rPr>
          <w:sz w:val="20"/>
          <w:szCs w:val="20"/>
          <w:color w:val="auto"/>
        </w:rPr>
      </w:pPr>
    </w:p>
    <w:p>
      <w:pPr>
        <w:ind w:left="620" w:hanging="617"/>
        <w:spacing w:after="0"/>
        <w:tabs>
          <w:tab w:leader="none" w:pos="6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As a percentage of Restaurant sales.</w:t>
      </w:r>
    </w:p>
    <w:p>
      <w:pPr>
        <w:ind w:left="620" w:hanging="61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Less than 1/10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of one percent of Total revenues.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REVENUES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Restaurant sales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Restaurant sales for the period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THIRTEEN WEEKS ENDED</w:t>
            </w:r>
          </w:p>
        </w:tc>
      </w:tr>
      <w:tr>
        <w:trPr>
          <w:trHeight w:val="206"/>
        </w:trPr>
        <w:tc>
          <w:tcPr>
            <w:tcW w:w="8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 the period ended March 28, 2021</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979.5</w:t>
            </w:r>
          </w:p>
        </w:tc>
      </w:tr>
      <w:tr>
        <w:trPr>
          <w:trHeight w:val="203"/>
        </w:trPr>
        <w:tc>
          <w:tcPr>
            <w:tcW w:w="858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9"/>
        </w:trPr>
        <w:tc>
          <w:tcPr>
            <w:tcW w:w="8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Comparable restaurant sales</w:t>
            </w:r>
          </w:p>
        </w:tc>
        <w:tc>
          <w:tcPr>
            <w:tcW w:w="26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142.0</w:t>
            </w:r>
          </w:p>
        </w:tc>
      </w:tr>
      <w:tr>
        <w:trPr>
          <w:trHeight w:val="203"/>
        </w:trPr>
        <w:tc>
          <w:tcPr>
            <w:tcW w:w="8580" w:type="dxa"/>
            <w:vAlign w:val="bottom"/>
          </w:tcPr>
          <w:p>
            <w:pPr>
              <w:ind w:left="320"/>
              <w:spacing w:after="0"/>
              <w:rPr>
                <w:sz w:val="20"/>
                <w:szCs w:val="20"/>
                <w:color w:val="auto"/>
              </w:rPr>
            </w:pPr>
            <w:r>
              <w:rPr>
                <w:rFonts w:ascii="Arial" w:cs="Arial" w:eastAsia="Arial" w:hAnsi="Arial"/>
                <w:sz w:val="15"/>
                <w:szCs w:val="15"/>
                <w:color w:val="auto"/>
              </w:rPr>
              <w:t>Restaurant openings</w:t>
            </w:r>
          </w:p>
        </w:tc>
        <w:tc>
          <w:tcPr>
            <w:tcW w:w="260" w:type="dxa"/>
            <w:vAlign w:val="bottom"/>
          </w:tcPr>
          <w:p>
            <w:pPr>
              <w:spacing w:after="0"/>
              <w:rPr>
                <w:sz w:val="17"/>
                <w:szCs w:val="17"/>
                <w:color w:val="auto"/>
              </w:rPr>
            </w:pPr>
          </w:p>
        </w:tc>
        <w:tc>
          <w:tcPr>
            <w:tcW w:w="2400" w:type="dxa"/>
            <w:vAlign w:val="bottom"/>
          </w:tcPr>
          <w:p>
            <w:pPr>
              <w:jc w:val="right"/>
              <w:ind w:right="4"/>
              <w:spacing w:after="0"/>
              <w:rPr>
                <w:sz w:val="20"/>
                <w:szCs w:val="20"/>
                <w:color w:val="auto"/>
              </w:rPr>
            </w:pPr>
            <w:r>
              <w:rPr>
                <w:rFonts w:ascii="Arial" w:cs="Arial" w:eastAsia="Arial" w:hAnsi="Arial"/>
                <w:sz w:val="15"/>
                <w:szCs w:val="15"/>
                <w:color w:val="auto"/>
              </w:rPr>
              <w:t>12.4</w:t>
            </w:r>
          </w:p>
        </w:tc>
      </w:tr>
      <w:tr>
        <w:trPr>
          <w:trHeight w:val="209"/>
        </w:trPr>
        <w:tc>
          <w:tcPr>
            <w:tcW w:w="8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Restaurant closures</w:t>
            </w:r>
          </w:p>
        </w:tc>
        <w:tc>
          <w:tcPr>
            <w:tcW w:w="26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r>
      <w:tr>
        <w:trPr>
          <w:trHeight w:val="199"/>
        </w:trPr>
        <w:tc>
          <w:tcPr>
            <w:tcW w:w="85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Effect of foreign currency translation</w:t>
            </w:r>
          </w:p>
        </w:tc>
        <w:tc>
          <w:tcPr>
            <w:tcW w:w="2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r>
      <w:tr>
        <w:trPr>
          <w:trHeight w:val="231"/>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 ended March 27, 2022</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1,123.6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increase in Restaurant sales during the thirteen weeks ended March 27, 2022 was primarily due to: (i) higher comparable restaurant sales primarily attributable to increases in average check per person and (ii) the opening of 37</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new restaurants not included in our comparable restaurant sales base. The increase in Restaurant sales was partially offset by the closure of 17 restaurants since December 27, 2020.</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Average Restaurant Unit Volumes and Operating Weeks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average restaurant unit volumes and operating weeks,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6"/>
                <w:szCs w:val="16"/>
                <w:color w:val="auto"/>
              </w:rPr>
            </w:pPr>
          </w:p>
        </w:tc>
        <w:tc>
          <w:tcPr>
            <w:tcW w:w="1300" w:type="dxa"/>
            <w:vAlign w:val="bottom"/>
          </w:tcPr>
          <w:p>
            <w:pPr>
              <w:jc w:val="right"/>
              <w:ind w:right="123"/>
              <w:spacing w:after="0"/>
              <w:rPr>
                <w:sz w:val="20"/>
                <w:szCs w:val="20"/>
                <w:color w:val="auto"/>
              </w:rPr>
            </w:pPr>
            <w:r>
              <w:rPr>
                <w:rFonts w:ascii="Arial" w:cs="Arial" w:eastAsia="Arial" w:hAnsi="Arial"/>
                <w:sz w:val="14"/>
                <w:szCs w:val="14"/>
                <w:b w:val="1"/>
                <w:bCs w:val="1"/>
                <w:color w:val="auto"/>
                <w:w w:val="97"/>
              </w:rPr>
              <w:t>MARCH 28, 2021</w:t>
            </w:r>
          </w:p>
        </w:tc>
      </w:tr>
      <w:tr>
        <w:trPr>
          <w:trHeight w:val="19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Average restaurant unit volumes (weekly):</w:t>
            </w: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03"/>
        </w:trPr>
        <w:tc>
          <w:tcPr>
            <w:tcW w:w="8220" w:type="dxa"/>
            <w:vAlign w:val="bottom"/>
          </w:tcPr>
          <w:p>
            <w:pPr>
              <w:ind w:left="140"/>
              <w:spacing w:after="0"/>
              <w:rPr>
                <w:sz w:val="20"/>
                <w:szCs w:val="20"/>
                <w:color w:val="auto"/>
              </w:rPr>
            </w:pPr>
            <w:r>
              <w:rPr>
                <w:rFonts w:ascii="Arial" w:cs="Arial" w:eastAsia="Arial" w:hAnsi="Arial"/>
                <w:sz w:val="15"/>
                <w:szCs w:val="15"/>
                <w:color w:val="auto"/>
              </w:rPr>
              <w:t>U.S.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73,433</w:t>
            </w:r>
          </w:p>
        </w:tc>
      </w:tr>
      <w:tr>
        <w:trPr>
          <w:trHeight w:val="203"/>
        </w:trPr>
        <w:tc>
          <w:tcPr>
            <w:tcW w:w="8220" w:type="dxa"/>
            <w:vAlign w:val="bottom"/>
          </w:tcPr>
          <w:p>
            <w:pPr>
              <w:ind w:left="220"/>
              <w:spacing w:after="0"/>
              <w:rPr>
                <w:sz w:val="20"/>
                <w:szCs w:val="20"/>
                <w:color w:val="auto"/>
              </w:rPr>
            </w:pPr>
            <w:r>
              <w:rPr>
                <w:rFonts w:ascii="Arial" w:cs="Arial" w:eastAsia="Arial" w:hAnsi="Arial"/>
                <w:sz w:val="15"/>
                <w:szCs w:val="15"/>
                <w:color w:val="auto"/>
              </w:rPr>
              <w:t>Carrabba’s Italian Grill</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67,889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60,953</w:t>
            </w:r>
          </w:p>
        </w:tc>
      </w:tr>
      <w:tr>
        <w:trPr>
          <w:trHeight w:val="209"/>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Bonefish Grill</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54,263</w:t>
            </w:r>
          </w:p>
        </w:tc>
      </w:tr>
      <w:tr>
        <w:trPr>
          <w:trHeight w:val="203"/>
        </w:trPr>
        <w:tc>
          <w:tcPr>
            <w:tcW w:w="8220" w:type="dxa"/>
            <w:vAlign w:val="bottom"/>
          </w:tcPr>
          <w:p>
            <w:pPr>
              <w:ind w:left="220"/>
              <w:spacing w:after="0"/>
              <w:rPr>
                <w:sz w:val="20"/>
                <w:szCs w:val="20"/>
                <w:color w:val="auto"/>
              </w:rPr>
            </w:pPr>
            <w:r>
              <w:rPr>
                <w:rFonts w:ascii="Arial" w:cs="Arial" w:eastAsia="Arial" w:hAnsi="Arial"/>
                <w:sz w:val="15"/>
                <w:szCs w:val="15"/>
                <w:color w:val="auto"/>
              </w:rPr>
              <w:t>Fleming’s Prime Steakhouse &amp; Wine Bar</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117,382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80,404</w:t>
            </w:r>
          </w:p>
        </w:tc>
      </w:tr>
      <w:tr>
        <w:trPr>
          <w:trHeight w:val="209"/>
        </w:trPr>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3"/>
        </w:trPr>
        <w:tc>
          <w:tcPr>
            <w:tcW w:w="8220" w:type="dxa"/>
            <w:vAlign w:val="bottom"/>
          </w:tcPr>
          <w:p>
            <w:pPr>
              <w:ind w:left="220"/>
              <w:spacing w:after="0"/>
              <w:rPr>
                <w:sz w:val="20"/>
                <w:szCs w:val="20"/>
                <w:color w:val="auto"/>
              </w:rPr>
            </w:pPr>
            <w:r>
              <w:rPr>
                <w:rFonts w:ascii="Arial" w:cs="Arial" w:eastAsia="Arial" w:hAnsi="Arial"/>
                <w:sz w:val="15"/>
                <w:szCs w:val="15"/>
                <w:color w:val="auto"/>
              </w:rPr>
              <w:t>Outback Steakhouse - Brazil (1)</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53,939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43,089</w:t>
            </w: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weeks: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3"/>
        </w:trPr>
        <w:tc>
          <w:tcPr>
            <w:tcW w:w="8220" w:type="dxa"/>
            <w:vAlign w:val="bottom"/>
          </w:tcPr>
          <w:p>
            <w:pPr>
              <w:ind w:left="140"/>
              <w:spacing w:after="0"/>
              <w:rPr>
                <w:sz w:val="20"/>
                <w:szCs w:val="20"/>
                <w:color w:val="auto"/>
              </w:rPr>
            </w:pPr>
            <w:r>
              <w:rPr>
                <w:rFonts w:ascii="Arial" w:cs="Arial" w:eastAsia="Arial" w:hAnsi="Arial"/>
                <w:sz w:val="15"/>
                <w:szCs w:val="15"/>
                <w:color w:val="auto"/>
              </w:rPr>
              <w:t>U.S.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7,383</w:t>
            </w:r>
          </w:p>
        </w:tc>
      </w:tr>
      <w:tr>
        <w:trPr>
          <w:trHeight w:val="203"/>
        </w:trPr>
        <w:tc>
          <w:tcPr>
            <w:tcW w:w="8220" w:type="dxa"/>
            <w:vAlign w:val="bottom"/>
          </w:tcPr>
          <w:p>
            <w:pPr>
              <w:ind w:left="220"/>
              <w:spacing w:after="0"/>
              <w:rPr>
                <w:sz w:val="20"/>
                <w:szCs w:val="20"/>
                <w:color w:val="auto"/>
              </w:rPr>
            </w:pPr>
            <w:r>
              <w:rPr>
                <w:rFonts w:ascii="Arial" w:cs="Arial" w:eastAsia="Arial" w:hAnsi="Arial"/>
                <w:sz w:val="15"/>
                <w:szCs w:val="15"/>
                <w:color w:val="auto"/>
              </w:rPr>
              <w:t>Carrabba’s Italian Grill</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2,587</w:t>
            </w:r>
          </w:p>
        </w:tc>
      </w:tr>
      <w:tr>
        <w:trPr>
          <w:trHeight w:val="209"/>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Bonefish Grill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2,340</w:t>
            </w:r>
          </w:p>
        </w:tc>
      </w:tr>
      <w:tr>
        <w:trPr>
          <w:trHeight w:val="203"/>
        </w:trPr>
        <w:tc>
          <w:tcPr>
            <w:tcW w:w="8220" w:type="dxa"/>
            <w:vAlign w:val="bottom"/>
          </w:tcPr>
          <w:p>
            <w:pPr>
              <w:ind w:left="220"/>
              <w:spacing w:after="0"/>
              <w:rPr>
                <w:sz w:val="20"/>
                <w:szCs w:val="20"/>
                <w:color w:val="auto"/>
              </w:rPr>
            </w:pPr>
            <w:r>
              <w:rPr>
                <w:rFonts w:ascii="Arial" w:cs="Arial" w:eastAsia="Arial" w:hAnsi="Arial"/>
                <w:sz w:val="15"/>
                <w:szCs w:val="15"/>
                <w:color w:val="auto"/>
              </w:rPr>
              <w:t>Fleming’s Prime Steakhouse &amp; Wine Bar</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825</w:t>
            </w:r>
          </w:p>
        </w:tc>
      </w:tr>
      <w:tr>
        <w:trPr>
          <w:trHeight w:val="209"/>
        </w:trPr>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1"/>
        </w:trPr>
        <w:tc>
          <w:tcPr>
            <w:tcW w:w="8220" w:type="dxa"/>
            <w:vAlign w:val="bottom"/>
          </w:tcPr>
          <w:p>
            <w:pPr>
              <w:ind w:left="220"/>
              <w:spacing w:after="0"/>
              <w:rPr>
                <w:sz w:val="20"/>
                <w:szCs w:val="20"/>
                <w:color w:val="auto"/>
              </w:rPr>
            </w:pPr>
            <w:r>
              <w:rPr>
                <w:rFonts w:ascii="Arial" w:cs="Arial" w:eastAsia="Arial" w:hAnsi="Arial"/>
                <w:sz w:val="15"/>
                <w:szCs w:val="15"/>
                <w:color w:val="auto"/>
              </w:rPr>
              <w:t>Outback Steakhouse - Brazil</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1,412</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Translated at average exchange rates of 5.47 and 5.30 for the thirteen weeks ended March 27, 2022 and March 28, 2021, respectively.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71"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Comparable Restaurant Sales, Traffic and Average Check Per Person Increases (Decreases)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comparable restaurant sales, traffic and average check per person increases (decreases) for the periods indicated:</w:t>
      </w:r>
    </w:p>
    <w:p>
      <w:pPr>
        <w:spacing w:after="0" w:line="147"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THIRTEEN WEEKS ENDED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80" w:type="dxa"/>
            <w:vAlign w:val="bottom"/>
          </w:tcPr>
          <w:p>
            <w:pPr>
              <w:spacing w:after="0"/>
              <w:rPr>
                <w:sz w:val="16"/>
                <w:szCs w:val="16"/>
                <w:color w:val="auto"/>
              </w:rPr>
            </w:pPr>
          </w:p>
        </w:tc>
        <w:tc>
          <w:tcPr>
            <w:tcW w:w="1720" w:type="dxa"/>
            <w:vAlign w:val="bottom"/>
            <w:tcBorders>
              <w:top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MARCH 27, 2022</w:t>
            </w:r>
          </w:p>
        </w:tc>
        <w:tc>
          <w:tcPr>
            <w:tcW w:w="164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MARCH 28, 2021</w:t>
            </w:r>
          </w:p>
        </w:tc>
      </w:tr>
      <w:tr>
        <w:trPr>
          <w:trHeight w:val="193"/>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Year over year percentage change:</w:t>
            </w: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r>
      <w:tr>
        <w:trPr>
          <w:trHeight w:val="203"/>
        </w:trPr>
        <w:tc>
          <w:tcPr>
            <w:tcW w:w="7880" w:type="dxa"/>
            <w:vAlign w:val="bottom"/>
          </w:tcPr>
          <w:p>
            <w:pPr>
              <w:ind w:left="140"/>
              <w:spacing w:after="0"/>
              <w:rPr>
                <w:sz w:val="20"/>
                <w:szCs w:val="20"/>
                <w:color w:val="auto"/>
              </w:rPr>
            </w:pPr>
            <w:r>
              <w:rPr>
                <w:rFonts w:ascii="Arial" w:cs="Arial" w:eastAsia="Arial" w:hAnsi="Arial"/>
                <w:sz w:val="15"/>
                <w:szCs w:val="15"/>
                <w:color w:val="auto"/>
              </w:rPr>
              <w:t>Comparable restaurant sales (stores open 18 months or more):</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9"/>
        </w:trPr>
        <w:tc>
          <w:tcPr>
            <w:tcW w:w="7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(1)</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3"/>
        </w:trPr>
        <w:tc>
          <w:tcPr>
            <w:tcW w:w="7880" w:type="dxa"/>
            <w:vAlign w:val="bottom"/>
          </w:tcPr>
          <w:p>
            <w:pPr>
              <w:ind w:left="320"/>
              <w:spacing w:after="0"/>
              <w:rPr>
                <w:sz w:val="20"/>
                <w:szCs w:val="20"/>
                <w:color w:val="auto"/>
              </w:rPr>
            </w:pPr>
            <w:r>
              <w:rPr>
                <w:rFonts w:ascii="Arial" w:cs="Arial" w:eastAsia="Arial" w:hAnsi="Arial"/>
                <w:sz w:val="15"/>
                <w:szCs w:val="15"/>
                <w:color w:val="auto"/>
              </w:rPr>
              <w:t>Outback Steakhouse</w:t>
            </w:r>
          </w:p>
        </w:tc>
        <w:tc>
          <w:tcPr>
            <w:tcW w:w="1620" w:type="dxa"/>
            <w:vAlign w:val="bottom"/>
          </w:tcPr>
          <w:p>
            <w:pPr>
              <w:jc w:val="right"/>
              <w:spacing w:after="0"/>
              <w:rPr>
                <w:sz w:val="20"/>
                <w:szCs w:val="20"/>
                <w:color w:val="auto"/>
              </w:rPr>
            </w:pPr>
            <w:r>
              <w:rPr>
                <w:rFonts w:ascii="Arial" w:cs="Arial" w:eastAsia="Arial" w:hAnsi="Arial"/>
                <w:sz w:val="15"/>
                <w:szCs w:val="15"/>
                <w:color w:val="auto"/>
              </w:rPr>
              <w:t>9.2 %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4.1 %</w:t>
            </w:r>
          </w:p>
        </w:tc>
      </w:tr>
      <w:tr>
        <w:trPr>
          <w:trHeight w:val="209"/>
        </w:trPr>
        <w:tc>
          <w:tcPr>
            <w:tcW w:w="7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8.9 %</w:t>
            </w:r>
          </w:p>
        </w:tc>
      </w:tr>
      <w:tr>
        <w:trPr>
          <w:trHeight w:val="203"/>
        </w:trPr>
        <w:tc>
          <w:tcPr>
            <w:tcW w:w="7880" w:type="dxa"/>
            <w:vAlign w:val="bottom"/>
          </w:tcPr>
          <w:p>
            <w:pPr>
              <w:ind w:left="320"/>
              <w:spacing w:after="0"/>
              <w:rPr>
                <w:sz w:val="20"/>
                <w:szCs w:val="20"/>
                <w:color w:val="auto"/>
              </w:rPr>
            </w:pPr>
            <w:r>
              <w:rPr>
                <w:rFonts w:ascii="Arial" w:cs="Arial" w:eastAsia="Arial" w:hAnsi="Arial"/>
                <w:sz w:val="15"/>
                <w:szCs w:val="15"/>
                <w:color w:val="auto"/>
              </w:rPr>
              <w:t>Bonefish Grill</w:t>
            </w:r>
          </w:p>
        </w:tc>
        <w:tc>
          <w:tcPr>
            <w:tcW w:w="1620" w:type="dxa"/>
            <w:vAlign w:val="bottom"/>
          </w:tcPr>
          <w:p>
            <w:pPr>
              <w:jc w:val="right"/>
              <w:spacing w:after="0"/>
              <w:rPr>
                <w:sz w:val="20"/>
                <w:szCs w:val="20"/>
                <w:color w:val="auto"/>
              </w:rPr>
            </w:pPr>
            <w:r>
              <w:rPr>
                <w:rFonts w:ascii="Arial" w:cs="Arial" w:eastAsia="Arial" w:hAnsi="Arial"/>
                <w:sz w:val="15"/>
                <w:szCs w:val="15"/>
                <w:color w:val="auto"/>
              </w:rPr>
              <w:t>21.3 %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09"/>
        </w:trPr>
        <w:tc>
          <w:tcPr>
            <w:tcW w:w="7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Fleming’s Prime Steakhouse &amp; Wine Bar</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203"/>
        </w:trPr>
        <w:tc>
          <w:tcPr>
            <w:tcW w:w="7880" w:type="dxa"/>
            <w:vAlign w:val="bottom"/>
          </w:tcPr>
          <w:p>
            <w:pPr>
              <w:ind w:left="320"/>
              <w:spacing w:after="0"/>
              <w:rPr>
                <w:sz w:val="20"/>
                <w:szCs w:val="20"/>
                <w:color w:val="auto"/>
              </w:rPr>
            </w:pPr>
            <w:r>
              <w:rPr>
                <w:rFonts w:ascii="Arial" w:cs="Arial" w:eastAsia="Arial" w:hAnsi="Arial"/>
                <w:sz w:val="15"/>
                <w:szCs w:val="15"/>
                <w:color w:val="auto"/>
              </w:rPr>
              <w:t>Combined U.S.</w:t>
            </w:r>
          </w:p>
        </w:tc>
        <w:tc>
          <w:tcPr>
            <w:tcW w:w="1620" w:type="dxa"/>
            <w:vAlign w:val="bottom"/>
          </w:tcPr>
          <w:p>
            <w:pPr>
              <w:jc w:val="right"/>
              <w:spacing w:after="0"/>
              <w:rPr>
                <w:sz w:val="20"/>
                <w:szCs w:val="20"/>
                <w:color w:val="auto"/>
              </w:rPr>
            </w:pPr>
            <w:r>
              <w:rPr>
                <w:rFonts w:ascii="Arial" w:cs="Arial" w:eastAsia="Arial" w:hAnsi="Arial"/>
                <w:sz w:val="15"/>
                <w:szCs w:val="15"/>
                <w:color w:val="auto"/>
              </w:rPr>
              <w:t>14.0 %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3.3 %</w:t>
            </w:r>
          </w:p>
        </w:tc>
      </w:tr>
      <w:tr>
        <w:trPr>
          <w:trHeight w:val="209"/>
        </w:trPr>
        <w:tc>
          <w:tcPr>
            <w:tcW w:w="7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3"/>
        </w:trPr>
        <w:tc>
          <w:tcPr>
            <w:tcW w:w="7880" w:type="dxa"/>
            <w:vAlign w:val="bottom"/>
          </w:tcPr>
          <w:p>
            <w:pPr>
              <w:ind w:left="320"/>
              <w:spacing w:after="0"/>
              <w:rPr>
                <w:sz w:val="20"/>
                <w:szCs w:val="20"/>
                <w:color w:val="auto"/>
              </w:rPr>
            </w:pPr>
            <w:r>
              <w:rPr>
                <w:rFonts w:ascii="Arial" w:cs="Arial" w:eastAsia="Arial" w:hAnsi="Arial"/>
                <w:sz w:val="15"/>
                <w:szCs w:val="15"/>
                <w:color w:val="auto"/>
              </w:rPr>
              <w:t>Outback Steakhouse - Brazil (2)</w:t>
            </w:r>
          </w:p>
        </w:tc>
        <w:tc>
          <w:tcPr>
            <w:tcW w:w="1620" w:type="dxa"/>
            <w:vAlign w:val="bottom"/>
          </w:tcPr>
          <w:p>
            <w:pPr>
              <w:jc w:val="right"/>
              <w:spacing w:after="0"/>
              <w:rPr>
                <w:sz w:val="20"/>
                <w:szCs w:val="20"/>
                <w:color w:val="auto"/>
              </w:rPr>
            </w:pPr>
            <w:r>
              <w:rPr>
                <w:rFonts w:ascii="Arial" w:cs="Arial" w:eastAsia="Arial" w:hAnsi="Arial"/>
                <w:sz w:val="15"/>
                <w:szCs w:val="15"/>
                <w:color w:val="auto"/>
              </w:rPr>
              <w:t>35.9 %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(21.4)%</w:t>
            </w:r>
          </w:p>
        </w:tc>
      </w:tr>
      <w:tr>
        <w:trPr>
          <w:trHeight w:val="248"/>
        </w:trPr>
        <w:tc>
          <w:tcPr>
            <w:tcW w:w="78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03"/>
        </w:trPr>
        <w:tc>
          <w:tcPr>
            <w:tcW w:w="7880" w:type="dxa"/>
            <w:vAlign w:val="bottom"/>
          </w:tcPr>
          <w:p>
            <w:pPr>
              <w:ind w:left="140"/>
              <w:spacing w:after="0"/>
              <w:rPr>
                <w:sz w:val="20"/>
                <w:szCs w:val="20"/>
                <w:color w:val="auto"/>
              </w:rPr>
            </w:pPr>
            <w:r>
              <w:rPr>
                <w:rFonts w:ascii="Arial" w:cs="Arial" w:eastAsia="Arial" w:hAnsi="Arial"/>
                <w:sz w:val="15"/>
                <w:szCs w:val="15"/>
                <w:color w:val="auto"/>
              </w:rPr>
              <w:t>Traffic:</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9"/>
        </w:trPr>
        <w:tc>
          <w:tcPr>
            <w:tcW w:w="7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3"/>
        </w:trPr>
        <w:tc>
          <w:tcPr>
            <w:tcW w:w="7880" w:type="dxa"/>
            <w:vAlign w:val="bottom"/>
          </w:tcPr>
          <w:p>
            <w:pPr>
              <w:ind w:left="320"/>
              <w:spacing w:after="0"/>
              <w:rPr>
                <w:sz w:val="20"/>
                <w:szCs w:val="20"/>
                <w:color w:val="auto"/>
              </w:rPr>
            </w:pPr>
            <w:r>
              <w:rPr>
                <w:rFonts w:ascii="Arial" w:cs="Arial" w:eastAsia="Arial" w:hAnsi="Arial"/>
                <w:sz w:val="15"/>
                <w:szCs w:val="15"/>
                <w:color w:val="auto"/>
              </w:rPr>
              <w:t>Outback Steakhouse</w:t>
            </w:r>
          </w:p>
        </w:tc>
        <w:tc>
          <w:tcPr>
            <w:tcW w:w="162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0.9 %</w:t>
            </w:r>
          </w:p>
        </w:tc>
      </w:tr>
      <w:tr>
        <w:trPr>
          <w:trHeight w:val="209"/>
        </w:trPr>
        <w:tc>
          <w:tcPr>
            <w:tcW w:w="7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5.2 %</w:t>
            </w:r>
          </w:p>
        </w:tc>
      </w:tr>
      <w:tr>
        <w:trPr>
          <w:trHeight w:val="203"/>
        </w:trPr>
        <w:tc>
          <w:tcPr>
            <w:tcW w:w="7880" w:type="dxa"/>
            <w:vAlign w:val="bottom"/>
          </w:tcPr>
          <w:p>
            <w:pPr>
              <w:ind w:left="320"/>
              <w:spacing w:after="0"/>
              <w:rPr>
                <w:sz w:val="20"/>
                <w:szCs w:val="20"/>
                <w:color w:val="auto"/>
              </w:rPr>
            </w:pPr>
            <w:r>
              <w:rPr>
                <w:rFonts w:ascii="Arial" w:cs="Arial" w:eastAsia="Arial" w:hAnsi="Arial"/>
                <w:sz w:val="15"/>
                <w:szCs w:val="15"/>
                <w:color w:val="auto"/>
              </w:rPr>
              <w:t>Bonefish Grill</w:t>
            </w:r>
          </w:p>
        </w:tc>
        <w:tc>
          <w:tcPr>
            <w:tcW w:w="1620" w:type="dxa"/>
            <w:vAlign w:val="bottom"/>
          </w:tcPr>
          <w:p>
            <w:pPr>
              <w:jc w:val="right"/>
              <w:spacing w:after="0"/>
              <w:rPr>
                <w:sz w:val="20"/>
                <w:szCs w:val="20"/>
                <w:color w:val="auto"/>
              </w:rPr>
            </w:pPr>
            <w:r>
              <w:rPr>
                <w:rFonts w:ascii="Arial" w:cs="Arial" w:eastAsia="Arial" w:hAnsi="Arial"/>
                <w:sz w:val="15"/>
                <w:szCs w:val="15"/>
                <w:color w:val="auto"/>
              </w:rPr>
              <w:t>7.8 %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2.1 %</w:t>
            </w:r>
          </w:p>
        </w:tc>
      </w:tr>
      <w:tr>
        <w:trPr>
          <w:trHeight w:val="209"/>
        </w:trPr>
        <w:tc>
          <w:tcPr>
            <w:tcW w:w="7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Fleming’s Prime Steakhouse &amp; Wine Bar</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r>
      <w:tr>
        <w:trPr>
          <w:trHeight w:val="203"/>
        </w:trPr>
        <w:tc>
          <w:tcPr>
            <w:tcW w:w="7880" w:type="dxa"/>
            <w:vAlign w:val="bottom"/>
          </w:tcPr>
          <w:p>
            <w:pPr>
              <w:ind w:left="320"/>
              <w:spacing w:after="0"/>
              <w:rPr>
                <w:sz w:val="20"/>
                <w:szCs w:val="20"/>
                <w:color w:val="auto"/>
              </w:rPr>
            </w:pPr>
            <w:r>
              <w:rPr>
                <w:rFonts w:ascii="Arial" w:cs="Arial" w:eastAsia="Arial" w:hAnsi="Arial"/>
                <w:sz w:val="15"/>
                <w:szCs w:val="15"/>
                <w:color w:val="auto"/>
              </w:rPr>
              <w:t>Combined U.S.</w:t>
            </w:r>
          </w:p>
        </w:tc>
        <w:tc>
          <w:tcPr>
            <w:tcW w:w="1620" w:type="dxa"/>
            <w:vAlign w:val="bottom"/>
          </w:tcPr>
          <w:p>
            <w:pPr>
              <w:jc w:val="right"/>
              <w:spacing w:after="0"/>
              <w:rPr>
                <w:sz w:val="20"/>
                <w:szCs w:val="20"/>
                <w:color w:val="auto"/>
              </w:rPr>
            </w:pPr>
            <w:r>
              <w:rPr>
                <w:rFonts w:ascii="Arial" w:cs="Arial" w:eastAsia="Arial" w:hAnsi="Arial"/>
                <w:sz w:val="15"/>
                <w:szCs w:val="15"/>
                <w:color w:val="auto"/>
              </w:rPr>
              <w:t>1.5 %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1.7 %</w:t>
            </w:r>
          </w:p>
        </w:tc>
      </w:tr>
      <w:tr>
        <w:trPr>
          <w:trHeight w:val="209"/>
        </w:trPr>
        <w:tc>
          <w:tcPr>
            <w:tcW w:w="7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3"/>
        </w:trPr>
        <w:tc>
          <w:tcPr>
            <w:tcW w:w="7880" w:type="dxa"/>
            <w:vAlign w:val="bottom"/>
          </w:tcPr>
          <w:p>
            <w:pPr>
              <w:ind w:left="320"/>
              <w:spacing w:after="0"/>
              <w:rPr>
                <w:sz w:val="20"/>
                <w:szCs w:val="20"/>
                <w:color w:val="auto"/>
              </w:rPr>
            </w:pPr>
            <w:r>
              <w:rPr>
                <w:rFonts w:ascii="Arial" w:cs="Arial" w:eastAsia="Arial" w:hAnsi="Arial"/>
                <w:sz w:val="15"/>
                <w:szCs w:val="15"/>
                <w:color w:val="auto"/>
              </w:rPr>
              <w:t>Outback Steakhouse - Brazil</w:t>
            </w:r>
          </w:p>
        </w:tc>
        <w:tc>
          <w:tcPr>
            <w:tcW w:w="1620" w:type="dxa"/>
            <w:vAlign w:val="bottom"/>
          </w:tcPr>
          <w:p>
            <w:pPr>
              <w:jc w:val="right"/>
              <w:spacing w:after="0"/>
              <w:rPr>
                <w:sz w:val="20"/>
                <w:szCs w:val="20"/>
                <w:color w:val="auto"/>
              </w:rPr>
            </w:pPr>
            <w:r>
              <w:rPr>
                <w:rFonts w:ascii="Arial" w:cs="Arial" w:eastAsia="Arial" w:hAnsi="Arial"/>
                <w:sz w:val="15"/>
                <w:szCs w:val="15"/>
                <w:color w:val="auto"/>
              </w:rPr>
              <w:t>28.7 %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(14.2)%</w:t>
            </w:r>
          </w:p>
        </w:tc>
      </w:tr>
      <w:tr>
        <w:trPr>
          <w:trHeight w:val="209"/>
        </w:trPr>
        <w:tc>
          <w:tcPr>
            <w:tcW w:w="78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3"/>
        </w:trPr>
        <w:tc>
          <w:tcPr>
            <w:tcW w:w="7880" w:type="dxa"/>
            <w:vAlign w:val="bottom"/>
          </w:tcPr>
          <w:p>
            <w:pPr>
              <w:ind w:left="140"/>
              <w:spacing w:after="0"/>
              <w:rPr>
                <w:sz w:val="20"/>
                <w:szCs w:val="20"/>
                <w:color w:val="auto"/>
              </w:rPr>
            </w:pPr>
            <w:r>
              <w:rPr>
                <w:rFonts w:ascii="Arial" w:cs="Arial" w:eastAsia="Arial" w:hAnsi="Arial"/>
                <w:sz w:val="15"/>
                <w:szCs w:val="15"/>
                <w:color w:val="auto"/>
              </w:rPr>
              <w:t>Average check per person (3):</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9"/>
        </w:trPr>
        <w:tc>
          <w:tcPr>
            <w:tcW w:w="7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3"/>
        </w:trPr>
        <w:tc>
          <w:tcPr>
            <w:tcW w:w="7880" w:type="dxa"/>
            <w:vAlign w:val="bottom"/>
          </w:tcPr>
          <w:p>
            <w:pPr>
              <w:ind w:left="320"/>
              <w:spacing w:after="0"/>
              <w:rPr>
                <w:sz w:val="20"/>
                <w:szCs w:val="20"/>
                <w:color w:val="auto"/>
              </w:rPr>
            </w:pPr>
            <w:r>
              <w:rPr>
                <w:rFonts w:ascii="Arial" w:cs="Arial" w:eastAsia="Arial" w:hAnsi="Arial"/>
                <w:sz w:val="15"/>
                <w:szCs w:val="15"/>
                <w:color w:val="auto"/>
              </w:rPr>
              <w:t>Outback Steakhouse</w:t>
            </w:r>
          </w:p>
        </w:tc>
        <w:tc>
          <w:tcPr>
            <w:tcW w:w="1620" w:type="dxa"/>
            <w:vAlign w:val="bottom"/>
          </w:tcPr>
          <w:p>
            <w:pPr>
              <w:jc w:val="right"/>
              <w:spacing w:after="0"/>
              <w:rPr>
                <w:sz w:val="20"/>
                <w:szCs w:val="20"/>
                <w:color w:val="auto"/>
              </w:rPr>
            </w:pPr>
            <w:r>
              <w:rPr>
                <w:rFonts w:ascii="Arial" w:cs="Arial" w:eastAsia="Arial" w:hAnsi="Arial"/>
                <w:sz w:val="15"/>
                <w:szCs w:val="15"/>
                <w:color w:val="auto"/>
              </w:rPr>
              <w:t>10.2 %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3.2 %</w:t>
            </w:r>
          </w:p>
        </w:tc>
      </w:tr>
      <w:tr>
        <w:trPr>
          <w:trHeight w:val="209"/>
        </w:trPr>
        <w:tc>
          <w:tcPr>
            <w:tcW w:w="7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3.7 %</w:t>
            </w:r>
          </w:p>
        </w:tc>
      </w:tr>
      <w:tr>
        <w:trPr>
          <w:trHeight w:val="203"/>
        </w:trPr>
        <w:tc>
          <w:tcPr>
            <w:tcW w:w="7880" w:type="dxa"/>
            <w:vAlign w:val="bottom"/>
          </w:tcPr>
          <w:p>
            <w:pPr>
              <w:ind w:left="320"/>
              <w:spacing w:after="0"/>
              <w:rPr>
                <w:sz w:val="20"/>
                <w:szCs w:val="20"/>
                <w:color w:val="auto"/>
              </w:rPr>
            </w:pPr>
            <w:r>
              <w:rPr>
                <w:rFonts w:ascii="Arial" w:cs="Arial" w:eastAsia="Arial" w:hAnsi="Arial"/>
                <w:sz w:val="15"/>
                <w:szCs w:val="15"/>
                <w:color w:val="auto"/>
              </w:rPr>
              <w:t>Bonefish Grill</w:t>
            </w:r>
          </w:p>
        </w:tc>
        <w:tc>
          <w:tcPr>
            <w:tcW w:w="1620" w:type="dxa"/>
            <w:vAlign w:val="bottom"/>
          </w:tcPr>
          <w:p>
            <w:pPr>
              <w:jc w:val="right"/>
              <w:spacing w:after="0"/>
              <w:rPr>
                <w:sz w:val="20"/>
                <w:szCs w:val="20"/>
                <w:color w:val="auto"/>
              </w:rPr>
            </w:pPr>
            <w:r>
              <w:rPr>
                <w:rFonts w:ascii="Arial" w:cs="Arial" w:eastAsia="Arial" w:hAnsi="Arial"/>
                <w:sz w:val="15"/>
                <w:szCs w:val="15"/>
                <w:color w:val="auto"/>
              </w:rPr>
              <w:t>13.5 %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09"/>
        </w:trPr>
        <w:tc>
          <w:tcPr>
            <w:tcW w:w="7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Fleming’s Prime Steakhouse &amp; Wine Bar</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3.0 %</w:t>
            </w:r>
          </w:p>
        </w:tc>
      </w:tr>
      <w:tr>
        <w:trPr>
          <w:trHeight w:val="203"/>
        </w:trPr>
        <w:tc>
          <w:tcPr>
            <w:tcW w:w="7880" w:type="dxa"/>
            <w:vAlign w:val="bottom"/>
          </w:tcPr>
          <w:p>
            <w:pPr>
              <w:ind w:left="320"/>
              <w:spacing w:after="0"/>
              <w:rPr>
                <w:sz w:val="20"/>
                <w:szCs w:val="20"/>
                <w:color w:val="auto"/>
              </w:rPr>
            </w:pPr>
            <w:r>
              <w:rPr>
                <w:rFonts w:ascii="Arial" w:cs="Arial" w:eastAsia="Arial" w:hAnsi="Arial"/>
                <w:sz w:val="15"/>
                <w:szCs w:val="15"/>
                <w:color w:val="auto"/>
              </w:rPr>
              <w:t>Combined U.S.</w:t>
            </w:r>
          </w:p>
        </w:tc>
        <w:tc>
          <w:tcPr>
            <w:tcW w:w="1620" w:type="dxa"/>
            <w:vAlign w:val="bottom"/>
          </w:tcPr>
          <w:p>
            <w:pPr>
              <w:jc w:val="right"/>
              <w:spacing w:after="0"/>
              <w:rPr>
                <w:sz w:val="20"/>
                <w:szCs w:val="20"/>
                <w:color w:val="auto"/>
              </w:rPr>
            </w:pPr>
            <w:r>
              <w:rPr>
                <w:rFonts w:ascii="Arial" w:cs="Arial" w:eastAsia="Arial" w:hAnsi="Arial"/>
                <w:sz w:val="15"/>
                <w:szCs w:val="15"/>
                <w:color w:val="auto"/>
              </w:rPr>
              <w:t>12.5 %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1.6 %</w:t>
            </w:r>
          </w:p>
        </w:tc>
      </w:tr>
      <w:tr>
        <w:trPr>
          <w:trHeight w:val="209"/>
        </w:trPr>
        <w:tc>
          <w:tcPr>
            <w:tcW w:w="7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1"/>
        </w:trPr>
        <w:tc>
          <w:tcPr>
            <w:tcW w:w="7880" w:type="dxa"/>
            <w:vAlign w:val="bottom"/>
          </w:tcPr>
          <w:p>
            <w:pPr>
              <w:ind w:left="320"/>
              <w:spacing w:after="0"/>
              <w:rPr>
                <w:sz w:val="20"/>
                <w:szCs w:val="20"/>
                <w:color w:val="auto"/>
              </w:rPr>
            </w:pPr>
            <w:r>
              <w:rPr>
                <w:rFonts w:ascii="Arial" w:cs="Arial" w:eastAsia="Arial" w:hAnsi="Arial"/>
                <w:sz w:val="15"/>
                <w:szCs w:val="15"/>
                <w:color w:val="auto"/>
              </w:rPr>
              <w:t>Outback Steakhouse - Brazil</w:t>
            </w:r>
          </w:p>
        </w:tc>
        <w:tc>
          <w:tcPr>
            <w:tcW w:w="1620" w:type="dxa"/>
            <w:vAlign w:val="bottom"/>
          </w:tcPr>
          <w:p>
            <w:pPr>
              <w:jc w:val="right"/>
              <w:spacing w:after="0"/>
              <w:rPr>
                <w:sz w:val="20"/>
                <w:szCs w:val="20"/>
                <w:color w:val="auto"/>
              </w:rPr>
            </w:pPr>
            <w:r>
              <w:rPr>
                <w:rFonts w:ascii="Arial" w:cs="Arial" w:eastAsia="Arial" w:hAnsi="Arial"/>
                <w:sz w:val="15"/>
                <w:szCs w:val="15"/>
                <w:color w:val="auto"/>
              </w:rPr>
              <w:t>7.6 %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(6.4)%</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Relocated restaurants closed more than 60 days are excluded from comparable restaurant sales until at least 18 months after reopening.</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Excludes the effect of fluctuations in foreign currency rates. Includes trading day impact from calendar period reporting.</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Average check per person includes the impact of menu pricing changes, product mix and discounts.</w:t>
      </w: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Franchise and other revenues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725"/>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27, 2022</w:t>
            </w:r>
          </w:p>
        </w:tc>
        <w:tc>
          <w:tcPr>
            <w:tcW w:w="200" w:type="dxa"/>
            <w:vAlign w:val="bottom"/>
          </w:tcPr>
          <w:p>
            <w:pPr>
              <w:spacing w:after="0"/>
              <w:rPr>
                <w:sz w:val="16"/>
                <w:szCs w:val="16"/>
                <w:color w:val="auto"/>
              </w:rPr>
            </w:pPr>
          </w:p>
        </w:tc>
        <w:tc>
          <w:tcPr>
            <w:tcW w:w="1440" w:type="dxa"/>
            <w:vAlign w:val="bottom"/>
          </w:tcPr>
          <w:p>
            <w:pPr>
              <w:jc w:val="right"/>
              <w:ind w:right="205"/>
              <w:spacing w:after="0"/>
              <w:rPr>
                <w:sz w:val="20"/>
                <w:szCs w:val="20"/>
                <w:color w:val="auto"/>
              </w:rPr>
            </w:pPr>
            <w:r>
              <w:rPr>
                <w:rFonts w:ascii="Arial" w:cs="Arial" w:eastAsia="Arial" w:hAnsi="Arial"/>
                <w:sz w:val="14"/>
                <w:szCs w:val="14"/>
                <w:b w:val="1"/>
                <w:bCs w:val="1"/>
                <w:color w:val="auto"/>
              </w:rPr>
              <w:t>MARCH 28, 2021</w:t>
            </w:r>
          </w:p>
        </w:tc>
      </w:tr>
      <w:tr>
        <w:trPr>
          <w:trHeight w:val="20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Franchise revenues (1)</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w:t>
            </w:r>
          </w:p>
        </w:tc>
      </w:tr>
      <w:tr>
        <w:trPr>
          <w:trHeight w:val="21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revenues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r>
      <w:tr>
        <w:trPr>
          <w:trHeight w:val="231"/>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Franchise revenues increased during the thirteen weeks ended March 27, 2022 as compared to the thirteen weeks ended March 28, 2021 primarily due to the impact of COVID-19-related capacity restrictions on 2021 franchise sales.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COSTS AND EXPENSES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Food and beverage costs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1100" w:type="dxa"/>
            <w:vAlign w:val="bottom"/>
          </w:tcPr>
          <w:p>
            <w:pPr>
              <w:spacing w:after="0"/>
              <w:rPr>
                <w:sz w:val="17"/>
                <w:szCs w:val="17"/>
                <w:color w:val="auto"/>
              </w:rPr>
            </w:pPr>
          </w:p>
        </w:tc>
      </w:tr>
      <w:tr>
        <w:trPr>
          <w:trHeight w:val="186"/>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27, 2022</w:t>
            </w: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66"/>
              <w:spacing w:after="0"/>
              <w:rPr>
                <w:sz w:val="20"/>
                <w:szCs w:val="20"/>
                <w:color w:val="auto"/>
              </w:rPr>
            </w:pPr>
            <w:r>
              <w:rPr>
                <w:rFonts w:ascii="Arial" w:cs="Arial" w:eastAsia="Arial" w:hAnsi="Arial"/>
                <w:sz w:val="14"/>
                <w:szCs w:val="14"/>
                <w:b w:val="1"/>
                <w:bCs w:val="1"/>
                <w:color w:val="auto"/>
                <w:w w:val="99"/>
              </w:rPr>
              <w:t>MARCH 28, 2021</w:t>
            </w:r>
          </w:p>
        </w:tc>
        <w:tc>
          <w:tcPr>
            <w:tcW w:w="100" w:type="dxa"/>
            <w:vAlign w:val="bottom"/>
          </w:tcPr>
          <w:p>
            <w:pPr>
              <w:spacing w:after="0"/>
              <w:rPr>
                <w:sz w:val="16"/>
                <w:szCs w:val="16"/>
                <w:color w:val="auto"/>
              </w:rPr>
            </w:pPr>
          </w:p>
        </w:tc>
        <w:tc>
          <w:tcPr>
            <w:tcW w:w="1100" w:type="dxa"/>
            <w:vAlign w:val="bottom"/>
          </w:tcPr>
          <w:p>
            <w:pPr>
              <w:jc w:val="right"/>
              <w:ind w:right="167"/>
              <w:spacing w:after="0"/>
              <w:rPr>
                <w:sz w:val="20"/>
                <w:szCs w:val="20"/>
                <w:color w:val="auto"/>
              </w:rPr>
            </w:pPr>
            <w:r>
              <w:rPr>
                <w:rFonts w:ascii="Arial" w:cs="Arial" w:eastAsia="Arial" w:hAnsi="Arial"/>
                <w:sz w:val="14"/>
                <w:szCs w:val="14"/>
                <w:b w:val="1"/>
                <w:bCs w:val="1"/>
                <w:color w:val="auto"/>
              </w:rPr>
              <w:t>CHANGE</w:t>
            </w:r>
          </w:p>
        </w:tc>
      </w:tr>
      <w:tr>
        <w:trPr>
          <w:trHeight w:val="206"/>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359.4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291.9</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01"/>
        </w:trPr>
        <w:tc>
          <w:tcPr>
            <w:tcW w:w="6840" w:type="dxa"/>
            <w:vAlign w:val="bottom"/>
          </w:tcPr>
          <w:p>
            <w:pPr>
              <w:ind w:left="140"/>
              <w:spacing w:after="0"/>
              <w:rPr>
                <w:sz w:val="20"/>
                <w:szCs w:val="20"/>
                <w:color w:val="auto"/>
              </w:rPr>
            </w:pPr>
            <w:r>
              <w:rPr>
                <w:rFonts w:ascii="Arial" w:cs="Arial" w:eastAsia="Arial" w:hAnsi="Arial"/>
                <w:sz w:val="15"/>
                <w:szCs w:val="15"/>
                <w:color w:val="auto"/>
              </w:rPr>
              <w:t>% of Restaurant sales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32.0 %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29.8 %</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2.2 %</w:t>
            </w:r>
          </w:p>
        </w:tc>
      </w:tr>
    </w:tbl>
    <w:p>
      <w:pPr>
        <w:spacing w:after="0" w:line="29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Food and beverage costs increased as a percentage of Restaurant sales during the thirteen weeks ended March 27, 2022 as compared to the thirteen weeks ended March 28, 2021 primarily due to 3.6% from commodity inflation, partially offset by a decrease as a percentage of Restaurant sales of 1.4% from increases in average check per person, primarily driven by an increase in menu pricing.</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Labor and other related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1100" w:type="dxa"/>
            <w:vAlign w:val="bottom"/>
          </w:tcPr>
          <w:p>
            <w:pPr>
              <w:spacing w:after="0"/>
              <w:rPr>
                <w:sz w:val="17"/>
                <w:szCs w:val="17"/>
                <w:color w:val="auto"/>
              </w:rPr>
            </w:pPr>
          </w:p>
        </w:tc>
      </w:tr>
      <w:tr>
        <w:trPr>
          <w:trHeight w:val="186"/>
        </w:trPr>
        <w:tc>
          <w:tcPr>
            <w:tcW w:w="6840" w:type="dxa"/>
            <w:vAlign w:val="bottom"/>
          </w:tcPr>
          <w:p>
            <w:pPr>
              <w:jc w:val="right"/>
              <w:ind w:right="5606"/>
              <w:spacing w:after="0"/>
              <w:rPr>
                <w:sz w:val="20"/>
                <w:szCs w:val="20"/>
                <w:color w:val="auto"/>
              </w:rPr>
            </w:pPr>
            <w:r>
              <w:rPr>
                <w:rFonts w:ascii="Arial" w:cs="Arial" w:eastAsia="Arial" w:hAnsi="Arial"/>
                <w:sz w:val="14"/>
                <w:szCs w:val="14"/>
                <w:b w:val="1"/>
                <w:bCs w:val="1"/>
                <w:color w:val="auto"/>
                <w:w w:val="88"/>
              </w:rPr>
              <w:t>(dollars in millions)</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27, 2022</w:t>
            </w: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66"/>
              <w:spacing w:after="0"/>
              <w:rPr>
                <w:sz w:val="20"/>
                <w:szCs w:val="20"/>
                <w:color w:val="auto"/>
              </w:rPr>
            </w:pPr>
            <w:r>
              <w:rPr>
                <w:rFonts w:ascii="Arial" w:cs="Arial" w:eastAsia="Arial" w:hAnsi="Arial"/>
                <w:sz w:val="14"/>
                <w:szCs w:val="14"/>
                <w:b w:val="1"/>
                <w:bCs w:val="1"/>
                <w:color w:val="auto"/>
                <w:w w:val="99"/>
              </w:rPr>
              <w:t>MARCH 28, 2021</w:t>
            </w:r>
          </w:p>
        </w:tc>
        <w:tc>
          <w:tcPr>
            <w:tcW w:w="100" w:type="dxa"/>
            <w:vAlign w:val="bottom"/>
          </w:tcPr>
          <w:p>
            <w:pPr>
              <w:spacing w:after="0"/>
              <w:rPr>
                <w:sz w:val="16"/>
                <w:szCs w:val="16"/>
                <w:color w:val="auto"/>
              </w:rPr>
            </w:pPr>
          </w:p>
        </w:tc>
        <w:tc>
          <w:tcPr>
            <w:tcW w:w="1100" w:type="dxa"/>
            <w:vAlign w:val="bottom"/>
          </w:tcPr>
          <w:p>
            <w:pPr>
              <w:jc w:val="right"/>
              <w:ind w:right="167"/>
              <w:spacing w:after="0"/>
              <w:rPr>
                <w:sz w:val="20"/>
                <w:szCs w:val="20"/>
                <w:color w:val="auto"/>
              </w:rPr>
            </w:pPr>
            <w:r>
              <w:rPr>
                <w:rFonts w:ascii="Arial" w:cs="Arial" w:eastAsia="Arial" w:hAnsi="Arial"/>
                <w:sz w:val="14"/>
                <w:szCs w:val="14"/>
                <w:b w:val="1"/>
                <w:bCs w:val="1"/>
                <w:color w:val="auto"/>
              </w:rPr>
              <w:t>CHANGE</w:t>
            </w:r>
          </w:p>
        </w:tc>
      </w:tr>
      <w:tr>
        <w:trPr>
          <w:trHeight w:val="206"/>
        </w:trPr>
        <w:tc>
          <w:tcPr>
            <w:tcW w:w="6840" w:type="dxa"/>
            <w:vAlign w:val="bottom"/>
            <w:tcBorders>
              <w:top w:val="single" w:sz="8" w:color="CCEEFF"/>
            </w:tcBorders>
            <w:shd w:val="clear" w:color="auto" w:fill="CCEEFF"/>
          </w:tcPr>
          <w:p>
            <w:pPr>
              <w:jc w:val="right"/>
              <w:ind w:right="5306"/>
              <w:spacing w:after="0"/>
              <w:rPr>
                <w:sz w:val="20"/>
                <w:szCs w:val="20"/>
                <w:color w:val="auto"/>
              </w:rPr>
            </w:pPr>
            <w:r>
              <w:rPr>
                <w:rFonts w:ascii="Arial" w:cs="Arial" w:eastAsia="Arial" w:hAnsi="Arial"/>
                <w:sz w:val="15"/>
                <w:szCs w:val="15"/>
                <w:color w:val="auto"/>
                <w:w w:val="92"/>
              </w:rPr>
              <w:t>Labor and other related</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312.5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274.6</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01"/>
        </w:trPr>
        <w:tc>
          <w:tcPr>
            <w:tcW w:w="6840" w:type="dxa"/>
            <w:vAlign w:val="bottom"/>
          </w:tcPr>
          <w:p>
            <w:pPr>
              <w:jc w:val="right"/>
              <w:ind w:right="5286"/>
              <w:spacing w:after="0"/>
              <w:rPr>
                <w:sz w:val="20"/>
                <w:szCs w:val="20"/>
                <w:color w:val="auto"/>
              </w:rPr>
            </w:pPr>
            <w:r>
              <w:rPr>
                <w:rFonts w:ascii="Arial" w:cs="Arial" w:eastAsia="Arial" w:hAnsi="Arial"/>
                <w:sz w:val="15"/>
                <w:szCs w:val="15"/>
                <w:color w:val="auto"/>
                <w:w w:val="99"/>
              </w:rPr>
              <w:t>% of Restaurant sales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27.8 %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28.0 %</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(0.2)%</w:t>
            </w:r>
          </w:p>
        </w:tc>
      </w:tr>
    </w:tbl>
    <w:p>
      <w:pPr>
        <w:spacing w:after="0" w:line="31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Labor and other related expenses decreased as a percentage of Restaurant sales during the thirteen weeks ended March 27, 2022 as compared to the thirteen weeks ended March 28, 2021 primarily due to 1.3% from increases in average check per person and the net benefit of lapping the impact of COVID-19. This decrease was partially offset by an increase as a percentage of Restaurant sales of 1.2% from wage rate inflation.</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Other restaurant operating expenses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1100" w:type="dxa"/>
            <w:vAlign w:val="bottom"/>
          </w:tcPr>
          <w:p>
            <w:pPr>
              <w:spacing w:after="0"/>
              <w:rPr>
                <w:sz w:val="17"/>
                <w:szCs w:val="17"/>
                <w:color w:val="auto"/>
              </w:rPr>
            </w:pPr>
          </w:p>
        </w:tc>
      </w:tr>
      <w:tr>
        <w:trPr>
          <w:trHeight w:val="186"/>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27, 2022</w:t>
            </w: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66"/>
              <w:spacing w:after="0"/>
              <w:rPr>
                <w:sz w:val="20"/>
                <w:szCs w:val="20"/>
                <w:color w:val="auto"/>
              </w:rPr>
            </w:pPr>
            <w:r>
              <w:rPr>
                <w:rFonts w:ascii="Arial" w:cs="Arial" w:eastAsia="Arial" w:hAnsi="Arial"/>
                <w:sz w:val="14"/>
                <w:szCs w:val="14"/>
                <w:b w:val="1"/>
                <w:bCs w:val="1"/>
                <w:color w:val="auto"/>
                <w:w w:val="99"/>
              </w:rPr>
              <w:t>MARCH 28, 2021</w:t>
            </w:r>
          </w:p>
        </w:tc>
        <w:tc>
          <w:tcPr>
            <w:tcW w:w="100" w:type="dxa"/>
            <w:vAlign w:val="bottom"/>
          </w:tcPr>
          <w:p>
            <w:pPr>
              <w:spacing w:after="0"/>
              <w:rPr>
                <w:sz w:val="16"/>
                <w:szCs w:val="16"/>
                <w:color w:val="auto"/>
              </w:rPr>
            </w:pPr>
          </w:p>
        </w:tc>
        <w:tc>
          <w:tcPr>
            <w:tcW w:w="1100" w:type="dxa"/>
            <w:vAlign w:val="bottom"/>
          </w:tcPr>
          <w:p>
            <w:pPr>
              <w:jc w:val="right"/>
              <w:ind w:right="167"/>
              <w:spacing w:after="0"/>
              <w:rPr>
                <w:sz w:val="20"/>
                <w:szCs w:val="20"/>
                <w:color w:val="auto"/>
              </w:rPr>
            </w:pPr>
            <w:r>
              <w:rPr>
                <w:rFonts w:ascii="Arial" w:cs="Arial" w:eastAsia="Arial" w:hAnsi="Arial"/>
                <w:sz w:val="14"/>
                <w:szCs w:val="14"/>
                <w:b w:val="1"/>
                <w:bCs w:val="1"/>
                <w:color w:val="auto"/>
              </w:rPr>
              <w:t>CHANGE</w:t>
            </w:r>
          </w:p>
        </w:tc>
      </w:tr>
      <w:tr>
        <w:trPr>
          <w:trHeight w:val="206"/>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259.1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229.3</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01"/>
        </w:trPr>
        <w:tc>
          <w:tcPr>
            <w:tcW w:w="6840" w:type="dxa"/>
            <w:vAlign w:val="bottom"/>
          </w:tcPr>
          <w:p>
            <w:pPr>
              <w:ind w:left="140"/>
              <w:spacing w:after="0"/>
              <w:rPr>
                <w:sz w:val="20"/>
                <w:szCs w:val="20"/>
                <w:color w:val="auto"/>
              </w:rPr>
            </w:pPr>
            <w:r>
              <w:rPr>
                <w:rFonts w:ascii="Arial" w:cs="Arial" w:eastAsia="Arial" w:hAnsi="Arial"/>
                <w:sz w:val="15"/>
                <w:szCs w:val="15"/>
                <w:color w:val="auto"/>
              </w:rPr>
              <w:t>% of Restaurant sales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23.1 %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23.4 %</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(0.3)%</w:t>
            </w:r>
          </w:p>
        </w:tc>
      </w:tr>
    </w:tbl>
    <w:p>
      <w:pPr>
        <w:spacing w:after="0" w:line="31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Other restaurant operating expenses decreased as a percentage of Restaurant sales during the thirteen weeks ended March 27, 2022 as compared to the thirteen weeks ended March 28, 2021 primarily due to 2.3% from leveraging increased restaurant sales, partially offset by increases as a percentage of Restaurant sales of 1.3% from higher operating expenses including utilities and 0.5% from higher advertising expense.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from operations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6"/>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27, 2022</w:t>
            </w: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66"/>
              <w:spacing w:after="0"/>
              <w:rPr>
                <w:sz w:val="20"/>
                <w:szCs w:val="20"/>
                <w:color w:val="auto"/>
              </w:rPr>
            </w:pPr>
            <w:r>
              <w:rPr>
                <w:rFonts w:ascii="Arial" w:cs="Arial" w:eastAsia="Arial" w:hAnsi="Arial"/>
                <w:sz w:val="14"/>
                <w:szCs w:val="14"/>
                <w:b w:val="1"/>
                <w:bCs w:val="1"/>
                <w:color w:val="auto"/>
                <w:w w:val="99"/>
              </w:rPr>
              <w:t>MARCH 28, 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6"/>
              <w:spacing w:after="0"/>
              <w:rPr>
                <w:sz w:val="20"/>
                <w:szCs w:val="20"/>
                <w:color w:val="auto"/>
              </w:rPr>
            </w:pPr>
            <w:r>
              <w:rPr>
                <w:rFonts w:ascii="Arial" w:cs="Arial" w:eastAsia="Arial" w:hAnsi="Arial"/>
                <w:sz w:val="14"/>
                <w:szCs w:val="14"/>
                <w:b w:val="1"/>
                <w:bCs w:val="1"/>
                <w:color w:val="auto"/>
              </w:rPr>
              <w:t>CHANGE</w:t>
            </w:r>
          </w:p>
        </w:tc>
      </w:tr>
      <w:tr>
        <w:trPr>
          <w:trHeight w:val="206"/>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107.3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91.0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16.3</w:t>
            </w:r>
          </w:p>
        </w:tc>
      </w:tr>
      <w:tr>
        <w:trPr>
          <w:trHeight w:val="201"/>
        </w:trPr>
        <w:tc>
          <w:tcPr>
            <w:tcW w:w="6840" w:type="dxa"/>
            <w:vAlign w:val="bottom"/>
          </w:tcPr>
          <w:p>
            <w:pPr>
              <w:ind w:left="140"/>
              <w:spacing w:after="0"/>
              <w:rPr>
                <w:sz w:val="20"/>
                <w:szCs w:val="20"/>
                <w:color w:val="auto"/>
              </w:rPr>
            </w:pPr>
            <w:r>
              <w:rPr>
                <w:rFonts w:ascii="Arial" w:cs="Arial" w:eastAsia="Arial" w:hAnsi="Arial"/>
                <w:sz w:val="15"/>
                <w:szCs w:val="15"/>
                <w:color w:val="auto"/>
              </w:rPr>
              <w:t>% of Total revenues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0.2 %</w:t>
            </w:r>
          </w:p>
        </w:tc>
      </w:tr>
    </w:tbl>
    <w:p>
      <w:pPr>
        <w:spacing w:after="0" w:line="31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increase in Income from operations generated during the thirteen weeks ended March 27, 2022 as compared to the thirteen weeks ended March 28, 2021 was primarily due to increases in average check per person and the net benefit of lapping the impact of COVID-19, as well as higher franchise revenues. These increases were partially offset by: (i) commodity and wage rate inflation, (ii) higher operating expenses including utilities and (iii) higher advertising expense.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Provision for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40" w:type="dxa"/>
            <w:vAlign w:val="bottom"/>
          </w:tcPr>
          <w:p>
            <w:pPr>
              <w:spacing w:after="0"/>
              <w:rPr>
                <w:sz w:val="17"/>
                <w:szCs w:val="17"/>
                <w:color w:val="auto"/>
              </w:rPr>
            </w:pPr>
          </w:p>
        </w:tc>
        <w:tc>
          <w:tcPr>
            <w:tcW w:w="3300" w:type="dxa"/>
            <w:vAlign w:val="bottom"/>
            <w:gridSpan w:val="4"/>
          </w:tcPr>
          <w:p>
            <w:pPr>
              <w:ind w:left="720"/>
              <w:spacing w:after="0"/>
              <w:rPr>
                <w:sz w:val="20"/>
                <w:szCs w:val="20"/>
                <w:color w:val="auto"/>
              </w:rPr>
            </w:pPr>
            <w:r>
              <w:rPr>
                <w:rFonts w:ascii="Arial" w:cs="Arial" w:eastAsia="Arial" w:hAnsi="Arial"/>
                <w:sz w:val="14"/>
                <w:szCs w:val="14"/>
                <w:b w:val="1"/>
                <w:bCs w:val="1"/>
                <w:color w:val="auto"/>
              </w:rPr>
              <w:t>THIRTEEN WEEKS ENDED</w:t>
            </w:r>
          </w:p>
        </w:tc>
        <w:tc>
          <w:tcPr>
            <w:tcW w:w="1100" w:type="dxa"/>
            <w:vAlign w:val="bottom"/>
          </w:tcPr>
          <w:p>
            <w:pPr>
              <w:spacing w:after="0"/>
              <w:rPr>
                <w:sz w:val="17"/>
                <w:szCs w:val="17"/>
                <w:color w:val="auto"/>
              </w:rPr>
            </w:pPr>
          </w:p>
        </w:tc>
      </w:tr>
      <w:tr>
        <w:trPr>
          <w:trHeight w:val="173"/>
        </w:trPr>
        <w:tc>
          <w:tcPr>
            <w:tcW w:w="6840" w:type="dxa"/>
            <w:vAlign w:val="bottom"/>
          </w:tcPr>
          <w:p>
            <w:pPr>
              <w:spacing w:after="0"/>
              <w:rPr>
                <w:sz w:val="15"/>
                <w:szCs w:val="15"/>
                <w:color w:val="auto"/>
              </w:rPr>
            </w:pPr>
          </w:p>
        </w:tc>
        <w:tc>
          <w:tcPr>
            <w:tcW w:w="164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MARCH 27, 2022</w:t>
            </w:r>
          </w:p>
        </w:tc>
        <w:tc>
          <w:tcPr>
            <w:tcW w:w="1560" w:type="dxa"/>
            <w:vAlign w:val="bottom"/>
            <w:tcBorders>
              <w:top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MARCH 28, 2021</w:t>
            </w:r>
          </w:p>
        </w:tc>
        <w:tc>
          <w:tcPr>
            <w:tcW w:w="100" w:type="dxa"/>
            <w:vAlign w:val="bottom"/>
          </w:tcPr>
          <w:p>
            <w:pPr>
              <w:spacing w:after="0"/>
              <w:rPr>
                <w:sz w:val="15"/>
                <w:szCs w:val="15"/>
                <w:color w:val="auto"/>
              </w:rPr>
            </w:pPr>
          </w:p>
        </w:tc>
        <w:tc>
          <w:tcPr>
            <w:tcW w:w="1100" w:type="dxa"/>
            <w:vAlign w:val="bottom"/>
          </w:tcPr>
          <w:p>
            <w:pPr>
              <w:jc w:val="right"/>
              <w:ind w:right="167"/>
              <w:spacing w:after="0"/>
              <w:rPr>
                <w:sz w:val="20"/>
                <w:szCs w:val="20"/>
                <w:color w:val="auto"/>
              </w:rPr>
            </w:pPr>
            <w:r>
              <w:rPr>
                <w:rFonts w:ascii="Arial" w:cs="Arial" w:eastAsia="Arial" w:hAnsi="Arial"/>
                <w:sz w:val="14"/>
                <w:szCs w:val="14"/>
                <w:b w:val="1"/>
                <w:bCs w:val="1"/>
                <w:color w:val="auto"/>
              </w:rPr>
              <w:t>CHANGE</w:t>
            </w:r>
          </w:p>
        </w:tc>
      </w:tr>
      <w:tr>
        <w:trPr>
          <w:trHeight w:val="206"/>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Effective income tax rate</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17.0 %</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8.6 %</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8.4 %</w:t>
            </w:r>
          </w:p>
        </w:tc>
      </w:tr>
    </w:tbl>
    <w:p>
      <w:pPr>
        <w:spacing w:after="0" w:line="200" w:lineRule="exact"/>
        <w:rPr>
          <w:sz w:val="20"/>
          <w:szCs w:val="20"/>
          <w:color w:val="auto"/>
        </w:rPr>
      </w:pPr>
    </w:p>
    <w:p>
      <w:pPr>
        <w:spacing w:after="0" w:line="273"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The effective income tax rate for the thirteen weeks ended March 27, 2022 increased by 8.4 percentage points as compared to the thirteen weeks ended March 28, 2021. The increase was primarily due to the change in the amount and mix of forecasted pre-tax book income across our U.S. and international subsidiaries.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SEGMENT PERFORMANCE</w:t>
      </w:r>
    </w:p>
    <w:p>
      <w:pPr>
        <w:spacing w:after="0" w:line="233"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We consider our restaurant concepts and international markets as operating segments, which reflects how we manage our business, review operating performance and allocate resources. Resources are allocated and performance is assessed by our CEO, whom we have determined to be our CODM. We aggregate our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39"/>
        </w:trPr>
        <w:tc>
          <w:tcPr>
            <w:tcW w:w="266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U.S.</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458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3820" w:type="dxa"/>
            <w:vAlign w:val="bottom"/>
            <w:tcBorders>
              <w:top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66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United States of America</w:t>
            </w: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Bonefish Grill</w:t>
            </w:r>
          </w:p>
        </w:tc>
        <w:tc>
          <w:tcPr>
            <w:tcW w:w="100" w:type="dxa"/>
            <w:vAlign w:val="bottom"/>
            <w:tcBorders>
              <w:right w:val="single" w:sz="8" w:color="auto"/>
            </w:tcBorders>
            <w:shd w:val="clear" w:color="auto" w:fill="CCEEFF"/>
          </w:tcPr>
          <w:p>
            <w:pPr>
              <w:spacing w:after="0"/>
              <w:rPr>
                <w:sz w:val="8"/>
                <w:szCs w:val="8"/>
                <w:color w:val="auto"/>
              </w:rPr>
            </w:pPr>
          </w:p>
        </w:tc>
        <w:tc>
          <w:tcPr>
            <w:tcW w:w="38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660" w:type="dxa"/>
            <w:vAlign w:val="bottom"/>
            <w:tcBorders>
              <w:left w:val="single" w:sz="8" w:color="auto"/>
              <w:right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580" w:type="dxa"/>
            <w:vAlign w:val="bottom"/>
            <w:tcBorders>
              <w:right w:val="single" w:sz="8" w:color="auto"/>
            </w:tcBorders>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38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Fleming’s Prime Steakhouse &amp; Wine Bar</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International</w:t>
            </w: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 Hong Kong/China</w:t>
            </w: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Carrabba’s Italian Grill (Abbraccio)</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5"/>
                <w:szCs w:val="15"/>
                <w:color w:val="auto"/>
              </w:rPr>
              <w:t>_________________</w:t>
            </w:r>
          </w:p>
        </w:tc>
        <w:tc>
          <w:tcPr>
            <w:tcW w:w="10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Includes franchise locations.</w:t>
      </w:r>
    </w:p>
    <w:p>
      <w:pPr>
        <w:spacing w:after="0" w:line="219"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201" w:lineRule="exact"/>
        <w:rPr>
          <w:sz w:val="20"/>
          <w:szCs w:val="20"/>
          <w:color w:val="auto"/>
        </w:rPr>
      </w:pPr>
    </w:p>
    <w:p>
      <w:pPr>
        <w:jc w:val="both"/>
        <w:ind w:right="20"/>
        <w:spacing w:after="0" w:line="264" w:lineRule="auto"/>
        <w:rPr>
          <w:sz w:val="20"/>
          <w:szCs w:val="20"/>
          <w:color w:val="auto"/>
        </w:rPr>
      </w:pPr>
      <w:r>
        <w:rPr>
          <w:rFonts w:ascii="Arial" w:cs="Arial" w:eastAsia="Arial" w:hAnsi="Arial"/>
          <w:sz w:val="19"/>
          <w:szCs w:val="19"/>
          <w:color w:val="auto"/>
        </w:rPr>
        <w:t xml:space="preserve">Refer to Note 15 </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Segment Reporting</w:t>
      </w:r>
      <w:r>
        <w:rPr>
          <w:rFonts w:ascii="Arial" w:cs="Arial" w:eastAsia="Arial" w:hAnsi="Arial"/>
          <w:sz w:val="19"/>
          <w:szCs w:val="19"/>
          <w:color w:val="auto"/>
        </w:rPr>
        <w:t xml:space="preserve"> of the Notes to Consolidated Financial Statements for reconciliations of segment income from operations to the consolidated operating results.</w:t>
      </w:r>
    </w:p>
    <w:p>
      <w:pPr>
        <w:spacing w:after="0" w:line="190" w:lineRule="exact"/>
        <w:rPr>
          <w:sz w:val="20"/>
          <w:szCs w:val="20"/>
          <w:color w:val="auto"/>
        </w:rPr>
      </w:pPr>
    </w:p>
    <w:p>
      <w:pPr>
        <w:jc w:val="both"/>
        <w:ind w:right="20"/>
        <w:spacing w:after="0" w:line="248" w:lineRule="auto"/>
        <w:rPr>
          <w:sz w:val="20"/>
          <w:szCs w:val="20"/>
          <w:color w:val="auto"/>
        </w:rPr>
      </w:pPr>
      <w:r>
        <w:rPr>
          <w:rFonts w:ascii="Arial" w:cs="Arial" w:eastAsia="Arial" w:hAnsi="Arial"/>
          <w:sz w:val="19"/>
          <w:szCs w:val="19"/>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Arial" w:cs="Arial" w:eastAsia="Arial" w:hAnsi="Arial"/>
          <w:sz w:val="19"/>
          <w:szCs w:val="19"/>
          <w:i w:val="1"/>
          <w:iCs w:val="1"/>
          <w:color w:val="auto"/>
        </w:rPr>
        <w:t xml:space="preserve">Overview-Key Performance Indicators </w:t>
      </w:r>
      <w:r>
        <w:rPr>
          <w:rFonts w:ascii="Arial" w:cs="Arial" w:eastAsia="Arial" w:hAnsi="Arial"/>
          <w:sz w:val="19"/>
          <w:szCs w:val="19"/>
          <w:color w:val="auto"/>
        </w:rPr>
        <w:t>and</w:t>
      </w:r>
      <w:r>
        <w:rPr>
          <w:rFonts w:ascii="Arial" w:cs="Arial" w:eastAsia="Arial" w:hAnsi="Arial"/>
          <w:sz w:val="19"/>
          <w:szCs w:val="19"/>
          <w:i w:val="1"/>
          <w:iCs w:val="1"/>
          <w:color w:val="auto"/>
        </w:rPr>
        <w:t xml:space="preserve"> Non-GAAP Financial Measures </w:t>
      </w:r>
      <w:r>
        <w:rPr>
          <w:rFonts w:ascii="Arial" w:cs="Arial" w:eastAsia="Arial" w:hAnsi="Arial"/>
          <w:sz w:val="19"/>
          <w:szCs w:val="19"/>
          <w:color w:val="auto"/>
        </w:rPr>
        <w:t>sections of Management’s Discussion and Analysis for additional</w:t>
      </w:r>
      <w:r>
        <w:rPr>
          <w:rFonts w:ascii="Arial" w:cs="Arial" w:eastAsia="Arial" w:hAnsi="Arial"/>
          <w:sz w:val="19"/>
          <w:szCs w:val="19"/>
          <w:i w:val="1"/>
          <w:iCs w:val="1"/>
          <w:color w:val="auto"/>
        </w:rPr>
        <w:t xml:space="preserve"> </w:t>
      </w:r>
      <w:r>
        <w:rPr>
          <w:rFonts w:ascii="Arial" w:cs="Arial" w:eastAsia="Arial" w:hAnsi="Arial"/>
          <w:sz w:val="19"/>
          <w:szCs w:val="19"/>
          <w:color w:val="auto"/>
        </w:rPr>
        <w:t>details regarding the calculation of restaurant-level operating margin.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27, 2022</w:t>
            </w:r>
          </w:p>
        </w:tc>
        <w:tc>
          <w:tcPr>
            <w:tcW w:w="220" w:type="dxa"/>
            <w:vAlign w:val="bottom"/>
          </w:tcPr>
          <w:p>
            <w:pPr>
              <w:spacing w:after="0"/>
              <w:rPr>
                <w:sz w:val="16"/>
                <w:szCs w:val="16"/>
                <w:color w:val="auto"/>
              </w:rPr>
            </w:pPr>
          </w:p>
        </w:tc>
        <w:tc>
          <w:tcPr>
            <w:tcW w:w="1520" w:type="dxa"/>
            <w:vAlign w:val="bottom"/>
          </w:tcPr>
          <w:p>
            <w:pPr>
              <w:jc w:val="right"/>
              <w:ind w:right="264"/>
              <w:spacing w:after="0"/>
              <w:rPr>
                <w:sz w:val="20"/>
                <w:szCs w:val="20"/>
                <w:color w:val="auto"/>
              </w:rPr>
            </w:pPr>
            <w:r>
              <w:rPr>
                <w:rFonts w:ascii="Arial" w:cs="Arial" w:eastAsia="Arial" w:hAnsi="Arial"/>
                <w:sz w:val="14"/>
                <w:szCs w:val="14"/>
                <w:b w:val="1"/>
                <w:bCs w:val="1"/>
                <w:color w:val="auto"/>
              </w:rPr>
              <w:t>MARCH 28, 2021</w:t>
            </w:r>
          </w:p>
        </w:tc>
      </w:tr>
      <w:tr>
        <w:trPr>
          <w:trHeight w:val="193"/>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203"/>
        </w:trPr>
        <w:tc>
          <w:tcPr>
            <w:tcW w:w="766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125"/>
              <w:spacing w:after="0"/>
              <w:rPr>
                <w:sz w:val="20"/>
                <w:szCs w:val="20"/>
                <w:color w:val="auto"/>
              </w:rPr>
            </w:pPr>
            <w:r>
              <w:rPr>
                <w:rFonts w:ascii="Arial" w:cs="Arial" w:eastAsia="Arial" w:hAnsi="Arial"/>
                <w:sz w:val="15"/>
                <w:szCs w:val="15"/>
                <w:color w:val="auto"/>
              </w:rPr>
              <w:t>1,023,635</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104"/>
              <w:spacing w:after="0"/>
              <w:rPr>
                <w:sz w:val="20"/>
                <w:szCs w:val="20"/>
                <w:color w:val="auto"/>
              </w:rPr>
            </w:pPr>
            <w:r>
              <w:rPr>
                <w:rFonts w:ascii="Arial" w:cs="Arial" w:eastAsia="Arial" w:hAnsi="Arial"/>
                <w:sz w:val="15"/>
                <w:szCs w:val="15"/>
                <w:color w:val="auto"/>
              </w:rPr>
              <w:t>900,059</w:t>
            </w:r>
          </w:p>
        </w:tc>
      </w:tr>
      <w:tr>
        <w:trPr>
          <w:trHeight w:val="229"/>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12,772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4,859</w:t>
            </w:r>
          </w:p>
        </w:tc>
      </w:tr>
      <w:tr>
        <w:trPr>
          <w:trHeight w:val="185"/>
        </w:trPr>
        <w:tc>
          <w:tcPr>
            <w:tcW w:w="76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revenues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1,036,407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904,918</w:t>
            </w:r>
          </w:p>
        </w:tc>
      </w:tr>
      <w:tr>
        <w:trPr>
          <w:trHeight w:val="206"/>
        </w:trPr>
        <w:tc>
          <w:tcPr>
            <w:tcW w:w="7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Restaurant-level operating margin</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19.2 %</w:t>
            </w:r>
          </w:p>
        </w:tc>
      </w:tr>
      <w:tr>
        <w:trPr>
          <w:trHeight w:val="203"/>
        </w:trPr>
        <w:tc>
          <w:tcPr>
            <w:tcW w:w="7660" w:type="dxa"/>
            <w:vAlign w:val="bottom"/>
          </w:tcPr>
          <w:p>
            <w:pPr>
              <w:ind w:left="140"/>
              <w:spacing w:after="0"/>
              <w:rPr>
                <w:sz w:val="20"/>
                <w:szCs w:val="20"/>
                <w:color w:val="auto"/>
              </w:rPr>
            </w:pPr>
            <w:r>
              <w:rPr>
                <w:rFonts w:ascii="Arial" w:cs="Arial" w:eastAsia="Arial" w:hAnsi="Arial"/>
                <w:sz w:val="15"/>
                <w:szCs w:val="15"/>
                <w:color w:val="auto"/>
              </w:rPr>
              <w:t>Income from operations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125"/>
              <w:spacing w:after="0"/>
              <w:rPr>
                <w:sz w:val="20"/>
                <w:szCs w:val="20"/>
                <w:color w:val="auto"/>
              </w:rPr>
            </w:pPr>
            <w:r>
              <w:rPr>
                <w:rFonts w:ascii="Arial" w:cs="Arial" w:eastAsia="Arial" w:hAnsi="Arial"/>
                <w:sz w:val="15"/>
                <w:szCs w:val="15"/>
                <w:color w:val="auto"/>
              </w:rPr>
              <w:t>132,226</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104"/>
              <w:spacing w:after="0"/>
              <w:rPr>
                <w:sz w:val="20"/>
                <w:szCs w:val="20"/>
                <w:color w:val="auto"/>
              </w:rPr>
            </w:pPr>
            <w:r>
              <w:rPr>
                <w:rFonts w:ascii="Arial" w:cs="Arial" w:eastAsia="Arial" w:hAnsi="Arial"/>
                <w:sz w:val="15"/>
                <w:szCs w:val="15"/>
                <w:color w:val="auto"/>
              </w:rPr>
              <w:t>121,735</w:t>
            </w:r>
          </w:p>
        </w:tc>
      </w:tr>
      <w:tr>
        <w:trPr>
          <w:trHeight w:val="209"/>
        </w:trPr>
        <w:tc>
          <w:tcPr>
            <w:tcW w:w="7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income margin</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13.5 %</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Restaurant sales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U.S. segment Restaurant sales for the period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THIRTEEN WEEKS ENDED</w:t>
            </w:r>
          </w:p>
        </w:tc>
      </w:tr>
      <w:tr>
        <w:trPr>
          <w:trHeight w:val="206"/>
        </w:trPr>
        <w:tc>
          <w:tcPr>
            <w:tcW w:w="8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 the period ended March 28, 2021</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900.1</w:t>
            </w:r>
          </w:p>
        </w:tc>
      </w:tr>
      <w:tr>
        <w:trPr>
          <w:trHeight w:val="203"/>
        </w:trPr>
        <w:tc>
          <w:tcPr>
            <w:tcW w:w="850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9"/>
        </w:trPr>
        <w:tc>
          <w:tcPr>
            <w:tcW w:w="85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Comparable restaurant sales</w:t>
            </w:r>
          </w:p>
        </w:tc>
        <w:tc>
          <w:tcPr>
            <w:tcW w:w="28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123.8</w:t>
            </w:r>
          </w:p>
        </w:tc>
      </w:tr>
      <w:tr>
        <w:trPr>
          <w:trHeight w:val="203"/>
        </w:trPr>
        <w:tc>
          <w:tcPr>
            <w:tcW w:w="8500" w:type="dxa"/>
            <w:vAlign w:val="bottom"/>
          </w:tcPr>
          <w:p>
            <w:pPr>
              <w:ind w:left="320"/>
              <w:spacing w:after="0"/>
              <w:rPr>
                <w:sz w:val="20"/>
                <w:szCs w:val="20"/>
                <w:color w:val="auto"/>
              </w:rPr>
            </w:pPr>
            <w:r>
              <w:rPr>
                <w:rFonts w:ascii="Arial" w:cs="Arial" w:eastAsia="Arial" w:hAnsi="Arial"/>
                <w:sz w:val="15"/>
                <w:szCs w:val="15"/>
                <w:color w:val="auto"/>
              </w:rPr>
              <w:t>Restaurant openings</w:t>
            </w:r>
          </w:p>
        </w:tc>
        <w:tc>
          <w:tcPr>
            <w:tcW w:w="28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215"/>
        </w:trPr>
        <w:tc>
          <w:tcPr>
            <w:tcW w:w="8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Restaurant closures</w:t>
            </w:r>
          </w:p>
        </w:tc>
        <w:tc>
          <w:tcPr>
            <w:tcW w:w="28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w:t>
            </w:r>
          </w:p>
        </w:tc>
      </w:tr>
      <w:tr>
        <w:trPr>
          <w:trHeight w:val="206"/>
        </w:trPr>
        <w:tc>
          <w:tcPr>
            <w:tcW w:w="8500" w:type="dxa"/>
            <w:vAlign w:val="bottom"/>
          </w:tcPr>
          <w:p>
            <w:pPr>
              <w:ind w:left="20"/>
              <w:spacing w:after="0"/>
              <w:rPr>
                <w:sz w:val="20"/>
                <w:szCs w:val="20"/>
                <w:color w:val="auto"/>
              </w:rPr>
            </w:pPr>
            <w:r>
              <w:rPr>
                <w:rFonts w:ascii="Arial" w:cs="Arial" w:eastAsia="Arial" w:hAnsi="Arial"/>
                <w:sz w:val="15"/>
                <w:szCs w:val="15"/>
                <w:color w:val="auto"/>
              </w:rPr>
              <w:t>For the period ended March 27, 2022</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1,023.7</w:t>
            </w:r>
          </w:p>
        </w:tc>
      </w:tr>
      <w:tr>
        <w:trPr>
          <w:trHeight w:val="20"/>
        </w:trPr>
        <w:tc>
          <w:tcPr>
            <w:tcW w:w="8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increase in U.S. Restaurant sales during the thirteen weeks ended March 27, 2022 was primarily due to: (i) higher comparable restaurant sales primarily attributable to increases in average check per person and (ii) the opening of 13 new restaurants not included in our comparable restaurant sales base. The increase in U.S. Restaurant sales was partially offset by the closure of 17 restaurants since December 27, 2020.</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from operations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increase in U.S. Income from operations generated during the thirteen weeks ended March 27, 2022 as compared to the thirteen weeks ended March 28, 2021 was primarily due to increases in average check per person and the net benefit of lapping the impact of COVID-19, as well as higher franchise revenues. These increases were partially offset by: (i) commodity and wage rate inflation, (ii) higher operating expenses including utilities and (iii) higher advertising expense.</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International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27, 2022</w:t>
            </w:r>
          </w:p>
        </w:tc>
        <w:tc>
          <w:tcPr>
            <w:tcW w:w="220" w:type="dxa"/>
            <w:vAlign w:val="bottom"/>
          </w:tcPr>
          <w:p>
            <w:pPr>
              <w:spacing w:after="0"/>
              <w:rPr>
                <w:sz w:val="16"/>
                <w:szCs w:val="16"/>
                <w:color w:val="auto"/>
              </w:rPr>
            </w:pPr>
          </w:p>
        </w:tc>
        <w:tc>
          <w:tcPr>
            <w:tcW w:w="1520" w:type="dxa"/>
            <w:vAlign w:val="bottom"/>
          </w:tcPr>
          <w:p>
            <w:pPr>
              <w:jc w:val="right"/>
              <w:ind w:right="264"/>
              <w:spacing w:after="0"/>
              <w:rPr>
                <w:sz w:val="20"/>
                <w:szCs w:val="20"/>
                <w:color w:val="auto"/>
              </w:rPr>
            </w:pPr>
            <w:r>
              <w:rPr>
                <w:rFonts w:ascii="Arial" w:cs="Arial" w:eastAsia="Arial" w:hAnsi="Arial"/>
                <w:sz w:val="14"/>
                <w:szCs w:val="14"/>
                <w:b w:val="1"/>
                <w:bCs w:val="1"/>
                <w:color w:val="auto"/>
              </w:rPr>
              <w:t>MARCH 28, 2021</w:t>
            </w:r>
          </w:p>
        </w:tc>
      </w:tr>
      <w:tr>
        <w:trPr>
          <w:trHeight w:val="193"/>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203"/>
        </w:trPr>
        <w:tc>
          <w:tcPr>
            <w:tcW w:w="766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125"/>
              <w:spacing w:after="0"/>
              <w:rPr>
                <w:sz w:val="20"/>
                <w:szCs w:val="20"/>
                <w:color w:val="auto"/>
              </w:rPr>
            </w:pPr>
            <w:r>
              <w:rPr>
                <w:rFonts w:ascii="Arial" w:cs="Arial" w:eastAsia="Arial" w:hAnsi="Arial"/>
                <w:sz w:val="15"/>
                <w:szCs w:val="15"/>
                <w:color w:val="auto"/>
              </w:rPr>
              <w:t>99,940</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104"/>
              <w:spacing w:after="0"/>
              <w:rPr>
                <w:sz w:val="20"/>
                <w:szCs w:val="20"/>
                <w:color w:val="auto"/>
              </w:rPr>
            </w:pPr>
            <w:r>
              <w:rPr>
                <w:rFonts w:ascii="Arial" w:cs="Arial" w:eastAsia="Arial" w:hAnsi="Arial"/>
                <w:sz w:val="15"/>
                <w:szCs w:val="15"/>
                <w:color w:val="auto"/>
              </w:rPr>
              <w:t>79,392</w:t>
            </w:r>
          </w:p>
        </w:tc>
      </w:tr>
      <w:tr>
        <w:trPr>
          <w:trHeight w:val="229"/>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4,188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3,163</w:t>
            </w:r>
          </w:p>
        </w:tc>
      </w:tr>
      <w:tr>
        <w:trPr>
          <w:trHeight w:val="185"/>
        </w:trPr>
        <w:tc>
          <w:tcPr>
            <w:tcW w:w="76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revenues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104,128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82,555</w:t>
            </w:r>
          </w:p>
        </w:tc>
      </w:tr>
      <w:tr>
        <w:trPr>
          <w:trHeight w:val="206"/>
        </w:trPr>
        <w:tc>
          <w:tcPr>
            <w:tcW w:w="7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Restaurant-level operating margin</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14.4 %</w:t>
            </w:r>
          </w:p>
        </w:tc>
      </w:tr>
      <w:tr>
        <w:trPr>
          <w:trHeight w:val="203"/>
        </w:trPr>
        <w:tc>
          <w:tcPr>
            <w:tcW w:w="7660" w:type="dxa"/>
            <w:vAlign w:val="bottom"/>
          </w:tcPr>
          <w:p>
            <w:pPr>
              <w:ind w:left="140"/>
              <w:spacing w:after="0"/>
              <w:rPr>
                <w:sz w:val="20"/>
                <w:szCs w:val="20"/>
                <w:color w:val="auto"/>
              </w:rPr>
            </w:pPr>
            <w:r>
              <w:rPr>
                <w:rFonts w:ascii="Arial" w:cs="Arial" w:eastAsia="Arial" w:hAnsi="Arial"/>
                <w:sz w:val="15"/>
                <w:szCs w:val="15"/>
                <w:color w:val="auto"/>
              </w:rPr>
              <w:t>Income from operations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125"/>
              <w:spacing w:after="0"/>
              <w:rPr>
                <w:sz w:val="20"/>
                <w:szCs w:val="20"/>
                <w:color w:val="auto"/>
              </w:rPr>
            </w:pPr>
            <w:r>
              <w:rPr>
                <w:rFonts w:ascii="Arial" w:cs="Arial" w:eastAsia="Arial" w:hAnsi="Arial"/>
                <w:sz w:val="15"/>
                <w:szCs w:val="15"/>
                <w:color w:val="auto"/>
              </w:rPr>
              <w:t>8,884</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104"/>
              <w:spacing w:after="0"/>
              <w:rPr>
                <w:sz w:val="20"/>
                <w:szCs w:val="20"/>
                <w:color w:val="auto"/>
              </w:rPr>
            </w:pPr>
            <w:r>
              <w:rPr>
                <w:rFonts w:ascii="Arial" w:cs="Arial" w:eastAsia="Arial" w:hAnsi="Arial"/>
                <w:sz w:val="15"/>
                <w:szCs w:val="15"/>
                <w:color w:val="auto"/>
              </w:rPr>
              <w:t>3,537</w:t>
            </w:r>
          </w:p>
        </w:tc>
      </w:tr>
      <w:tr>
        <w:trPr>
          <w:trHeight w:val="209"/>
        </w:trPr>
        <w:tc>
          <w:tcPr>
            <w:tcW w:w="7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income margin</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Restaurant sales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international segment Restaurant sales for the period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THIRTEEN WEEKS ENDED</w:t>
            </w:r>
          </w:p>
        </w:tc>
      </w:tr>
      <w:tr>
        <w:trPr>
          <w:trHeight w:val="206"/>
        </w:trPr>
        <w:tc>
          <w:tcPr>
            <w:tcW w:w="8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 the period ended March 28, 2021</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w:t>
            </w:r>
          </w:p>
        </w:tc>
      </w:tr>
      <w:tr>
        <w:trPr>
          <w:trHeight w:val="203"/>
        </w:trPr>
        <w:tc>
          <w:tcPr>
            <w:tcW w:w="850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9"/>
        </w:trPr>
        <w:tc>
          <w:tcPr>
            <w:tcW w:w="85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Comparable restaurant sales</w:t>
            </w:r>
          </w:p>
        </w:tc>
        <w:tc>
          <w:tcPr>
            <w:tcW w:w="28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r>
      <w:tr>
        <w:trPr>
          <w:trHeight w:val="203"/>
        </w:trPr>
        <w:tc>
          <w:tcPr>
            <w:tcW w:w="8500" w:type="dxa"/>
            <w:vAlign w:val="bottom"/>
          </w:tcPr>
          <w:p>
            <w:pPr>
              <w:ind w:left="320"/>
              <w:spacing w:after="0"/>
              <w:rPr>
                <w:sz w:val="20"/>
                <w:szCs w:val="20"/>
                <w:color w:val="auto"/>
              </w:rPr>
            </w:pPr>
            <w:r>
              <w:rPr>
                <w:rFonts w:ascii="Arial" w:cs="Arial" w:eastAsia="Arial" w:hAnsi="Arial"/>
                <w:sz w:val="15"/>
                <w:szCs w:val="15"/>
                <w:color w:val="auto"/>
              </w:rPr>
              <w:t>Restaurant openings</w:t>
            </w:r>
          </w:p>
        </w:tc>
        <w:tc>
          <w:tcPr>
            <w:tcW w:w="28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02"/>
        </w:trPr>
        <w:tc>
          <w:tcPr>
            <w:tcW w:w="8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Effect of foreign currency translation</w:t>
            </w:r>
          </w:p>
        </w:tc>
        <w:tc>
          <w:tcPr>
            <w:tcW w:w="28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206"/>
        </w:trPr>
        <w:tc>
          <w:tcPr>
            <w:tcW w:w="8500" w:type="dxa"/>
            <w:vAlign w:val="bottom"/>
          </w:tcPr>
          <w:p>
            <w:pPr>
              <w:ind w:left="20"/>
              <w:spacing w:after="0"/>
              <w:rPr>
                <w:sz w:val="20"/>
                <w:szCs w:val="20"/>
                <w:color w:val="auto"/>
              </w:rPr>
            </w:pPr>
            <w:r>
              <w:rPr>
                <w:rFonts w:ascii="Arial" w:cs="Arial" w:eastAsia="Arial" w:hAnsi="Arial"/>
                <w:sz w:val="15"/>
                <w:szCs w:val="15"/>
                <w:color w:val="auto"/>
              </w:rPr>
              <w:t>For the period ended March 27, 2022</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99.9</w:t>
            </w:r>
          </w:p>
        </w:tc>
      </w:tr>
      <w:tr>
        <w:trPr>
          <w:trHeight w:val="20"/>
        </w:trPr>
        <w:tc>
          <w:tcPr>
            <w:tcW w:w="8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increase in international Restaurant sales during the thirteen weeks ended March 27, 2022 was primarily due to higher comparable restaurant sales and the opening of 24 new restaurants not included in our comparable restaurant sales base.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from operations</w:t>
      </w: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increase in international Income from operations generated during the thirteen weeks ended March 27, 2022 as compared to the thirteen weeks ended March 28, 2021 was primarily due to an increase in restaurant operating margin, which includes the recovery of in-restaurant dining from the impact of the COVID-19 pandemic during 2021 and increases in average check per person, partially offset by commodity inflation.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Measures</w:t>
      </w:r>
    </w:p>
    <w:p>
      <w:pPr>
        <w:spacing w:after="0" w:line="239" w:lineRule="exact"/>
        <w:rPr>
          <w:sz w:val="20"/>
          <w:szCs w:val="20"/>
          <w:color w:val="auto"/>
        </w:rPr>
      </w:pPr>
    </w:p>
    <w:p>
      <w:pPr>
        <w:spacing w:after="0" w:line="264" w:lineRule="auto"/>
        <w:rPr>
          <w:sz w:val="20"/>
          <w:szCs w:val="20"/>
          <w:color w:val="auto"/>
        </w:rPr>
      </w:pPr>
      <w:r>
        <w:rPr>
          <w:rFonts w:ascii="Arial" w:cs="Arial" w:eastAsia="Arial" w:hAnsi="Arial"/>
          <w:sz w:val="19"/>
          <w:szCs w:val="19"/>
          <w:i w:val="1"/>
          <w:iCs w:val="1"/>
          <w:color w:val="auto"/>
        </w:rPr>
        <w:t xml:space="preserve">Restaurant-level operating margin </w:t>
      </w:r>
      <w:r>
        <w:rPr>
          <w:rFonts w:ascii="Arial" w:cs="Arial" w:eastAsia="Arial" w:hAnsi="Arial"/>
          <w:sz w:val="19"/>
          <w:szCs w:val="19"/>
          <w:color w:val="auto"/>
        </w:rPr>
        <w:t>- The following tables reconcile consolidated and segment Income from operations and the corresponding</w:t>
      </w:r>
      <w:r>
        <w:rPr>
          <w:rFonts w:ascii="Arial" w:cs="Arial" w:eastAsia="Arial" w:hAnsi="Arial"/>
          <w:sz w:val="19"/>
          <w:szCs w:val="19"/>
          <w:i w:val="1"/>
          <w:iCs w:val="1"/>
          <w:color w:val="auto"/>
        </w:rPr>
        <w:t xml:space="preserve"> </w:t>
      </w:r>
      <w:r>
        <w:rPr>
          <w:rFonts w:ascii="Arial" w:cs="Arial" w:eastAsia="Arial" w:hAnsi="Arial"/>
          <w:sz w:val="19"/>
          <w:szCs w:val="19"/>
          <w:color w:val="auto"/>
        </w:rPr>
        <w:t>margins to Restaurant-level operating income and the corresponding margins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Consolidated</w:t>
            </w:r>
          </w:p>
        </w:tc>
        <w:tc>
          <w:tcPr>
            <w:tcW w:w="2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4"/>
                <w:szCs w:val="14"/>
                <w:b w:val="1"/>
                <w:bCs w:val="1"/>
                <w:color w:val="auto"/>
              </w:rPr>
              <w:t>THIRTEEN WEEKS ENDED</w:t>
            </w:r>
          </w:p>
        </w:tc>
      </w:tr>
      <w:tr>
        <w:trPr>
          <w:trHeight w:val="173"/>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 2022</w:t>
            </w:r>
          </w:p>
        </w:tc>
        <w:tc>
          <w:tcPr>
            <w:tcW w:w="200" w:type="dxa"/>
            <w:vAlign w:val="bottom"/>
          </w:tcPr>
          <w:p>
            <w:pPr>
              <w:spacing w:after="0"/>
              <w:rPr>
                <w:sz w:val="15"/>
                <w:szCs w:val="15"/>
                <w:color w:val="auto"/>
              </w:rPr>
            </w:pPr>
          </w:p>
        </w:tc>
        <w:tc>
          <w:tcPr>
            <w:tcW w:w="1440" w:type="dxa"/>
            <w:vAlign w:val="bottom"/>
          </w:tcPr>
          <w:p>
            <w:pPr>
              <w:jc w:val="right"/>
              <w:ind w:right="204"/>
              <w:spacing w:after="0"/>
              <w:rPr>
                <w:sz w:val="20"/>
                <w:szCs w:val="20"/>
                <w:color w:val="auto"/>
              </w:rPr>
            </w:pPr>
            <w:r>
              <w:rPr>
                <w:rFonts w:ascii="Arial" w:cs="Arial" w:eastAsia="Arial" w:hAnsi="Arial"/>
                <w:sz w:val="14"/>
                <w:szCs w:val="14"/>
                <w:b w:val="1"/>
                <w:bCs w:val="1"/>
                <w:color w:val="auto"/>
              </w:rPr>
              <w:t>MARCH 28, 2021</w:t>
            </w:r>
          </w:p>
        </w:tc>
      </w:tr>
      <w:tr>
        <w:trPr>
          <w:trHeight w:val="206"/>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107,256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90,998</w:t>
            </w:r>
          </w:p>
        </w:tc>
      </w:tr>
      <w:tr>
        <w:trPr>
          <w:trHeight w:val="203"/>
        </w:trPr>
        <w:tc>
          <w:tcPr>
            <w:tcW w:w="7880" w:type="dxa"/>
            <w:vAlign w:val="bottom"/>
          </w:tcPr>
          <w:p>
            <w:pPr>
              <w:ind w:left="140"/>
              <w:spacing w:after="0"/>
              <w:rPr>
                <w:sz w:val="20"/>
                <w:szCs w:val="20"/>
                <w:color w:val="auto"/>
              </w:rPr>
            </w:pPr>
            <w:r>
              <w:rPr>
                <w:rFonts w:ascii="Arial" w:cs="Arial" w:eastAsia="Arial" w:hAnsi="Arial"/>
                <w:sz w:val="15"/>
                <w:szCs w:val="15"/>
                <w:i w:val="1"/>
                <w:iCs w:val="1"/>
                <w:color w:val="auto"/>
              </w:rPr>
              <w:t>Operating income margin</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9.2 %</w:t>
            </w:r>
          </w:p>
        </w:tc>
      </w:tr>
      <w:tr>
        <w:trPr>
          <w:trHeight w:val="209"/>
        </w:trPr>
        <w:tc>
          <w:tcPr>
            <w:tcW w:w="7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3"/>
        </w:trPr>
        <w:tc>
          <w:tcPr>
            <w:tcW w:w="788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200" w:type="dxa"/>
            <w:vAlign w:val="bottom"/>
          </w:tcPr>
          <w:p>
            <w:pPr>
              <w:spacing w:after="0"/>
              <w:rPr>
                <w:sz w:val="17"/>
                <w:szCs w:val="17"/>
                <w:color w:val="auto"/>
              </w:rPr>
            </w:pPr>
          </w:p>
        </w:tc>
        <w:tc>
          <w:tcPr>
            <w:tcW w:w="1420" w:type="dxa"/>
            <w:vAlign w:val="bottom"/>
          </w:tcPr>
          <w:p>
            <w:pPr>
              <w:jc w:val="right"/>
              <w:ind w:right="104"/>
              <w:spacing w:after="0"/>
              <w:rPr>
                <w:sz w:val="20"/>
                <w:szCs w:val="20"/>
                <w:color w:val="auto"/>
              </w:rPr>
            </w:pPr>
            <w:r>
              <w:rPr>
                <w:rFonts w:ascii="Arial" w:cs="Arial" w:eastAsia="Arial" w:hAnsi="Arial"/>
                <w:sz w:val="15"/>
                <w:szCs w:val="15"/>
                <w:color w:val="auto"/>
              </w:rPr>
              <w:t>16,960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8,022</w:t>
            </w:r>
          </w:p>
        </w:tc>
      </w:tr>
      <w:tr>
        <w:trPr>
          <w:trHeight w:val="209"/>
        </w:trPr>
        <w:tc>
          <w:tcPr>
            <w:tcW w:w="7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3"/>
        </w:trPr>
        <w:tc>
          <w:tcPr>
            <w:tcW w:w="788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7"/>
                <w:szCs w:val="17"/>
                <w:color w:val="auto"/>
              </w:rPr>
            </w:pPr>
          </w:p>
        </w:tc>
        <w:tc>
          <w:tcPr>
            <w:tcW w:w="1420" w:type="dxa"/>
            <w:vAlign w:val="bottom"/>
          </w:tcPr>
          <w:p>
            <w:pPr>
              <w:jc w:val="right"/>
              <w:ind w:right="104"/>
              <w:spacing w:after="0"/>
              <w:rPr>
                <w:sz w:val="20"/>
                <w:szCs w:val="20"/>
                <w:color w:val="auto"/>
              </w:rPr>
            </w:pPr>
            <w:r>
              <w:rPr>
                <w:rFonts w:ascii="Arial" w:cs="Arial" w:eastAsia="Arial" w:hAnsi="Arial"/>
                <w:sz w:val="15"/>
                <w:szCs w:val="15"/>
                <w:color w:val="auto"/>
              </w:rPr>
              <w:t>41,775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41,226</w:t>
            </w:r>
          </w:p>
        </w:tc>
      </w:tr>
      <w:tr>
        <w:trPr>
          <w:trHeight w:val="209"/>
        </w:trPr>
        <w:tc>
          <w:tcPr>
            <w:tcW w:w="7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58,674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57,248</w:t>
            </w:r>
          </w:p>
        </w:tc>
      </w:tr>
      <w:tr>
        <w:trPr>
          <w:trHeight w:val="212"/>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1,839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2,200</w:t>
            </w:r>
          </w:p>
        </w:tc>
      </w:tr>
      <w:tr>
        <w:trPr>
          <w:trHeight w:val="22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192,584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183,650</w:t>
            </w:r>
          </w:p>
        </w:tc>
      </w:tr>
      <w:tr>
        <w:trPr>
          <w:trHeight w:val="186"/>
        </w:trPr>
        <w:tc>
          <w:tcPr>
            <w:tcW w:w="788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17.1 %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18.8 %</w:t>
            </w:r>
          </w:p>
        </w:tc>
      </w:tr>
      <w:tr>
        <w:trPr>
          <w:trHeight w:val="463"/>
        </w:trPr>
        <w:tc>
          <w:tcPr>
            <w:tcW w:w="78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U.S.</w:t>
            </w: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4"/>
                <w:szCs w:val="14"/>
                <w:b w:val="1"/>
                <w:bCs w:val="1"/>
                <w:color w:val="auto"/>
              </w:rPr>
              <w:t>THIRTEEN WEEKS ENDED</w:t>
            </w:r>
          </w:p>
        </w:tc>
      </w:tr>
      <w:tr>
        <w:trPr>
          <w:trHeight w:val="173"/>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 2022</w:t>
            </w:r>
          </w:p>
        </w:tc>
        <w:tc>
          <w:tcPr>
            <w:tcW w:w="200" w:type="dxa"/>
            <w:vAlign w:val="bottom"/>
          </w:tcPr>
          <w:p>
            <w:pPr>
              <w:spacing w:after="0"/>
              <w:rPr>
                <w:sz w:val="15"/>
                <w:szCs w:val="15"/>
                <w:color w:val="auto"/>
              </w:rPr>
            </w:pPr>
          </w:p>
        </w:tc>
        <w:tc>
          <w:tcPr>
            <w:tcW w:w="1440" w:type="dxa"/>
            <w:vAlign w:val="bottom"/>
          </w:tcPr>
          <w:p>
            <w:pPr>
              <w:jc w:val="right"/>
              <w:ind w:right="204"/>
              <w:spacing w:after="0"/>
              <w:rPr>
                <w:sz w:val="20"/>
                <w:szCs w:val="20"/>
                <w:color w:val="auto"/>
              </w:rPr>
            </w:pPr>
            <w:r>
              <w:rPr>
                <w:rFonts w:ascii="Arial" w:cs="Arial" w:eastAsia="Arial" w:hAnsi="Arial"/>
                <w:sz w:val="14"/>
                <w:szCs w:val="14"/>
                <w:b w:val="1"/>
                <w:bCs w:val="1"/>
                <w:color w:val="auto"/>
              </w:rPr>
              <w:t>MARCH 28, 2021</w:t>
            </w:r>
          </w:p>
        </w:tc>
      </w:tr>
      <w:tr>
        <w:trPr>
          <w:trHeight w:val="206"/>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132,226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121,735</w:t>
            </w:r>
          </w:p>
        </w:tc>
      </w:tr>
      <w:tr>
        <w:trPr>
          <w:trHeight w:val="203"/>
        </w:trPr>
        <w:tc>
          <w:tcPr>
            <w:tcW w:w="7880" w:type="dxa"/>
            <w:vAlign w:val="bottom"/>
          </w:tcPr>
          <w:p>
            <w:pPr>
              <w:ind w:left="140"/>
              <w:spacing w:after="0"/>
              <w:rPr>
                <w:sz w:val="20"/>
                <w:szCs w:val="20"/>
                <w:color w:val="auto"/>
              </w:rPr>
            </w:pPr>
            <w:r>
              <w:rPr>
                <w:rFonts w:ascii="Arial" w:cs="Arial" w:eastAsia="Arial" w:hAnsi="Arial"/>
                <w:sz w:val="15"/>
                <w:szCs w:val="15"/>
                <w:i w:val="1"/>
                <w:iCs w:val="1"/>
                <w:color w:val="auto"/>
              </w:rPr>
              <w:t>Operating income margin</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12.8 %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13.5 %</w:t>
            </w:r>
          </w:p>
        </w:tc>
      </w:tr>
      <w:tr>
        <w:trPr>
          <w:trHeight w:val="209"/>
        </w:trPr>
        <w:tc>
          <w:tcPr>
            <w:tcW w:w="7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3"/>
        </w:trPr>
        <w:tc>
          <w:tcPr>
            <w:tcW w:w="788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200" w:type="dxa"/>
            <w:vAlign w:val="bottom"/>
          </w:tcPr>
          <w:p>
            <w:pPr>
              <w:spacing w:after="0"/>
              <w:rPr>
                <w:sz w:val="17"/>
                <w:szCs w:val="17"/>
                <w:color w:val="auto"/>
              </w:rPr>
            </w:pPr>
          </w:p>
        </w:tc>
        <w:tc>
          <w:tcPr>
            <w:tcW w:w="1420" w:type="dxa"/>
            <w:vAlign w:val="bottom"/>
          </w:tcPr>
          <w:p>
            <w:pPr>
              <w:jc w:val="right"/>
              <w:ind w:right="104"/>
              <w:spacing w:after="0"/>
              <w:rPr>
                <w:sz w:val="20"/>
                <w:szCs w:val="20"/>
                <w:color w:val="auto"/>
              </w:rPr>
            </w:pPr>
            <w:r>
              <w:rPr>
                <w:rFonts w:ascii="Arial" w:cs="Arial" w:eastAsia="Arial" w:hAnsi="Arial"/>
                <w:sz w:val="15"/>
                <w:szCs w:val="15"/>
                <w:color w:val="auto"/>
              </w:rPr>
              <w:t>12,772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4,859</w:t>
            </w:r>
          </w:p>
        </w:tc>
      </w:tr>
      <w:tr>
        <w:trPr>
          <w:trHeight w:val="209"/>
        </w:trPr>
        <w:tc>
          <w:tcPr>
            <w:tcW w:w="7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3"/>
        </w:trPr>
        <w:tc>
          <w:tcPr>
            <w:tcW w:w="788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7"/>
                <w:szCs w:val="17"/>
                <w:color w:val="auto"/>
              </w:rPr>
            </w:pPr>
          </w:p>
        </w:tc>
        <w:tc>
          <w:tcPr>
            <w:tcW w:w="1420" w:type="dxa"/>
            <w:vAlign w:val="bottom"/>
          </w:tcPr>
          <w:p>
            <w:pPr>
              <w:jc w:val="right"/>
              <w:ind w:right="104"/>
              <w:spacing w:after="0"/>
              <w:rPr>
                <w:sz w:val="20"/>
                <w:szCs w:val="20"/>
                <w:color w:val="auto"/>
              </w:rPr>
            </w:pPr>
            <w:r>
              <w:rPr>
                <w:rFonts w:ascii="Arial" w:cs="Arial" w:eastAsia="Arial" w:hAnsi="Arial"/>
                <w:sz w:val="15"/>
                <w:szCs w:val="15"/>
                <w:color w:val="auto"/>
              </w:rPr>
              <w:t>34,758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33,645</w:t>
            </w:r>
          </w:p>
        </w:tc>
      </w:tr>
      <w:tr>
        <w:trPr>
          <w:trHeight w:val="209"/>
        </w:trPr>
        <w:tc>
          <w:tcPr>
            <w:tcW w:w="7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23,445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21,092</w:t>
            </w:r>
          </w:p>
        </w:tc>
      </w:tr>
      <w:tr>
        <w:trPr>
          <w:trHeight w:val="212"/>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1,463</w:t>
            </w:r>
          </w:p>
        </w:tc>
      </w:tr>
      <w:tr>
        <w:trPr>
          <w:trHeight w:val="22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177,715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173,076</w:t>
            </w:r>
          </w:p>
        </w:tc>
      </w:tr>
      <w:tr>
        <w:trPr>
          <w:trHeight w:val="186"/>
        </w:trPr>
        <w:tc>
          <w:tcPr>
            <w:tcW w:w="788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17.4 %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19.2 %</w:t>
            </w:r>
          </w:p>
        </w:tc>
      </w:tr>
      <w:tr>
        <w:trPr>
          <w:trHeight w:val="463"/>
        </w:trPr>
        <w:tc>
          <w:tcPr>
            <w:tcW w:w="78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International</w:t>
            </w: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4"/>
                <w:szCs w:val="14"/>
                <w:b w:val="1"/>
                <w:bCs w:val="1"/>
                <w:color w:val="auto"/>
              </w:rPr>
              <w:t>THIRTEEN WEEKS ENDED</w:t>
            </w:r>
          </w:p>
        </w:tc>
      </w:tr>
      <w:tr>
        <w:trPr>
          <w:trHeight w:val="173"/>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 2022</w:t>
            </w:r>
          </w:p>
        </w:tc>
        <w:tc>
          <w:tcPr>
            <w:tcW w:w="200" w:type="dxa"/>
            <w:vAlign w:val="bottom"/>
          </w:tcPr>
          <w:p>
            <w:pPr>
              <w:spacing w:after="0"/>
              <w:rPr>
                <w:sz w:val="15"/>
                <w:szCs w:val="15"/>
                <w:color w:val="auto"/>
              </w:rPr>
            </w:pPr>
          </w:p>
        </w:tc>
        <w:tc>
          <w:tcPr>
            <w:tcW w:w="1440" w:type="dxa"/>
            <w:vAlign w:val="bottom"/>
          </w:tcPr>
          <w:p>
            <w:pPr>
              <w:jc w:val="right"/>
              <w:ind w:right="204"/>
              <w:spacing w:after="0"/>
              <w:rPr>
                <w:sz w:val="20"/>
                <w:szCs w:val="20"/>
                <w:color w:val="auto"/>
              </w:rPr>
            </w:pPr>
            <w:r>
              <w:rPr>
                <w:rFonts w:ascii="Arial" w:cs="Arial" w:eastAsia="Arial" w:hAnsi="Arial"/>
                <w:sz w:val="14"/>
                <w:szCs w:val="14"/>
                <w:b w:val="1"/>
                <w:bCs w:val="1"/>
                <w:color w:val="auto"/>
              </w:rPr>
              <w:t>MARCH 28, 2021</w:t>
            </w:r>
          </w:p>
        </w:tc>
      </w:tr>
      <w:tr>
        <w:trPr>
          <w:trHeight w:val="206"/>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8,884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3,537</w:t>
            </w:r>
          </w:p>
        </w:tc>
      </w:tr>
      <w:tr>
        <w:trPr>
          <w:trHeight w:val="203"/>
        </w:trPr>
        <w:tc>
          <w:tcPr>
            <w:tcW w:w="7880" w:type="dxa"/>
            <w:vAlign w:val="bottom"/>
          </w:tcPr>
          <w:p>
            <w:pPr>
              <w:ind w:left="140"/>
              <w:spacing w:after="0"/>
              <w:rPr>
                <w:sz w:val="20"/>
                <w:szCs w:val="20"/>
                <w:color w:val="auto"/>
              </w:rPr>
            </w:pPr>
            <w:r>
              <w:rPr>
                <w:rFonts w:ascii="Arial" w:cs="Arial" w:eastAsia="Arial" w:hAnsi="Arial"/>
                <w:sz w:val="15"/>
                <w:szCs w:val="15"/>
                <w:i w:val="1"/>
                <w:iCs w:val="1"/>
                <w:color w:val="auto"/>
              </w:rPr>
              <w:t>Operating income margin</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4.3 %</w:t>
            </w:r>
          </w:p>
        </w:tc>
      </w:tr>
      <w:tr>
        <w:trPr>
          <w:trHeight w:val="209"/>
        </w:trPr>
        <w:tc>
          <w:tcPr>
            <w:tcW w:w="7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3"/>
        </w:trPr>
        <w:tc>
          <w:tcPr>
            <w:tcW w:w="788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200" w:type="dxa"/>
            <w:vAlign w:val="bottom"/>
          </w:tcPr>
          <w:p>
            <w:pPr>
              <w:spacing w:after="0"/>
              <w:rPr>
                <w:sz w:val="17"/>
                <w:szCs w:val="17"/>
                <w:color w:val="auto"/>
              </w:rPr>
            </w:pPr>
          </w:p>
        </w:tc>
        <w:tc>
          <w:tcPr>
            <w:tcW w:w="1420" w:type="dxa"/>
            <w:vAlign w:val="bottom"/>
          </w:tcPr>
          <w:p>
            <w:pPr>
              <w:jc w:val="right"/>
              <w:ind w:right="104"/>
              <w:spacing w:after="0"/>
              <w:rPr>
                <w:sz w:val="20"/>
                <w:szCs w:val="20"/>
                <w:color w:val="auto"/>
              </w:rPr>
            </w:pPr>
            <w:r>
              <w:rPr>
                <w:rFonts w:ascii="Arial" w:cs="Arial" w:eastAsia="Arial" w:hAnsi="Arial"/>
                <w:sz w:val="15"/>
                <w:szCs w:val="15"/>
                <w:color w:val="auto"/>
              </w:rPr>
              <w:t>4,188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3,163</w:t>
            </w:r>
          </w:p>
        </w:tc>
      </w:tr>
      <w:tr>
        <w:trPr>
          <w:trHeight w:val="209"/>
        </w:trPr>
        <w:tc>
          <w:tcPr>
            <w:tcW w:w="7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3"/>
        </w:trPr>
        <w:tc>
          <w:tcPr>
            <w:tcW w:w="788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7"/>
                <w:szCs w:val="17"/>
                <w:color w:val="auto"/>
              </w:rPr>
            </w:pPr>
          </w:p>
        </w:tc>
        <w:tc>
          <w:tcPr>
            <w:tcW w:w="1420" w:type="dxa"/>
            <w:vAlign w:val="bottom"/>
          </w:tcPr>
          <w:p>
            <w:pPr>
              <w:jc w:val="right"/>
              <w:ind w:right="104"/>
              <w:spacing w:after="0"/>
              <w:rPr>
                <w:sz w:val="20"/>
                <w:szCs w:val="20"/>
                <w:color w:val="auto"/>
              </w:rPr>
            </w:pPr>
            <w:r>
              <w:rPr>
                <w:rFonts w:ascii="Arial" w:cs="Arial" w:eastAsia="Arial" w:hAnsi="Arial"/>
                <w:sz w:val="15"/>
                <w:szCs w:val="15"/>
                <w:color w:val="auto"/>
              </w:rPr>
              <w:t>5,536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5,720</w:t>
            </w:r>
          </w:p>
        </w:tc>
      </w:tr>
      <w:tr>
        <w:trPr>
          <w:trHeight w:val="209"/>
        </w:trPr>
        <w:tc>
          <w:tcPr>
            <w:tcW w:w="7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4,928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4,605</w:t>
            </w:r>
          </w:p>
        </w:tc>
      </w:tr>
      <w:tr>
        <w:trPr>
          <w:trHeight w:val="212"/>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1,775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707</w:t>
            </w:r>
          </w:p>
        </w:tc>
      </w:tr>
      <w:tr>
        <w:trPr>
          <w:trHeight w:val="22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16,935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11,406</w:t>
            </w:r>
          </w:p>
        </w:tc>
      </w:tr>
      <w:tr>
        <w:trPr>
          <w:trHeight w:val="186"/>
        </w:trPr>
        <w:tc>
          <w:tcPr>
            <w:tcW w:w="788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16.9 %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presents the percentages of certain operating cost financial statement line items in relation to Restaurant sales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3700" w:type="dxa"/>
            <w:vAlign w:val="bottom"/>
            <w:tcBorders>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THIRTEEN WEEKS ENDED</w:t>
            </w:r>
          </w:p>
        </w:tc>
      </w:tr>
      <w:tr>
        <w:trPr>
          <w:trHeight w:val="173"/>
        </w:trPr>
        <w:tc>
          <w:tcPr>
            <w:tcW w:w="7540" w:type="dxa"/>
            <w:vAlign w:val="bottom"/>
          </w:tcPr>
          <w:p>
            <w:pPr>
              <w:spacing w:after="0"/>
              <w:rPr>
                <w:sz w:val="15"/>
                <w:szCs w:val="15"/>
                <w:color w:val="auto"/>
              </w:rPr>
            </w:pPr>
          </w:p>
        </w:tc>
        <w:tc>
          <w:tcPr>
            <w:tcW w:w="192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27, 2022</w:t>
            </w:r>
          </w:p>
        </w:tc>
        <w:tc>
          <w:tcPr>
            <w:tcW w:w="1780" w:type="dxa"/>
            <w:vAlign w:val="bottom"/>
          </w:tcPr>
          <w:p>
            <w:pPr>
              <w:jc w:val="right"/>
              <w:ind w:right="284"/>
              <w:spacing w:after="0"/>
              <w:rPr>
                <w:sz w:val="20"/>
                <w:szCs w:val="20"/>
                <w:color w:val="auto"/>
              </w:rPr>
            </w:pPr>
            <w:r>
              <w:rPr>
                <w:rFonts w:ascii="Arial" w:cs="Arial" w:eastAsia="Arial" w:hAnsi="Arial"/>
                <w:sz w:val="14"/>
                <w:szCs w:val="14"/>
                <w:b w:val="1"/>
                <w:bCs w:val="1"/>
                <w:color w:val="auto"/>
              </w:rPr>
              <w:t>MARCH 28, 2021</w:t>
            </w:r>
          </w:p>
        </w:tc>
      </w:tr>
      <w:tr>
        <w:trPr>
          <w:trHeight w:val="20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 sales</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45"/>
        </w:trPr>
        <w:tc>
          <w:tcPr>
            <w:tcW w:w="7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06"/>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32.0 %</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29.8 %</w:t>
            </w:r>
          </w:p>
        </w:tc>
      </w:tr>
      <w:tr>
        <w:trPr>
          <w:trHeight w:val="203"/>
        </w:trPr>
        <w:tc>
          <w:tcPr>
            <w:tcW w:w="7540" w:type="dxa"/>
            <w:vAlign w:val="bottom"/>
          </w:tcPr>
          <w:p>
            <w:pPr>
              <w:ind w:left="20"/>
              <w:spacing w:after="0"/>
              <w:rPr>
                <w:sz w:val="20"/>
                <w:szCs w:val="20"/>
                <w:color w:val="auto"/>
              </w:rPr>
            </w:pPr>
            <w:r>
              <w:rPr>
                <w:rFonts w:ascii="Arial" w:cs="Arial" w:eastAsia="Arial" w:hAnsi="Arial"/>
                <w:sz w:val="15"/>
                <w:szCs w:val="15"/>
                <w:color w:val="auto"/>
              </w:rPr>
              <w:t>Labor and other related</w:t>
            </w:r>
          </w:p>
        </w:tc>
        <w:tc>
          <w:tcPr>
            <w:tcW w:w="1800" w:type="dxa"/>
            <w:vAlign w:val="bottom"/>
          </w:tcPr>
          <w:p>
            <w:pPr>
              <w:jc w:val="right"/>
              <w:spacing w:after="0"/>
              <w:rPr>
                <w:sz w:val="20"/>
                <w:szCs w:val="20"/>
                <w:color w:val="auto"/>
              </w:rPr>
            </w:pPr>
            <w:r>
              <w:rPr>
                <w:rFonts w:ascii="Arial" w:cs="Arial" w:eastAsia="Arial" w:hAnsi="Arial"/>
                <w:sz w:val="15"/>
                <w:szCs w:val="15"/>
                <w:color w:val="auto"/>
              </w:rPr>
              <w:t>27.8 %</w:t>
            </w:r>
          </w:p>
        </w:tc>
        <w:tc>
          <w:tcPr>
            <w:tcW w:w="1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28.0 %</w:t>
            </w:r>
          </w:p>
        </w:tc>
      </w:tr>
      <w:tr>
        <w:trPr>
          <w:trHeight w:val="209"/>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23.1 %</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23.4 %</w:t>
            </w:r>
          </w:p>
        </w:tc>
      </w:tr>
      <w:tr>
        <w:trPr>
          <w:trHeight w:val="245"/>
        </w:trPr>
        <w:tc>
          <w:tcPr>
            <w:tcW w:w="7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06"/>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Restaurant-level operating margin</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17.1 %</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18.8 %</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Adjusted net income and Adjusted diluted earnings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4"/>
                <w:szCs w:val="14"/>
                <w:b w:val="1"/>
                <w:bCs w:val="1"/>
                <w:color w:val="auto"/>
              </w:rPr>
              <w:t>THIRTEEN WEEKS ENDED</w:t>
            </w:r>
          </w:p>
        </w:tc>
      </w:tr>
      <w:tr>
        <w:trPr>
          <w:trHeight w:val="173"/>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5"/>
                <w:szCs w:val="15"/>
                <w:color w:val="auto"/>
              </w:rPr>
            </w:pPr>
          </w:p>
        </w:tc>
        <w:tc>
          <w:tcPr>
            <w:tcW w:w="1300" w:type="dxa"/>
            <w:vAlign w:val="bottom"/>
          </w:tcPr>
          <w:p>
            <w:pPr>
              <w:jc w:val="right"/>
              <w:ind w:right="124"/>
              <w:spacing w:after="0"/>
              <w:rPr>
                <w:sz w:val="20"/>
                <w:szCs w:val="20"/>
                <w:color w:val="auto"/>
              </w:rPr>
            </w:pPr>
            <w:r>
              <w:rPr>
                <w:rFonts w:ascii="Arial" w:cs="Arial" w:eastAsia="Arial" w:hAnsi="Arial"/>
                <w:sz w:val="14"/>
                <w:szCs w:val="14"/>
                <w:b w:val="1"/>
                <w:bCs w:val="1"/>
                <w:color w:val="auto"/>
                <w:w w:val="97"/>
              </w:rPr>
              <w:t>MARCH 28, 2021</w:t>
            </w:r>
          </w:p>
        </w:tc>
      </w:tr>
      <w:tr>
        <w:trPr>
          <w:trHeight w:val="206"/>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net income attributable to Bloomin’ Brands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75,511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70,243</w:t>
            </w:r>
          </w:p>
        </w:tc>
      </w:tr>
      <w:tr>
        <w:trPr>
          <w:trHeight w:val="212"/>
        </w:trPr>
        <w:tc>
          <w:tcPr>
            <w:tcW w:w="8220" w:type="dxa"/>
            <w:vAlign w:val="bottom"/>
          </w:tcPr>
          <w:p>
            <w:pPr>
              <w:ind w:left="120"/>
              <w:spacing w:after="0"/>
              <w:rPr>
                <w:sz w:val="20"/>
                <w:szCs w:val="20"/>
                <w:color w:val="auto"/>
              </w:rPr>
            </w:pPr>
            <w:r>
              <w:rPr>
                <w:rFonts w:ascii="Arial" w:cs="Arial" w:eastAsia="Arial" w:hAnsi="Arial"/>
                <w:sz w:val="15"/>
                <w:szCs w:val="15"/>
                <w:color w:val="auto"/>
              </w:rPr>
              <w:t>Convertible senior notes if-converted method interest adjustment, net of tax (1)</w:t>
            </w: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1,381</w:t>
            </w:r>
          </w:p>
        </w:tc>
      </w:tr>
      <w:tr>
        <w:trPr>
          <w:trHeight w:val="199"/>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attributable to Bloomin’ Brands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75,511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68,862</w:t>
            </w:r>
          </w:p>
        </w:tc>
      </w:tr>
      <w:tr>
        <w:trPr>
          <w:trHeight w:val="232"/>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8220" w:type="dxa"/>
            <w:vAlign w:val="bottom"/>
          </w:tcPr>
          <w:p>
            <w:pPr>
              <w:ind w:left="20"/>
              <w:spacing w:after="0"/>
              <w:rPr>
                <w:sz w:val="20"/>
                <w:szCs w:val="20"/>
                <w:color w:val="auto"/>
              </w:rPr>
            </w:pPr>
            <w:r>
              <w:rPr>
                <w:rFonts w:ascii="Arial" w:cs="Arial" w:eastAsia="Arial" w:hAnsi="Arial"/>
                <w:sz w:val="15"/>
                <w:szCs w:val="15"/>
                <w:color w:val="auto"/>
              </w:rPr>
              <w:t>Adjusted diluted earnings per share (2)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8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6"/>
        </w:trPr>
        <w:tc>
          <w:tcPr>
            <w:tcW w:w="8220" w:type="dxa"/>
            <w:vAlign w:val="bottom"/>
          </w:tcPr>
          <w:p>
            <w:pPr>
              <w:ind w:left="20"/>
              <w:spacing w:after="0"/>
              <w:rPr>
                <w:sz w:val="20"/>
                <w:szCs w:val="20"/>
                <w:color w:val="auto"/>
              </w:rPr>
            </w:pPr>
            <w:r>
              <w:rPr>
                <w:rFonts w:ascii="Arial" w:cs="Arial" w:eastAsia="Arial" w:hAnsi="Arial"/>
                <w:sz w:val="15"/>
                <w:szCs w:val="15"/>
                <w:color w:val="auto"/>
              </w:rPr>
              <w:t>Diluted weighted average common shares outstanding</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103,454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110,641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diluted weighted average common shares outstanding (2)</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94,722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95,448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w:t>
      </w:r>
    </w:p>
    <w:p>
      <w:pPr>
        <w:spacing w:after="0" w:line="20" w:lineRule="exact"/>
        <w:rPr>
          <w:sz w:val="20"/>
          <w:szCs w:val="20"/>
          <w:color w:val="auto"/>
        </w:rPr>
      </w:pPr>
    </w:p>
    <w:p>
      <w:pPr>
        <w:ind w:left="620" w:hanging="617"/>
        <w:spacing w:after="0" w:line="251" w:lineRule="auto"/>
        <w:tabs>
          <w:tab w:leader="none" w:pos="6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Adjustment for interest expense related to the 2025 Notes weighted for the portion of the period prior to our election under the 2025 Notes indenture to settle the principal portion of the 2025 Notes in cash.</w:t>
      </w:r>
    </w:p>
    <w:p>
      <w:pPr>
        <w:jc w:val="both"/>
        <w:ind w:left="620" w:hanging="617"/>
        <w:spacing w:after="0" w:line="280" w:lineRule="auto"/>
        <w:tabs>
          <w:tab w:leader="none" w:pos="6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the thirteen weeks ended March 27, 2022 and March 28, 2021, adjusted diluted weighted average common shares outstanding was calculated excluding the dilutive effect of 8,732 and 9,653 shares, respectively, to be issued upon conversion of the 2025 Notes to satisfy the amount in excess of the principal since our convertible note hedge offsets the dilutive impact of the shares underlying the 2025 Notes. For the thirteen weeks ended March 28, 2021, adjusted diluted weighted average common shares outstanding was also calculated assuming our February 2021 election to settle the principal portion of the 2025 Notes in cash was in effect for the entire period.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 xml:space="preserve">System-Wide Sales - </w:t>
      </w:r>
      <w:r>
        <w:rPr>
          <w:rFonts w:ascii="Arial" w:cs="Arial" w:eastAsia="Arial" w:hAnsi="Arial"/>
          <w:sz w:val="17"/>
          <w:szCs w:val="17"/>
          <w:color w:val="auto"/>
        </w:rPr>
        <w:t>System-wide sales is a non-GAAP financial measure that includes sales of all restaurants operating under our brand names,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 </w:t>
      </w:r>
      <w:r>
        <w:rPr>
          <w:rFonts w:ascii="Arial" w:cs="Arial" w:eastAsia="Arial" w:hAnsi="Arial"/>
          <w:sz w:val="15"/>
          <w:szCs w:val="15"/>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86"/>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6"/>
                <w:szCs w:val="16"/>
                <w:color w:val="auto"/>
              </w:rPr>
            </w:pPr>
          </w:p>
        </w:tc>
        <w:tc>
          <w:tcPr>
            <w:tcW w:w="1300" w:type="dxa"/>
            <w:vAlign w:val="bottom"/>
          </w:tcPr>
          <w:p>
            <w:pPr>
              <w:jc w:val="right"/>
              <w:ind w:right="124"/>
              <w:spacing w:after="0"/>
              <w:rPr>
                <w:sz w:val="20"/>
                <w:szCs w:val="20"/>
                <w:color w:val="auto"/>
              </w:rPr>
            </w:pPr>
            <w:r>
              <w:rPr>
                <w:rFonts w:ascii="Arial" w:cs="Arial" w:eastAsia="Arial" w:hAnsi="Arial"/>
                <w:sz w:val="14"/>
                <w:szCs w:val="14"/>
                <w:b w:val="1"/>
                <w:bCs w:val="1"/>
                <w:color w:val="auto"/>
                <w:w w:val="97"/>
              </w:rPr>
              <w:t>MARCH 28, 2021</w:t>
            </w:r>
          </w:p>
        </w:tc>
        <w:tc>
          <w:tcPr>
            <w:tcW w:w="0" w:type="dxa"/>
            <w:vAlign w:val="bottom"/>
          </w:tcPr>
          <w:p>
            <w:pPr>
              <w:spacing w:after="0"/>
              <w:rPr>
                <w:sz w:val="1"/>
                <w:szCs w:val="1"/>
                <w:color w:val="auto"/>
              </w:rPr>
            </w:pPr>
          </w:p>
        </w:tc>
      </w:tr>
      <w:tr>
        <w:trPr>
          <w:trHeight w:val="19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12"/>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Bonefish Grill</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6"/>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 - South Korea</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12"/>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12"/>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Arial" w:cs="Arial" w:eastAsia="Arial" w:hAnsi="Arial"/>
                <w:sz w:val="15"/>
                <w:szCs w:val="15"/>
                <w:color w:val="auto"/>
              </w:rPr>
              <w:t>Total franchise sales (1)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5"/>
                <w:szCs w:val="15"/>
                <w:color w:val="auto"/>
              </w:rPr>
              <w:t>_____________________</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Franchise sales are not included in Total revenues in the Consolidated Statements of Operations and Comprehensive Income.</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Cash and Cash Equivalents</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of March 27, 2022, we had $97.8 million in cash and cash equivalents, of which $30.1 million was held by foreign affiliates. The international jurisdictions in which we have significant cash do not have any known restrictions that would prohibit repatriation.</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As of March 27, 2022, we had aggregate accumulated foreign earnings of approximately $30.5 million. This amount consisted primarily of historical earnings from 2017 and prior that were previously taxed in the U.S. under the 2017 Tax Cuts and Jobs Act and post-2017 foreign earnings, which we may repatriate to the U.S. without additional U.S. federal income tax. These amounts are not considered indefinitely reinvested in our foreign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Borrowing Capacity and Debt Service</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Credit Facilities </w:t>
      </w:r>
      <w:r>
        <w:rPr>
          <w:rFonts w:ascii="Arial" w:cs="Arial" w:eastAsia="Arial" w:hAnsi="Arial"/>
          <w:sz w:val="19"/>
          <w:szCs w:val="19"/>
          <w:color w:val="auto"/>
        </w:rPr>
        <w:t>- Following is a summary of our outstanding credit facilities as of the dates indicated and principal payments and debt issuance</w:t>
      </w:r>
      <w:r>
        <w:rPr>
          <w:rFonts w:ascii="Arial" w:cs="Arial" w:eastAsia="Arial" w:hAnsi="Arial"/>
          <w:sz w:val="19"/>
          <w:szCs w:val="19"/>
          <w:i w:val="1"/>
          <w:iCs w:val="1"/>
          <w:color w:val="auto"/>
        </w:rPr>
        <w:t xml:space="preserve"> </w:t>
      </w:r>
      <w:r>
        <w:rPr>
          <w:rFonts w:ascii="Arial" w:cs="Arial" w:eastAsia="Arial" w:hAnsi="Arial"/>
          <w:sz w:val="19"/>
          <w:szCs w:val="19"/>
          <w:color w:val="auto"/>
        </w:rPr>
        <w:t>during the period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rPr>
              <w:t>SENIOR SECURED CREDIT FACILITY</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3"/>
                <w:szCs w:val="13"/>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TERM LOAN A</w:t>
            </w:r>
          </w:p>
        </w:tc>
        <w:tc>
          <w:tcPr>
            <w:tcW w:w="1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REVOLVING FACILITY</w:t>
            </w:r>
          </w:p>
        </w:tc>
        <w:tc>
          <w:tcPr>
            <w:tcW w:w="200" w:type="dxa"/>
            <w:vAlign w:val="bottom"/>
          </w:tcPr>
          <w:p>
            <w:pPr>
              <w:spacing w:after="0"/>
              <w:rPr>
                <w:sz w:val="13"/>
                <w:szCs w:val="13"/>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2025 NOTES</w:t>
            </w:r>
          </w:p>
        </w:tc>
        <w:tc>
          <w:tcPr>
            <w:tcW w:w="22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2029 NOTES</w:t>
            </w:r>
          </w:p>
        </w:tc>
        <w:tc>
          <w:tcPr>
            <w:tcW w:w="120" w:type="dxa"/>
            <w:vAlign w:val="bottom"/>
          </w:tcPr>
          <w:p>
            <w:pPr>
              <w:spacing w:after="0"/>
              <w:rPr>
                <w:sz w:val="13"/>
                <w:szCs w:val="13"/>
                <w:color w:val="auto"/>
              </w:rPr>
            </w:pPr>
          </w:p>
        </w:tc>
        <w:tc>
          <w:tcPr>
            <w:tcW w:w="1260" w:type="dxa"/>
            <w:vAlign w:val="bottom"/>
          </w:tcPr>
          <w:p>
            <w:pPr>
              <w:jc w:val="right"/>
              <w:ind w:right="106"/>
              <w:spacing w:after="0" w:line="155" w:lineRule="exact"/>
              <w:rPr>
                <w:sz w:val="20"/>
                <w:szCs w:val="20"/>
                <w:color w:val="auto"/>
              </w:rPr>
            </w:pPr>
            <w:r>
              <w:rPr>
                <w:rFonts w:ascii="Arial" w:cs="Arial" w:eastAsia="Arial" w:hAnsi="Arial"/>
                <w:sz w:val="14"/>
                <w:szCs w:val="14"/>
                <w:b w:val="1"/>
                <w:bCs w:val="1"/>
                <w:color w:val="auto"/>
              </w:rPr>
              <w:t>TOTAL CREDIT</w:t>
            </w:r>
          </w:p>
        </w:tc>
        <w:tc>
          <w:tcPr>
            <w:tcW w:w="0" w:type="dxa"/>
            <w:vAlign w:val="bottom"/>
          </w:tcPr>
          <w:p>
            <w:pPr>
              <w:spacing w:after="0"/>
              <w:rPr>
                <w:sz w:val="1"/>
                <w:szCs w:val="1"/>
                <w:color w:val="auto"/>
              </w:rPr>
            </w:pPr>
          </w:p>
        </w:tc>
      </w:tr>
      <w:tr>
        <w:trPr>
          <w:trHeight w:val="186"/>
        </w:trPr>
        <w:tc>
          <w:tcPr>
            <w:tcW w:w="3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226"/>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06"/>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December 26, 2021</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195,000</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80,000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230,000</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300,000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805,000</w:t>
            </w:r>
          </w:p>
        </w:tc>
        <w:tc>
          <w:tcPr>
            <w:tcW w:w="0" w:type="dxa"/>
            <w:vAlign w:val="bottom"/>
          </w:tcPr>
          <w:p>
            <w:pPr>
              <w:spacing w:after="0"/>
              <w:rPr>
                <w:sz w:val="1"/>
                <w:szCs w:val="1"/>
                <w:color w:val="auto"/>
              </w:rPr>
            </w:pPr>
          </w:p>
        </w:tc>
      </w:tr>
      <w:tr>
        <w:trPr>
          <w:trHeight w:val="203"/>
        </w:trPr>
        <w:tc>
          <w:tcPr>
            <w:tcW w:w="3300" w:type="dxa"/>
            <w:vAlign w:val="bottom"/>
          </w:tcPr>
          <w:p>
            <w:pPr>
              <w:ind w:left="120"/>
              <w:spacing w:after="0"/>
              <w:rPr>
                <w:sz w:val="20"/>
                <w:szCs w:val="20"/>
                <w:color w:val="auto"/>
              </w:rPr>
            </w:pPr>
            <w:r>
              <w:rPr>
                <w:rFonts w:ascii="Arial" w:cs="Arial" w:eastAsia="Arial" w:hAnsi="Arial"/>
                <w:sz w:val="15"/>
                <w:szCs w:val="15"/>
                <w:color w:val="auto"/>
              </w:rPr>
              <w:t>2022 new debt</w:t>
            </w:r>
          </w:p>
        </w:tc>
        <w:tc>
          <w:tcPr>
            <w:tcW w:w="22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7"/>
                <w:szCs w:val="17"/>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90,000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90,000</w:t>
            </w:r>
          </w:p>
        </w:tc>
        <w:tc>
          <w:tcPr>
            <w:tcW w:w="0" w:type="dxa"/>
            <w:vAlign w:val="bottom"/>
          </w:tcPr>
          <w:p>
            <w:pPr>
              <w:spacing w:after="0"/>
              <w:rPr>
                <w:sz w:val="1"/>
                <w:szCs w:val="1"/>
                <w:color w:val="auto"/>
              </w:rPr>
            </w:pPr>
          </w:p>
        </w:tc>
      </w:tr>
      <w:tr>
        <w:trPr>
          <w:trHeight w:val="215"/>
        </w:trPr>
        <w:tc>
          <w:tcPr>
            <w:tcW w:w="33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2022 payments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(2,500)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(160,000)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(162,500)</w:t>
            </w:r>
          </w:p>
        </w:tc>
        <w:tc>
          <w:tcPr>
            <w:tcW w:w="0" w:type="dxa"/>
            <w:vAlign w:val="bottom"/>
          </w:tcPr>
          <w:p>
            <w:pPr>
              <w:spacing w:after="0"/>
              <w:rPr>
                <w:sz w:val="1"/>
                <w:szCs w:val="1"/>
                <w:color w:val="auto"/>
              </w:rPr>
            </w:pPr>
          </w:p>
        </w:tc>
      </w:tr>
      <w:tr>
        <w:trPr>
          <w:trHeight w:val="206"/>
        </w:trPr>
        <w:tc>
          <w:tcPr>
            <w:tcW w:w="3300" w:type="dxa"/>
            <w:vAlign w:val="bottom"/>
            <w:tcBorders>
              <w:top w:val="single" w:sz="8" w:color="CCEEFF"/>
            </w:tcBorders>
          </w:tcPr>
          <w:p>
            <w:pPr>
              <w:ind w:left="20"/>
              <w:spacing w:after="0"/>
              <w:rPr>
                <w:sz w:val="20"/>
                <w:szCs w:val="20"/>
                <w:color w:val="auto"/>
              </w:rPr>
            </w:pPr>
            <w:r>
              <w:rPr>
                <w:rFonts w:ascii="Arial" w:cs="Arial" w:eastAsia="Arial" w:hAnsi="Arial"/>
                <w:sz w:val="15"/>
                <w:szCs w:val="15"/>
                <w:color w:val="auto"/>
              </w:rPr>
              <w:t>Balance as of March 27, 2022</w:t>
            </w: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rPr>
              <w:t>192,500</w:t>
            </w:r>
          </w:p>
        </w:tc>
        <w:tc>
          <w:tcPr>
            <w:tcW w:w="100" w:type="dxa"/>
            <w:vAlign w:val="bottom"/>
            <w:tcBorders>
              <w:top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rPr>
              <w:t>10,000</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rPr>
              <w:t>230,000</w:t>
            </w: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rPr>
              <w:t>300,000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732,500</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Arial" w:cs="Arial" w:eastAsia="Arial" w:hAnsi="Arial"/>
                <w:sz w:val="15"/>
                <w:szCs w:val="15"/>
                <w:color w:val="auto"/>
              </w:rPr>
              <w:t>Interest rates, as of March 27, 2022 (1)</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1.76 %</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4.00 %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5.00 %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5.13 %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maturity date</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April 2026</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April 2026</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May 2025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April 2029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Interest rate for Term loan A represents the weighted average interest rate. Interest rate for the revolving credit facility represents the base rate option elected in anticipation of impending repayment.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of March 27, 2022, we had $769.3 million in available unused borrowing capacity under our revolving credit facility, net of letters of credit of $20.7 million.</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Our Credit Agreement contains various financial and non-financial covenants. A violation of these covenants could negatively impact our liquidity by restricting our ability to borrow under the revolving credit facility and cause an acceleration of the amounts due under the credit facilities. See Note 13 - </w:t>
      </w:r>
      <w:r>
        <w:rPr>
          <w:rFonts w:ascii="Arial" w:cs="Arial" w:eastAsia="Arial" w:hAnsi="Arial"/>
          <w:sz w:val="17"/>
          <w:szCs w:val="17"/>
          <w:i w:val="1"/>
          <w:iCs w:val="1"/>
          <w:color w:val="auto"/>
        </w:rPr>
        <w:t>Long-term Debt, Net</w:t>
      </w:r>
      <w:r>
        <w:rPr>
          <w:rFonts w:ascii="Arial" w:cs="Arial" w:eastAsia="Arial" w:hAnsi="Arial"/>
          <w:sz w:val="17"/>
          <w:szCs w:val="17"/>
          <w:color w:val="auto"/>
        </w:rPr>
        <w:t xml:space="preserve"> in our Annual Report on Form 10-K for the year ended December 26, 2021 for further information.</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of March 27, 2022 and December 26, 2021, we were in compliance with our debt covenants. We believe that we will remain in compliance with our debt covenants during the next 12 months.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Credit Agreement Amendment - </w:t>
      </w:r>
      <w:r>
        <w:rPr>
          <w:rFonts w:ascii="Arial" w:cs="Arial" w:eastAsia="Arial" w:hAnsi="Arial"/>
          <w:sz w:val="18"/>
          <w:szCs w:val="18"/>
          <w:color w:val="auto"/>
        </w:rPr>
        <w:t>On April 26, 2022, we and OSI entered into the Amended Credit Agreement, which included an increase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revolving credit facility from $800.0 million to $1.0 billion and a transition from LIBOR to SOFR as the benchmark rate for purposes of calculating interest under the Senior Secured Credit Facility. At closing, an incremental $192.5 million was drawn on the revolving credit facility to fully repay the outstanding balance of Term loan A. Our total indebtedness remained unchanged as a result of the Amended Credit Agreement. The transition to SOFR did not materially impact the interest rate applied to our borrowings.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See Note 6 - </w:t>
      </w:r>
      <w:r>
        <w:rPr>
          <w:rFonts w:ascii="Arial" w:cs="Arial" w:eastAsia="Arial" w:hAnsi="Arial"/>
          <w:sz w:val="19"/>
          <w:szCs w:val="19"/>
          <w:i w:val="1"/>
          <w:iCs w:val="1"/>
          <w:color w:val="auto"/>
        </w:rPr>
        <w:t>Long-term Debt, Net</w:t>
      </w:r>
      <w:r>
        <w:rPr>
          <w:rFonts w:ascii="Arial" w:cs="Arial" w:eastAsia="Arial" w:hAnsi="Arial"/>
          <w:sz w:val="19"/>
          <w:szCs w:val="19"/>
          <w:color w:val="auto"/>
        </w:rPr>
        <w:t xml:space="preserve"> for additional details regarding the Amended Credit Agreement.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Use of Cash</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Cash flows generated from operating activities and availability under our revolving credit facility are our principal sources of liquidity, which we use for operating expenses, debt payments, share repurchases and dividend payments, development of new restaurants, remodeling or relocating older restaurants and investment in technology.</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i w:val="1"/>
          <w:iCs w:val="1"/>
          <w:color w:val="auto"/>
        </w:rPr>
        <w:t xml:space="preserve">Capital Expenditures </w:t>
      </w:r>
      <w:r>
        <w:rPr>
          <w:rFonts w:ascii="Arial" w:cs="Arial" w:eastAsia="Arial" w:hAnsi="Arial"/>
          <w:sz w:val="19"/>
          <w:szCs w:val="19"/>
          <w:color w:val="auto"/>
        </w:rPr>
        <w:t>- We estimate that our capital expenditures will total approximately $225 million to $240 million in 2022. The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actual capital expenditures may be affected by general economic, financial, competitive, legislative and regulatory factors, among other things, including raw material constraints.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Dividends and Share Repurchases </w:t>
      </w:r>
      <w:r>
        <w:rPr>
          <w:rFonts w:ascii="Arial" w:cs="Arial" w:eastAsia="Arial" w:hAnsi="Arial"/>
          <w:sz w:val="17"/>
          <w:szCs w:val="17"/>
          <w:color w:val="auto"/>
        </w:rPr>
        <w:t>- In April 2022, our Board declared a quarterly cash dividend of $0.14 per share, payable on May 25, 2022.</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Future dividend payments are dependent on our earnings, financial condition, capital expenditure requirements, surplus and other factors that our</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Board considers relevant, as well as continued compliance with the financial covenants in our debt agreements.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On February 8, 2022, our Board approved the 2022 Share Repurchase Program under which we are authorized to repurchase up to $125.0 million of our outstanding common stock. The 2022 Share Repurchase Program will expire on August 9, 2023. As of March 27, 2022, we had $113.3 million remaining available for repurchase under the 2022 Share Repurchase Program.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dividends and share repurchases from fiscal year 2015 through March 27,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DIVIDENDS PAID</w:t>
            </w:r>
          </w:p>
        </w:tc>
        <w:tc>
          <w:tcPr>
            <w:tcW w:w="1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SHARE REPURCHASES</w:t>
            </w:r>
          </w:p>
        </w:tc>
        <w:tc>
          <w:tcPr>
            <w:tcW w:w="360" w:type="dxa"/>
            <w:vAlign w:val="bottom"/>
          </w:tcPr>
          <w:p>
            <w:pPr>
              <w:spacing w:after="0"/>
              <w:rPr>
                <w:sz w:val="17"/>
                <w:szCs w:val="17"/>
                <w:color w:val="auto"/>
              </w:rPr>
            </w:pPr>
          </w:p>
        </w:tc>
        <w:tc>
          <w:tcPr>
            <w:tcW w:w="1380" w:type="dxa"/>
            <w:vAlign w:val="bottom"/>
          </w:tcPr>
          <w:p>
            <w:pPr>
              <w:jc w:val="right"/>
              <w:ind w:right="5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Fiscal year 2015</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169,999</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199,331</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2016</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31,379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309,887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341,266</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2017</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272,736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303,724</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2018</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33,312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113,967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147,279</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2019</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142,726</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2020</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17,480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17,480</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2021</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First fiscal quarter 2022</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12,559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11,702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24,261</w:t>
            </w:r>
          </w:p>
        </w:tc>
        <w:tc>
          <w:tcPr>
            <w:tcW w:w="0" w:type="dxa"/>
            <w:vAlign w:val="bottom"/>
          </w:tcPr>
          <w:p>
            <w:pPr>
              <w:spacing w:after="0"/>
              <w:rPr>
                <w:sz w:val="1"/>
                <w:szCs w:val="1"/>
                <w:color w:val="auto"/>
              </w:rPr>
            </w:pPr>
          </w:p>
        </w:tc>
      </w:tr>
      <w:tr>
        <w:trPr>
          <w:trHeight w:val="231"/>
        </w:trPr>
        <w:tc>
          <w:tcPr>
            <w:tcW w:w="5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(1)</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190,784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985,283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1,176,067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Subsequent to March 27, 2022, we repurchased $15.6 million of our common stock under a Rule 10b5-1 plan.</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Deferred Compensation Programs - </w:t>
      </w:r>
      <w:r>
        <w:rPr>
          <w:rFonts w:ascii="Arial" w:cs="Arial" w:eastAsia="Arial" w:hAnsi="Arial"/>
          <w:sz w:val="19"/>
          <w:szCs w:val="19"/>
          <w:color w:val="auto"/>
        </w:rPr>
        <w:t>The deferred compensation obligation due to managing and chef partners was $11.0 million and $15.5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as of March 27, 2022 and December 26, 2021, respectively. We invest in various corporate-owned life insurance policies, which are held within an irrevocable grantor or rabbi trust account for settlement of our obligations under the deferred compensation plans. The obligation for managing and chef partners’ deferred compensation was fully funded as of March 27, 2022.</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Summary of Cash Flows and Financial Condition</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Cash Flows </w:t>
      </w:r>
      <w:r>
        <w:rPr>
          <w:rFonts w:ascii="Arial" w:cs="Arial" w:eastAsia="Arial" w:hAnsi="Arial"/>
          <w:sz w:val="19"/>
          <w:szCs w:val="19"/>
          <w:color w:val="auto"/>
        </w:rPr>
        <w:t>- The following table presents a summary of our cash flows provided by (used in) operating, investing and financing activities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4"/>
                <w:szCs w:val="14"/>
                <w:b w:val="1"/>
                <w:bCs w:val="1"/>
                <w:color w:val="auto"/>
              </w:rPr>
              <w:t>THIRTEEN WEEKS ENDED</w:t>
            </w:r>
          </w:p>
        </w:tc>
      </w:tr>
      <w:tr>
        <w:trPr>
          <w:trHeight w:val="186"/>
        </w:trPr>
        <w:tc>
          <w:tcPr>
            <w:tcW w:w="81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27, 2022</w:t>
            </w:r>
          </w:p>
        </w:tc>
        <w:tc>
          <w:tcPr>
            <w:tcW w:w="160" w:type="dxa"/>
            <w:vAlign w:val="bottom"/>
          </w:tcPr>
          <w:p>
            <w:pPr>
              <w:spacing w:after="0"/>
              <w:rPr>
                <w:sz w:val="16"/>
                <w:szCs w:val="16"/>
                <w:color w:val="auto"/>
              </w:rPr>
            </w:pPr>
          </w:p>
        </w:tc>
        <w:tc>
          <w:tcPr>
            <w:tcW w:w="1360" w:type="dxa"/>
            <w:vAlign w:val="bottom"/>
          </w:tcPr>
          <w:p>
            <w:pPr>
              <w:jc w:val="right"/>
              <w:ind w:right="164"/>
              <w:spacing w:after="0"/>
              <w:rPr>
                <w:sz w:val="20"/>
                <w:szCs w:val="20"/>
                <w:color w:val="auto"/>
              </w:rPr>
            </w:pPr>
            <w:r>
              <w:rPr>
                <w:rFonts w:ascii="Arial" w:cs="Arial" w:eastAsia="Arial" w:hAnsi="Arial"/>
                <w:sz w:val="14"/>
                <w:szCs w:val="14"/>
                <w:b w:val="1"/>
                <w:bCs w:val="1"/>
                <w:color w:val="auto"/>
                <w:w w:val="99"/>
              </w:rPr>
              <w:t>MARCH 28, 2021</w:t>
            </w:r>
          </w:p>
        </w:tc>
      </w:tr>
      <w:tr>
        <w:trPr>
          <w:trHeight w:val="206"/>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147,135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141,026</w:t>
            </w:r>
          </w:p>
        </w:tc>
      </w:tr>
      <w:tr>
        <w:trPr>
          <w:trHeight w:val="203"/>
        </w:trPr>
        <w:tc>
          <w:tcPr>
            <w:tcW w:w="812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(39,150)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(16,618)</w:t>
            </w:r>
          </w:p>
        </w:tc>
      </w:tr>
      <w:tr>
        <w:trPr>
          <w:trHeight w:val="209"/>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(96,912)</w:t>
            </w:r>
          </w:p>
        </w:tc>
      </w:tr>
      <w:tr>
        <w:trPr>
          <w:trHeight w:val="199"/>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(1,246)</w:t>
            </w:r>
          </w:p>
        </w:tc>
      </w:tr>
      <w:tr>
        <w:trPr>
          <w:trHeight w:val="231"/>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Net increase in cash, cash equivalents and restricted cash</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8,839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26,250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i w:val="1"/>
          <w:iCs w:val="1"/>
          <w:color w:val="auto"/>
        </w:rPr>
        <w:t xml:space="preserve">Operating activities </w:t>
      </w:r>
      <w:r>
        <w:rPr>
          <w:rFonts w:ascii="Arial" w:cs="Arial" w:eastAsia="Arial" w:hAnsi="Arial"/>
          <w:sz w:val="19"/>
          <w:szCs w:val="19"/>
          <w:color w:val="auto"/>
        </w:rPr>
        <w:t>- The increase in net cash provided by operating activities during the thirteen weeks ended March 27, 2022 as compared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thirteen weeks ended March 28, 2021 was primarily due to the timing of collections of gift card receivables and a decrease in cash paid for interest, partially offset by increased employee compensation payments.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Investing activities - </w:t>
      </w:r>
      <w:r>
        <w:rPr>
          <w:rFonts w:ascii="Arial" w:cs="Arial" w:eastAsia="Arial" w:hAnsi="Arial"/>
          <w:sz w:val="19"/>
          <w:szCs w:val="19"/>
          <w:color w:val="auto"/>
        </w:rPr>
        <w:t>The increase in net cash used in investing activities during the thirteen weeks ended March 27, 2022 as compared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thirteen weeks ended March 28, 2021 was primarily due to higher capital expenditures.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 xml:space="preserve">Financing activities - </w:t>
      </w:r>
      <w:r>
        <w:rPr>
          <w:rFonts w:ascii="Arial" w:cs="Arial" w:eastAsia="Arial" w:hAnsi="Arial"/>
          <w:sz w:val="18"/>
          <w:szCs w:val="18"/>
          <w:color w:val="auto"/>
        </w:rPr>
        <w:t>The increase in net cash used in financing activities during the thirteen weeks ended March 27, 2022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March 28, 2021 was primarily due to payment of cash dividends on our common stock and the repurchase of common stock during 2022. These increases were partially offset by lower net repayments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Condition </w:t>
      </w:r>
      <w:r>
        <w:rPr>
          <w:rFonts w:ascii="Arial" w:cs="Arial" w:eastAsia="Arial" w:hAnsi="Arial"/>
          <w:sz w:val="18"/>
          <w:szCs w:val="18"/>
          <w:color w:val="auto"/>
        </w:rPr>
        <w:t>- Following is a summary of our current assets, current liabilities and working capital (deficit) as of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7"/>
                <w:szCs w:val="17"/>
                <w:color w:val="auto"/>
              </w:rPr>
            </w:pP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27, 2022</w:t>
            </w:r>
          </w:p>
        </w:tc>
        <w:tc>
          <w:tcPr>
            <w:tcW w:w="20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center"/>
              <w:ind w:left="985"/>
              <w:spacing w:after="0"/>
              <w:rPr>
                <w:sz w:val="20"/>
                <w:szCs w:val="20"/>
                <w:color w:val="auto"/>
              </w:rPr>
            </w:pPr>
            <w:r>
              <w:rPr>
                <w:rFonts w:ascii="Arial" w:cs="Arial" w:eastAsia="Arial" w:hAnsi="Arial"/>
                <w:sz w:val="15"/>
                <w:szCs w:val="15"/>
                <w:color w:val="auto"/>
                <w:w w:val="92"/>
              </w:rPr>
              <w:t>271,287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center"/>
              <w:ind w:left="1065"/>
              <w:spacing w:after="0"/>
              <w:rPr>
                <w:sz w:val="20"/>
                <w:szCs w:val="20"/>
                <w:color w:val="auto"/>
              </w:rPr>
            </w:pPr>
            <w:r>
              <w:rPr>
                <w:rFonts w:ascii="Arial" w:cs="Arial" w:eastAsia="Arial" w:hAnsi="Arial"/>
                <w:sz w:val="15"/>
                <w:szCs w:val="15"/>
                <w:color w:val="auto"/>
                <w:w w:val="92"/>
              </w:rPr>
              <w:t>352,792</w:t>
            </w:r>
          </w:p>
        </w:tc>
      </w:tr>
      <w:tr>
        <w:trPr>
          <w:trHeight w:val="21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Current liabilities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left="985"/>
              <w:spacing w:after="0"/>
              <w:rPr>
                <w:sz w:val="20"/>
                <w:szCs w:val="20"/>
                <w:color w:val="auto"/>
              </w:rPr>
            </w:pPr>
            <w:r>
              <w:rPr>
                <w:rFonts w:ascii="Arial" w:cs="Arial" w:eastAsia="Arial" w:hAnsi="Arial"/>
                <w:sz w:val="15"/>
                <w:szCs w:val="15"/>
                <w:color w:val="auto"/>
                <w:w w:val="92"/>
              </w:rPr>
              <w:t>935,648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1065"/>
              <w:spacing w:after="0"/>
              <w:rPr>
                <w:sz w:val="20"/>
                <w:szCs w:val="20"/>
                <w:color w:val="auto"/>
              </w:rPr>
            </w:pPr>
            <w:r>
              <w:rPr>
                <w:rFonts w:ascii="Arial" w:cs="Arial" w:eastAsia="Arial" w:hAnsi="Arial"/>
                <w:sz w:val="15"/>
                <w:szCs w:val="15"/>
                <w:color w:val="auto"/>
                <w:w w:val="92"/>
              </w:rPr>
              <w:t>984,625</w:t>
            </w:r>
          </w:p>
        </w:tc>
      </w:tr>
      <w:tr>
        <w:trPr>
          <w:trHeight w:val="231"/>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Working capital (deficit)</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center"/>
              <w:ind w:left="965"/>
              <w:spacing w:after="0"/>
              <w:rPr>
                <w:sz w:val="20"/>
                <w:szCs w:val="20"/>
                <w:color w:val="auto"/>
              </w:rPr>
            </w:pPr>
            <w:r>
              <w:rPr>
                <w:rFonts w:ascii="Arial" w:cs="Arial" w:eastAsia="Arial" w:hAnsi="Arial"/>
                <w:sz w:val="15"/>
                <w:szCs w:val="15"/>
                <w:color w:val="auto"/>
                <w:w w:val="93"/>
              </w:rPr>
              <w:t>(664,361)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center"/>
              <w:ind w:left="1045"/>
              <w:spacing w:after="0"/>
              <w:rPr>
                <w:sz w:val="20"/>
                <w:szCs w:val="20"/>
                <w:color w:val="auto"/>
              </w:rPr>
            </w:pPr>
            <w:r>
              <w:rPr>
                <w:rFonts w:ascii="Arial" w:cs="Arial" w:eastAsia="Arial" w:hAnsi="Arial"/>
                <w:sz w:val="15"/>
                <w:szCs w:val="15"/>
                <w:color w:val="auto"/>
                <w:w w:val="93"/>
              </w:rPr>
              <w:t>(631,833)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Working capital (deficit) includes: (i) Unearned revenue primarily from unredeemed gift cards of $325.3 million and $398.8 million as of March 27, 2022 and December 26, 2021, respectively, and (ii) current operating lease liabilities of $177.6 million and $177.0 million as of March 27, 2022 and December 26, 2021,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are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Issued Financial Accounting Standards</w:t>
      </w: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For a description of recently issued Financial Accounting Standards that we adopted during the thirteen weeks ended March 27, 2022 and, that are applicable to us and likely to have material effect on our consolidated financial statements, but have not yet been adopted, see Note 1 - </w:t>
      </w:r>
      <w:r>
        <w:rPr>
          <w:rFonts w:ascii="Arial" w:cs="Arial" w:eastAsia="Arial" w:hAnsi="Arial"/>
          <w:sz w:val="17"/>
          <w:szCs w:val="17"/>
          <w:i w:val="1"/>
          <w:iCs w:val="1"/>
          <w:color w:val="auto"/>
        </w:rPr>
        <w:t>Description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the Business and Basis of Presentation </w:t>
      </w:r>
      <w:r>
        <w:rPr>
          <w:rFonts w:ascii="Arial" w:cs="Arial" w:eastAsia="Arial" w:hAnsi="Arial"/>
          <w:sz w:val="17"/>
          <w:szCs w:val="17"/>
          <w:color w:val="auto"/>
        </w:rPr>
        <w:t>of the Notes to Consolidated Financial Statements of this Quarterly Report on Form 10-Q.</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Quantitative and Qualitative Disclosures about Market Risk</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are exposed to market risk from changes in interest rates, changes in foreign currency exchange rates and changes in commodity prices. We believe that there have been no material changes in our market risk since December 26, 2021. See Part II, Item 7A., “Quantitative and Qualitative Disclosures about Market Risk,” in our Annual Report on Form 10-K for the year ended December 26, 2021 for further information regarding market risk.</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March 27, 2022.</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There have been no changes in our internal control over financial reporting during the thirteen weeks ended March 27,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 OTHER INFORMATION</w:t>
      </w:r>
    </w:p>
    <w:p>
      <w:pPr>
        <w:spacing w:after="0" w:line="233"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For a description of our legal proceedings, see Note 14 - </w:t>
      </w:r>
      <w:r>
        <w:rPr>
          <w:rFonts w:ascii="Arial" w:cs="Arial" w:eastAsia="Arial" w:hAnsi="Arial"/>
          <w:sz w:val="19"/>
          <w:szCs w:val="19"/>
          <w:i w:val="1"/>
          <w:iCs w:val="1"/>
          <w:color w:val="auto"/>
        </w:rPr>
        <w:t>Commitments and Contingencies</w:t>
      </w:r>
      <w:r>
        <w:rPr>
          <w:rFonts w:ascii="Arial" w:cs="Arial" w:eastAsia="Arial" w:hAnsi="Arial"/>
          <w:sz w:val="19"/>
          <w:szCs w:val="19"/>
          <w:color w:val="auto"/>
        </w:rPr>
        <w:t xml:space="preserve"> of the Notes to Consolidated Financial Statements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addition to the other information discussed in this report, please consider the factors described in Part I, Item 1A., “Risk Factors” in our 2021 Form 10-K which could materially affect our business, financial condition or future results. There have not been any material changes to the risk factors described in our 2021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sales of equity securities during the thirteen weeks ended March 27, 2022 that were not registered under the Securities Act of 1933.</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information regarding our purchases of common stock during the thirteen weeks ended March 27, 2022: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8"/>
              </w:rPr>
              <w:t>TOTAL 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APPROXIMATE DOLLAR</w:t>
            </w: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SHARES PURCHASED AS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jc w:val="center"/>
              <w:ind w:right="28"/>
              <w:spacing w:after="0" w:line="129" w:lineRule="exact"/>
              <w:rPr>
                <w:sz w:val="20"/>
                <w:szCs w:val="20"/>
                <w:color w:val="auto"/>
              </w:rPr>
            </w:pPr>
            <w:r>
              <w:rPr>
                <w:rFonts w:ascii="Arial" w:cs="Arial" w:eastAsia="Arial" w:hAnsi="Arial"/>
                <w:sz w:val="14"/>
                <w:szCs w:val="14"/>
                <w:b w:val="1"/>
                <w:bCs w:val="1"/>
                <w:color w:val="auto"/>
                <w:w w:val="96"/>
              </w:rPr>
              <w:t>VALUE OF SHARES THAT</w:t>
            </w: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PART OF PUBLICLY</w:t>
            </w:r>
          </w:p>
        </w:tc>
        <w:tc>
          <w:tcPr>
            <w:tcW w:w="100" w:type="dxa"/>
            <w:vAlign w:val="bottom"/>
          </w:tcPr>
          <w:p>
            <w:pPr>
              <w:spacing w:after="0"/>
              <w:rPr>
                <w:sz w:val="11"/>
                <w:szCs w:val="11"/>
                <w:color w:val="auto"/>
              </w:rPr>
            </w:pPr>
          </w:p>
        </w:tc>
        <w:tc>
          <w:tcPr>
            <w:tcW w:w="1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7"/>
              </w:rPr>
              <w:t>MAY YET BE PURCHASED</w:t>
            </w:r>
          </w:p>
        </w:tc>
        <w:tc>
          <w:tcPr>
            <w:tcW w:w="0" w:type="dxa"/>
            <w:vAlign w:val="bottom"/>
          </w:tcPr>
          <w:p>
            <w:pPr>
              <w:spacing w:after="0"/>
              <w:rPr>
                <w:sz w:val="1"/>
                <w:szCs w:val="1"/>
                <w:color w:val="auto"/>
              </w:rPr>
            </w:pPr>
          </w:p>
        </w:tc>
      </w:tr>
      <w:tr>
        <w:trPr>
          <w:trHeight w:val="129"/>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REPORTING PERIOD</w:t>
            </w:r>
          </w:p>
        </w:tc>
        <w:tc>
          <w:tcPr>
            <w:tcW w:w="100" w:type="dxa"/>
            <w:vAlign w:val="bottom"/>
            <w:vMerge w:val="restart"/>
          </w:tcPr>
          <w:p>
            <w:pPr>
              <w:spacing w:after="0"/>
              <w:rPr>
                <w:sz w:val="11"/>
                <w:szCs w:val="11"/>
                <w:color w:val="auto"/>
              </w:rPr>
            </w:pPr>
          </w:p>
        </w:tc>
        <w:tc>
          <w:tcPr>
            <w:tcW w:w="1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ANNOUNCED PLANS 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jc w:val="center"/>
              <w:ind w:right="8"/>
              <w:spacing w:after="0" w:line="129" w:lineRule="exact"/>
              <w:rPr>
                <w:sz w:val="20"/>
                <w:szCs w:val="20"/>
                <w:color w:val="auto"/>
              </w:rPr>
            </w:pPr>
            <w:r>
              <w:rPr>
                <w:rFonts w:ascii="Arial" w:cs="Arial" w:eastAsia="Arial" w:hAnsi="Arial"/>
                <w:sz w:val="14"/>
                <w:szCs w:val="14"/>
                <w:b w:val="1"/>
                <w:bCs w:val="1"/>
                <w:color w:val="auto"/>
                <w:w w:val="97"/>
              </w:rPr>
              <w:t>UNDER THE PLANS OR</w:t>
            </w:r>
          </w:p>
        </w:tc>
        <w:tc>
          <w:tcPr>
            <w:tcW w:w="0" w:type="dxa"/>
            <w:vAlign w:val="bottom"/>
          </w:tcPr>
          <w:p>
            <w:pPr>
              <w:spacing w:after="0"/>
              <w:rPr>
                <w:sz w:val="1"/>
                <w:szCs w:val="1"/>
                <w:color w:val="auto"/>
              </w:rPr>
            </w:pPr>
          </w:p>
        </w:tc>
      </w:tr>
      <w:tr>
        <w:trPr>
          <w:trHeight w:val="186"/>
        </w:trPr>
        <w:tc>
          <w:tcPr>
            <w:tcW w:w="3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PROGRAMS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PROGRAMS (1)</w:t>
            </w:r>
          </w:p>
        </w:tc>
        <w:tc>
          <w:tcPr>
            <w:tcW w:w="0" w:type="dxa"/>
            <w:vAlign w:val="bottom"/>
          </w:tcPr>
          <w:p>
            <w:pPr>
              <w:spacing w:after="0"/>
              <w:rPr>
                <w:sz w:val="1"/>
                <w:szCs w:val="1"/>
                <w:color w:val="auto"/>
              </w:rPr>
            </w:pPr>
          </w:p>
        </w:tc>
      </w:tr>
      <w:tr>
        <w:trPr>
          <w:trHeight w:val="206"/>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December 27, 2021 through January 23, 2022</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5"/>
                <w:szCs w:val="15"/>
                <w:color w:val="auto"/>
              </w:rPr>
              <w:t>January 24, 2022 through February 20, 2022</w:t>
            </w:r>
          </w:p>
        </w:tc>
        <w:tc>
          <w:tcPr>
            <w:tcW w:w="1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820" w:type="dxa"/>
            <w:vAlign w:val="bottom"/>
          </w:tcPr>
          <w:p>
            <w:pPr>
              <w:jc w:val="right"/>
              <w:spacing w:after="0"/>
              <w:rPr>
                <w:sz w:val="20"/>
                <w:szCs w:val="20"/>
                <w:color w:val="auto"/>
              </w:rPr>
            </w:pPr>
            <w:r>
              <w:rPr>
                <w:rFonts w:ascii="Arial" w:cs="Arial" w:eastAsia="Arial" w:hAnsi="Arial"/>
                <w:sz w:val="15"/>
                <w:szCs w:val="15"/>
                <w:color w:val="auto"/>
              </w:rPr>
              <w:t>125,000,000</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February 21, 2022 through March 27,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550,517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21.26</w:t>
            </w: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550,517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113,298,678</w:t>
            </w:r>
          </w:p>
        </w:tc>
        <w:tc>
          <w:tcPr>
            <w:tcW w:w="0" w:type="dxa"/>
            <w:vAlign w:val="bottom"/>
          </w:tcPr>
          <w:p>
            <w:pPr>
              <w:spacing w:after="0"/>
              <w:rPr>
                <w:sz w:val="1"/>
                <w:szCs w:val="1"/>
                <w:color w:val="auto"/>
              </w:rPr>
            </w:pPr>
          </w:p>
        </w:tc>
      </w:tr>
      <w:tr>
        <w:trPr>
          <w:trHeight w:val="206"/>
        </w:trPr>
        <w:tc>
          <w:tcPr>
            <w:tcW w:w="3980" w:type="dxa"/>
            <w:vAlign w:val="bottom"/>
            <w:gridSpan w:val="2"/>
          </w:tcPr>
          <w:p>
            <w:pPr>
              <w:ind w:left="220"/>
              <w:spacing w:after="0"/>
              <w:rPr>
                <w:sz w:val="20"/>
                <w:szCs w:val="20"/>
                <w:color w:val="auto"/>
              </w:rPr>
            </w:pPr>
            <w:r>
              <w:rPr>
                <w:rFonts w:ascii="Arial" w:cs="Arial" w:eastAsia="Arial" w:hAnsi="Arial"/>
                <w:sz w:val="15"/>
                <w:szCs w:val="15"/>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550,517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550,517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5"/>
                <w:szCs w:val="15"/>
                <w:color w:val="auto"/>
              </w:rPr>
              <w:t>____________________</w:t>
            </w: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20" w:hanging="617"/>
        <w:spacing w:after="0" w:line="266" w:lineRule="auto"/>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On February 8, 2022, our Board of Directors authorized the repurchase of $125.0 million of our outstanding common stock as announced in our press release issued on February 18, 2022 (the “2022 Share Repurchase Program”). The 2022 Share Repurchase Program will expire on August 9, 2023.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gridSpan w:val="2"/>
          </w:tcPr>
          <w:p>
            <w:pPr>
              <w:ind w:left="220"/>
              <w:spacing w:after="0"/>
              <w:rPr>
                <w:sz w:val="20"/>
                <w:szCs w:val="20"/>
                <w:color w:val="auto"/>
              </w:rPr>
            </w:pPr>
            <w:r>
              <w:rPr>
                <w:rFonts w:ascii="Arial" w:cs="Arial" w:eastAsia="Arial" w:hAnsi="Arial"/>
                <w:sz w:val="15"/>
                <w:szCs w:val="15"/>
                <w:b w:val="1"/>
                <w:bCs w:val="1"/>
                <w:color w:val="auto"/>
              </w:rPr>
              <w:t>EXHIBIT</w:t>
            </w: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940" w:type="dxa"/>
            <w:vAlign w:val="bottom"/>
            <w:gridSpan w:val="14"/>
            <w:vMerge w:val="restart"/>
          </w:tcPr>
          <w:p>
            <w:pPr>
              <w:ind w:left="640"/>
              <w:spacing w:after="0"/>
              <w:rPr>
                <w:sz w:val="20"/>
                <w:szCs w:val="20"/>
                <w:color w:val="auto"/>
              </w:rPr>
            </w:pPr>
            <w:r>
              <w:rPr>
                <w:rFonts w:ascii="Arial" w:cs="Arial" w:eastAsia="Arial" w:hAnsi="Arial"/>
                <w:sz w:val="15"/>
                <w:szCs w:val="15"/>
                <w:b w:val="1"/>
                <w:bCs w:val="1"/>
                <w:color w:val="auto"/>
              </w:rPr>
              <w:t>DESCRIPTION OF EXHIBITS</w:t>
            </w:r>
          </w:p>
        </w:tc>
        <w:tc>
          <w:tcPr>
            <w:tcW w:w="3700" w:type="dxa"/>
            <w:vAlign w:val="bottom"/>
          </w:tcPr>
          <w:p>
            <w:pPr>
              <w:jc w:val="center"/>
              <w:spacing w:after="0"/>
              <w:rPr>
                <w:sz w:val="20"/>
                <w:szCs w:val="20"/>
                <w:color w:val="auto"/>
              </w:rPr>
            </w:pPr>
            <w:r>
              <w:rPr>
                <w:rFonts w:ascii="Arial" w:cs="Arial" w:eastAsia="Arial" w:hAnsi="Arial"/>
                <w:sz w:val="15"/>
                <w:szCs w:val="15"/>
                <w:b w:val="1"/>
                <w:bCs w:val="1"/>
                <w:color w:val="auto"/>
              </w:rPr>
              <w:t>FILINGS REFERENCED FOR</w:t>
            </w:r>
          </w:p>
        </w:tc>
        <w:tc>
          <w:tcPr>
            <w:tcW w:w="0" w:type="dxa"/>
            <w:vAlign w:val="bottom"/>
          </w:tcPr>
          <w:p>
            <w:pPr>
              <w:spacing w:after="0"/>
              <w:rPr>
                <w:sz w:val="1"/>
                <w:szCs w:val="1"/>
                <w:color w:val="auto"/>
              </w:rPr>
            </w:pPr>
          </w:p>
        </w:tc>
      </w:tr>
      <w:tr>
        <w:trPr>
          <w:trHeight w:val="212"/>
        </w:trPr>
        <w:tc>
          <w:tcPr>
            <w:tcW w:w="1180" w:type="dxa"/>
            <w:vAlign w:val="bottom"/>
            <w:gridSpan w:val="2"/>
          </w:tcPr>
          <w:p>
            <w:pPr>
              <w:ind w:left="200"/>
              <w:spacing w:after="0"/>
              <w:rPr>
                <w:sz w:val="20"/>
                <w:szCs w:val="20"/>
                <w:color w:val="auto"/>
              </w:rPr>
            </w:pPr>
            <w:r>
              <w:rPr>
                <w:rFonts w:ascii="Arial" w:cs="Arial" w:eastAsia="Arial" w:hAnsi="Arial"/>
                <w:sz w:val="15"/>
                <w:szCs w:val="15"/>
                <w:b w:val="1"/>
                <w:bCs w:val="1"/>
                <w:color w:val="auto"/>
              </w:rPr>
              <w:t>NUMBER</w:t>
            </w: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940" w:type="dxa"/>
            <w:vAlign w:val="bottom"/>
            <w:gridSpan w:val="14"/>
            <w:vMerge w:val="continue"/>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5"/>
                <w:szCs w:val="15"/>
                <w:b w:val="1"/>
                <w:bCs w:val="1"/>
                <w:color w:val="auto"/>
              </w:rPr>
              <w:t>INCORPORATION BY REFERENCE</w:t>
            </w:r>
          </w:p>
        </w:tc>
        <w:tc>
          <w:tcPr>
            <w:tcW w:w="0" w:type="dxa"/>
            <w:vAlign w:val="bottom"/>
          </w:tcPr>
          <w:p>
            <w:pPr>
              <w:spacing w:after="0"/>
              <w:rPr>
                <w:sz w:val="1"/>
                <w:szCs w:val="1"/>
                <w:color w:val="auto"/>
              </w:rPr>
            </w:pPr>
          </w:p>
        </w:tc>
      </w:tr>
      <w:tr>
        <w:trPr>
          <w:trHeight w:val="232"/>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0"/>
              </w:rPr>
              <w:t>3.1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40" w:type="dxa"/>
            <w:vAlign w:val="bottom"/>
            <w:tcBorders>
              <w:top w:val="single" w:sz="8" w:color="auto"/>
              <w:bottom w:val="single" w:sz="8" w:color="0000FF"/>
            </w:tcBorders>
            <w:gridSpan w:val="3"/>
          </w:tcPr>
          <w:p>
            <w:pPr>
              <w:spacing w:after="0"/>
              <w:rPr>
                <w:rFonts w:ascii="Arial" w:cs="Arial" w:eastAsia="Arial" w:hAnsi="Arial"/>
                <w:sz w:val="19"/>
                <w:szCs w:val="19"/>
                <w:color w:val="0000FF"/>
                <w:w w:val="90"/>
              </w:rPr>
            </w:pPr>
            <w:hyperlink r:id="rId58">
              <w:r>
                <w:rPr>
                  <w:rFonts w:ascii="Arial" w:cs="Arial" w:eastAsia="Arial" w:hAnsi="Arial"/>
                  <w:sz w:val="19"/>
                  <w:szCs w:val="19"/>
                  <w:color w:val="0000FF"/>
                  <w:w w:val="90"/>
                </w:rPr>
                <w:t>Fourth Amended and Restated Certificate of Incorporation</w:t>
              </w:r>
            </w:hyperlink>
          </w:p>
        </w:tc>
        <w:tc>
          <w:tcPr>
            <w:tcW w:w="1900" w:type="dxa"/>
            <w:vAlign w:val="bottom"/>
            <w:tcBorders>
              <w:top w:val="single" w:sz="8" w:color="auto"/>
            </w:tcBorders>
            <w:gridSpan w:val="12"/>
          </w:tcPr>
          <w:p>
            <w:pPr>
              <w:spacing w:after="0"/>
              <w:rPr>
                <w:sz w:val="20"/>
                <w:szCs w:val="20"/>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April 20, 2022, Form 8-K, Exhibit 3.1</w:t>
            </w:r>
          </w:p>
        </w:tc>
        <w:tc>
          <w:tcPr>
            <w:tcW w:w="0" w:type="dxa"/>
            <w:vAlign w:val="bottom"/>
          </w:tcPr>
          <w:p>
            <w:pPr>
              <w:spacing w:after="0"/>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94"/>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5"/>
          </w:tcPr>
          <w:p>
            <w:pPr>
              <w:spacing w:after="0"/>
              <w:rPr>
                <w:rFonts w:ascii="Arial" w:cs="Arial" w:eastAsia="Arial" w:hAnsi="Arial"/>
                <w:sz w:val="19"/>
                <w:szCs w:val="19"/>
                <w:color w:val="0000FF"/>
                <w:w w:val="92"/>
              </w:rPr>
            </w:pPr>
            <w:hyperlink r:id="rId59">
              <w:r>
                <w:rPr>
                  <w:rFonts w:ascii="Arial" w:cs="Arial" w:eastAsia="Arial" w:hAnsi="Arial"/>
                  <w:sz w:val="19"/>
                  <w:szCs w:val="19"/>
                  <w:color w:val="0000FF"/>
                  <w:w w:val="92"/>
                </w:rPr>
                <w:t>Second Amendment to Officer Employment Agreement, dated as of February 21,</w:t>
              </w:r>
            </w:hyperlink>
          </w:p>
        </w:tc>
        <w:tc>
          <w:tcPr>
            <w:tcW w:w="3700" w:type="dxa"/>
            <w:vAlign w:val="bottom"/>
          </w:tcPr>
          <w:p>
            <w:pPr>
              <w:spacing w:after="0"/>
              <w:rPr>
                <w:sz w:val="20"/>
                <w:szCs w:val="20"/>
                <w:color w:val="auto"/>
              </w:rPr>
            </w:pPr>
            <w:r>
              <w:rPr>
                <w:rFonts w:ascii="Arial" w:cs="Arial" w:eastAsia="Arial" w:hAnsi="Arial"/>
                <w:sz w:val="19"/>
                <w:szCs w:val="19"/>
                <w:color w:val="auto"/>
                <w:w w:val="96"/>
              </w:rPr>
              <w:t>December 26, 2021 Form 10-K, Exhibit 10.48</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2"/>
          </w:tcPr>
          <w:p>
            <w:pPr>
              <w:spacing w:after="0" w:line="161"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2022, between Bloomin’ Brands, Inc. and David J. Deno</w:t>
              </w:r>
            </w:hyperlink>
          </w:p>
        </w:tc>
        <w:tc>
          <w:tcPr>
            <w:tcW w:w="19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5"/>
          </w:tcPr>
          <w:p>
            <w:pPr>
              <w:spacing w:after="0"/>
              <w:rPr>
                <w:rFonts w:ascii="Arial" w:cs="Arial" w:eastAsia="Arial" w:hAnsi="Arial"/>
                <w:sz w:val="19"/>
                <w:szCs w:val="19"/>
                <w:color w:val="0000FF"/>
                <w:w w:val="95"/>
              </w:rPr>
            </w:pPr>
            <w:hyperlink r:id="rId60">
              <w:r>
                <w:rPr>
                  <w:rFonts w:ascii="Arial" w:cs="Arial" w:eastAsia="Arial" w:hAnsi="Arial"/>
                  <w:sz w:val="19"/>
                  <w:szCs w:val="19"/>
                  <w:color w:val="0000FF"/>
                  <w:w w:val="95"/>
                </w:rPr>
                <w:t>First Amendment to the Second Amended and Restated Credit Agreement and</w:t>
              </w:r>
            </w:hyperlink>
          </w:p>
        </w:tc>
        <w:tc>
          <w:tcPr>
            <w:tcW w:w="3700" w:type="dxa"/>
            <w:vAlign w:val="bottom"/>
          </w:tcPr>
          <w:p>
            <w:pPr>
              <w:spacing w:after="0"/>
              <w:rPr>
                <w:sz w:val="20"/>
                <w:szCs w:val="20"/>
                <w:color w:val="auto"/>
              </w:rPr>
            </w:pPr>
            <w:r>
              <w:rPr>
                <w:rFonts w:ascii="Arial" w:cs="Arial" w:eastAsia="Arial" w:hAnsi="Arial"/>
                <w:sz w:val="19"/>
                <w:szCs w:val="19"/>
                <w:color w:val="auto"/>
              </w:rPr>
              <w:t>April 29, 2022, Form 8-K, Exhibit 10.1</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80" w:type="dxa"/>
            <w:vAlign w:val="bottom"/>
            <w:tcBorders>
              <w:top w:val="single" w:sz="8" w:color="0000FF"/>
            </w:tcBorders>
            <w:gridSpan w:val="12"/>
          </w:tcPr>
          <w:p>
            <w:pPr>
              <w:spacing w:after="0" w:line="173" w:lineRule="exact"/>
              <w:rPr>
                <w:rFonts w:ascii="Arial" w:cs="Arial" w:eastAsia="Arial" w:hAnsi="Arial"/>
                <w:sz w:val="19"/>
                <w:szCs w:val="19"/>
                <w:color w:val="0000FF"/>
                <w:w w:val="93"/>
              </w:rPr>
            </w:pPr>
            <w:hyperlink r:id="rId60">
              <w:r>
                <w:rPr>
                  <w:rFonts w:ascii="Arial" w:cs="Arial" w:eastAsia="Arial" w:hAnsi="Arial"/>
                  <w:sz w:val="19"/>
                  <w:szCs w:val="19"/>
                  <w:color w:val="0000FF"/>
                  <w:w w:val="93"/>
                </w:rPr>
                <w:t>Incremental Amendment, dated April 26, 2022, by and among Bloomin’ Brands,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9"/>
          </w:tcPr>
          <w:p>
            <w:pPr>
              <w:spacing w:after="0" w:line="173" w:lineRule="exact"/>
              <w:rPr>
                <w:rFonts w:ascii="Arial" w:cs="Arial" w:eastAsia="Arial" w:hAnsi="Arial"/>
                <w:sz w:val="19"/>
                <w:szCs w:val="19"/>
                <w:color w:val="0000FF"/>
                <w:w w:val="89"/>
              </w:rPr>
            </w:pPr>
            <w:hyperlink r:id="rId60">
              <w:r>
                <w:rPr>
                  <w:rFonts w:ascii="Arial" w:cs="Arial" w:eastAsia="Arial" w:hAnsi="Arial"/>
                  <w:sz w:val="19"/>
                  <w:szCs w:val="19"/>
                  <w:color w:val="0000FF"/>
                  <w:w w:val="89"/>
                </w:rPr>
                <w:t>Inc., OSI Restaurant Partners, LLC, the guarantors party thereto, the lenders party</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80" w:type="dxa"/>
            <w:vAlign w:val="bottom"/>
            <w:tcBorders>
              <w:bottom w:val="single" w:sz="8" w:color="0000FF"/>
            </w:tcBorders>
            <w:gridSpan w:val="6"/>
          </w:tcPr>
          <w:p>
            <w:pPr>
              <w:spacing w:after="0" w:line="173" w:lineRule="exact"/>
              <w:rPr>
                <w:rFonts w:ascii="Arial" w:cs="Arial" w:eastAsia="Arial" w:hAnsi="Arial"/>
                <w:sz w:val="19"/>
                <w:szCs w:val="19"/>
                <w:color w:val="0000FF"/>
                <w:w w:val="90"/>
              </w:rPr>
            </w:pPr>
            <w:hyperlink r:id="rId60">
              <w:r>
                <w:rPr>
                  <w:rFonts w:ascii="Arial" w:cs="Arial" w:eastAsia="Arial" w:hAnsi="Arial"/>
                  <w:sz w:val="19"/>
                  <w:szCs w:val="19"/>
                  <w:color w:val="0000FF"/>
                  <w:w w:val="90"/>
                </w:rPr>
                <w:t>thereto, and Wells Fargo Bank, National Association, as administrative Agent</w:t>
              </w:r>
            </w:hyperlink>
          </w:p>
        </w:tc>
        <w:tc>
          <w:tcPr>
            <w:tcW w:w="44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15"/>
          </w:tcPr>
          <w:p>
            <w:pPr>
              <w:spacing w:after="0"/>
              <w:rPr>
                <w:rFonts w:ascii="Arial" w:cs="Arial" w:eastAsia="Arial" w:hAnsi="Arial"/>
                <w:sz w:val="19"/>
                <w:szCs w:val="19"/>
                <w:color w:val="0000FF"/>
                <w:w w:val="94"/>
              </w:rPr>
            </w:pPr>
            <w:hyperlink w:anchor="page43">
              <w:r>
                <w:rPr>
                  <w:rFonts w:ascii="Arial" w:cs="Arial" w:eastAsia="Arial" w:hAnsi="Arial"/>
                  <w:sz w:val="19"/>
                  <w:szCs w:val="19"/>
                  <w:color w:val="0000FF"/>
                  <w:w w:val="94"/>
                </w:rPr>
                <w:t>Certification of Chief Executive Officer pursuant to Section 302 of the Sarbanes-</w:t>
              </w:r>
            </w:hyperlink>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0" w:type="dxa"/>
            <w:vAlign w:val="bottom"/>
            <w:tcBorders>
              <w:top w:val="single" w:sz="8" w:color="0000FF"/>
            </w:tcBorders>
            <w:gridSpan w:val="8"/>
          </w:tcPr>
          <w:p>
            <w:pPr>
              <w:spacing w:after="0" w:line="161" w:lineRule="exact"/>
              <w:rPr>
                <w:rFonts w:ascii="Arial" w:cs="Arial" w:eastAsia="Arial" w:hAnsi="Arial"/>
                <w:sz w:val="18"/>
                <w:szCs w:val="18"/>
                <w:color w:val="0000FF"/>
              </w:rPr>
            </w:pPr>
            <w:hyperlink w:anchor="page43">
              <w:r>
                <w:rPr>
                  <w:rFonts w:ascii="Arial" w:cs="Arial" w:eastAsia="Arial" w:hAnsi="Arial"/>
                  <w:sz w:val="18"/>
                  <w:szCs w:val="18"/>
                  <w:color w:val="0000FF"/>
                </w:rPr>
                <w:t>Oxley Act of 2002</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5"/>
          </w:tcPr>
          <w:p>
            <w:pPr>
              <w:spacing w:after="0"/>
              <w:rPr>
                <w:rFonts w:ascii="Arial" w:cs="Arial" w:eastAsia="Arial" w:hAnsi="Arial"/>
                <w:sz w:val="19"/>
                <w:szCs w:val="19"/>
                <w:color w:val="0000FF"/>
                <w:w w:val="94"/>
              </w:rPr>
            </w:pPr>
            <w:hyperlink w:anchor="page44">
              <w:r>
                <w:rPr>
                  <w:rFonts w:ascii="Arial" w:cs="Arial" w:eastAsia="Arial" w:hAnsi="Arial"/>
                  <w:sz w:val="19"/>
                  <w:szCs w:val="19"/>
                  <w:color w:val="0000FF"/>
                  <w:w w:val="94"/>
                </w:rPr>
                <w:t>Certification of Chief Financial Officer pursuant to Section 302 of the Sarbanes-</w:t>
              </w:r>
            </w:hyperlink>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top w:val="single" w:sz="8" w:color="0000FF"/>
            </w:tcBorders>
            <w:gridSpan w:val="7"/>
          </w:tcPr>
          <w:p>
            <w:pPr>
              <w:spacing w:after="0" w:line="161" w:lineRule="exact"/>
              <w:rPr>
                <w:rFonts w:ascii="Arial" w:cs="Arial" w:eastAsia="Arial" w:hAnsi="Arial"/>
                <w:sz w:val="18"/>
                <w:szCs w:val="18"/>
                <w:color w:val="0000FF"/>
              </w:rPr>
            </w:pPr>
            <w:hyperlink w:anchor="page44">
              <w:r>
                <w:rPr>
                  <w:rFonts w:ascii="Arial" w:cs="Arial" w:eastAsia="Arial" w:hAnsi="Arial"/>
                  <w:sz w:val="18"/>
                  <w:szCs w:val="18"/>
                  <w:color w:val="0000FF"/>
                </w:rPr>
                <w:t>Oxley Act of 2002</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5"/>
          </w:tcPr>
          <w:p>
            <w:pPr>
              <w:spacing w:after="0"/>
              <w:rPr>
                <w:rFonts w:ascii="Arial" w:cs="Arial" w:eastAsia="Arial" w:hAnsi="Arial"/>
                <w:sz w:val="19"/>
                <w:szCs w:val="19"/>
                <w:color w:val="0000FF"/>
                <w:w w:val="96"/>
              </w:rPr>
            </w:pPr>
            <w:hyperlink w:anchor="page45">
              <w:r>
                <w:rPr>
                  <w:rFonts w:ascii="Arial" w:cs="Arial" w:eastAsia="Arial" w:hAnsi="Arial"/>
                  <w:sz w:val="19"/>
                  <w:szCs w:val="19"/>
                  <w:color w:val="0000FF"/>
                  <w:w w:val="96"/>
                </w:rPr>
                <w:t>Certification of Chief Executive Officer pursuant to 18 U.S.C. Section 1350, as</w:t>
              </w:r>
            </w:hyperlink>
          </w:p>
        </w:tc>
        <w:tc>
          <w:tcPr>
            <w:tcW w:w="3700" w:type="dxa"/>
            <w:vAlign w:val="bottom"/>
          </w:tcPr>
          <w:p>
            <w:pPr>
              <w:spacing w:after="0"/>
              <w:rPr>
                <w:sz w:val="20"/>
                <w:szCs w:val="20"/>
                <w:color w:val="auto"/>
              </w:rPr>
            </w:pPr>
            <w:r>
              <w:rPr>
                <w:rFonts w:ascii="Arial" w:cs="Arial" w:eastAsia="Arial" w:hAnsi="Arial"/>
                <w:sz w:val="19"/>
                <w:szCs w:val="19"/>
                <w:color w:val="auto"/>
              </w:rPr>
              <w:t>Furnished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5"/>
          </w:tcPr>
          <w:p>
            <w:pPr>
              <w:spacing w:after="0" w:line="161" w:lineRule="exact"/>
              <w:rPr>
                <w:rFonts w:ascii="Arial" w:cs="Arial" w:eastAsia="Arial" w:hAnsi="Arial"/>
                <w:sz w:val="18"/>
                <w:szCs w:val="18"/>
                <w:color w:val="0000FF"/>
                <w:w w:val="95"/>
              </w:rPr>
            </w:pPr>
            <w:hyperlink w:anchor="page45">
              <w:r>
                <w:rPr>
                  <w:rFonts w:ascii="Arial" w:cs="Arial" w:eastAsia="Arial" w:hAnsi="Arial"/>
                  <w:sz w:val="18"/>
                  <w:szCs w:val="18"/>
                  <w:color w:val="0000FF"/>
                  <w:w w:val="95"/>
                </w:rPr>
                <w:t>adopted pursuant to Section 906 of the Sarbanes-Oxley Act of 2002 (1)</w:t>
              </w:r>
            </w:hyperlink>
          </w:p>
        </w:tc>
        <w:tc>
          <w:tcPr>
            <w:tcW w:w="88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5"/>
          </w:tcPr>
          <w:p>
            <w:pPr>
              <w:spacing w:after="0"/>
              <w:rPr>
                <w:rFonts w:ascii="Arial" w:cs="Arial" w:eastAsia="Arial" w:hAnsi="Arial"/>
                <w:sz w:val="19"/>
                <w:szCs w:val="19"/>
                <w:color w:val="0000FF"/>
                <w:w w:val="97"/>
              </w:rPr>
            </w:pPr>
            <w:hyperlink w:anchor="page46">
              <w:r>
                <w:rPr>
                  <w:rFonts w:ascii="Arial" w:cs="Arial" w:eastAsia="Arial" w:hAnsi="Arial"/>
                  <w:sz w:val="19"/>
                  <w:szCs w:val="19"/>
                  <w:color w:val="0000FF"/>
                  <w:w w:val="97"/>
                </w:rPr>
                <w:t>Certification of Chief Financial Officer pursuant to 18 U.S.C. Section 1350, as</w:t>
              </w:r>
            </w:hyperlink>
          </w:p>
        </w:tc>
        <w:tc>
          <w:tcPr>
            <w:tcW w:w="3700" w:type="dxa"/>
            <w:vAlign w:val="bottom"/>
          </w:tcPr>
          <w:p>
            <w:pPr>
              <w:spacing w:after="0"/>
              <w:rPr>
                <w:sz w:val="20"/>
                <w:szCs w:val="20"/>
                <w:color w:val="auto"/>
              </w:rPr>
            </w:pPr>
            <w:r>
              <w:rPr>
                <w:rFonts w:ascii="Arial" w:cs="Arial" w:eastAsia="Arial" w:hAnsi="Arial"/>
                <w:sz w:val="19"/>
                <w:szCs w:val="19"/>
                <w:color w:val="auto"/>
              </w:rPr>
              <w:t>Furnished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4"/>
          </w:tcPr>
          <w:p>
            <w:pPr>
              <w:spacing w:after="0" w:line="161" w:lineRule="exact"/>
              <w:rPr>
                <w:rFonts w:ascii="Arial" w:cs="Arial" w:eastAsia="Arial" w:hAnsi="Arial"/>
                <w:sz w:val="18"/>
                <w:szCs w:val="18"/>
                <w:color w:val="0000FF"/>
                <w:w w:val="94"/>
              </w:rPr>
            </w:pPr>
            <w:hyperlink w:anchor="page46">
              <w:r>
                <w:rPr>
                  <w:rFonts w:ascii="Arial" w:cs="Arial" w:eastAsia="Arial" w:hAnsi="Arial"/>
                  <w:sz w:val="18"/>
                  <w:szCs w:val="18"/>
                  <w:color w:val="0000FF"/>
                  <w:w w:val="94"/>
                </w:rPr>
                <w:t>adopted pursuant to Section 906 of the Sarbanes-Oxley Act of 2002 (1)</w:t>
              </w:r>
            </w:hyperlink>
          </w:p>
        </w:tc>
        <w:tc>
          <w:tcPr>
            <w:tcW w:w="860" w:type="dxa"/>
            <w:vAlign w:val="bottom"/>
            <w:tcBorders>
              <w:top w:val="single" w:sz="8" w:color="0000FF"/>
            </w:tcBorders>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180" w:type="dxa"/>
            <w:vAlign w:val="bottom"/>
            <w:gridSpan w:val="2"/>
          </w:tcPr>
          <w:p>
            <w:pPr>
              <w:ind w:left="220"/>
              <w:spacing w:after="0"/>
              <w:rPr>
                <w:sz w:val="20"/>
                <w:szCs w:val="20"/>
                <w:color w:val="auto"/>
              </w:rPr>
            </w:pPr>
            <w:r>
              <w:rPr>
                <w:rFonts w:ascii="Arial" w:cs="Arial" w:eastAsia="Arial" w:hAnsi="Arial"/>
                <w:sz w:val="19"/>
                <w:szCs w:val="19"/>
                <w:color w:val="auto"/>
              </w:rPr>
              <w:t>101.INS</w:t>
            </w:r>
          </w:p>
        </w:tc>
        <w:tc>
          <w:tcPr>
            <w:tcW w:w="20" w:type="dxa"/>
            <w:vAlign w:val="bottom"/>
          </w:tcPr>
          <w:p>
            <w:pPr>
              <w:spacing w:after="0"/>
              <w:rPr>
                <w:sz w:val="24"/>
                <w:szCs w:val="24"/>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Inline XBRL Instance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101.SCH</w:t>
            </w:r>
          </w:p>
        </w:tc>
        <w:tc>
          <w:tcPr>
            <w:tcW w:w="20" w:type="dxa"/>
            <w:vAlign w:val="bottom"/>
          </w:tcPr>
          <w:p>
            <w:pPr>
              <w:spacing w:after="0"/>
              <w:rPr>
                <w:sz w:val="24"/>
                <w:szCs w:val="24"/>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Inline XBRL Taxonomy Extension Schema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101.CAL</w:t>
            </w:r>
          </w:p>
        </w:tc>
        <w:tc>
          <w:tcPr>
            <w:tcW w:w="20" w:type="dxa"/>
            <w:vAlign w:val="bottom"/>
          </w:tcPr>
          <w:p>
            <w:pPr>
              <w:spacing w:after="0"/>
              <w:rPr>
                <w:sz w:val="24"/>
                <w:szCs w:val="24"/>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Inline XBRL Taxonomy Extension Calculation Linkbase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101.DEF</w:t>
            </w:r>
          </w:p>
        </w:tc>
        <w:tc>
          <w:tcPr>
            <w:tcW w:w="20" w:type="dxa"/>
            <w:vAlign w:val="bottom"/>
          </w:tcPr>
          <w:p>
            <w:pPr>
              <w:spacing w:after="0"/>
              <w:rPr>
                <w:sz w:val="24"/>
                <w:szCs w:val="24"/>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Inline XBRL Taxonomy Extension Definition Linkbase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101.LAB</w:t>
            </w:r>
          </w:p>
        </w:tc>
        <w:tc>
          <w:tcPr>
            <w:tcW w:w="20" w:type="dxa"/>
            <w:vAlign w:val="bottom"/>
          </w:tcPr>
          <w:p>
            <w:pPr>
              <w:spacing w:after="0"/>
              <w:rPr>
                <w:sz w:val="24"/>
                <w:szCs w:val="24"/>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Inline XBRL Taxonomy Extension Label Linkbase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101.PRE</w:t>
            </w:r>
          </w:p>
        </w:tc>
        <w:tc>
          <w:tcPr>
            <w:tcW w:w="20" w:type="dxa"/>
            <w:vAlign w:val="bottom"/>
          </w:tcPr>
          <w:p>
            <w:pPr>
              <w:spacing w:after="0"/>
              <w:rPr>
                <w:sz w:val="24"/>
                <w:szCs w:val="24"/>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Inline XBRL Taxonomy Extension Presentation Linkbase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28"/>
        </w:trPr>
        <w:tc>
          <w:tcPr>
            <w:tcW w:w="1080" w:type="dxa"/>
            <w:vAlign w:val="bottom"/>
          </w:tcPr>
          <w:p>
            <w:pPr>
              <w:jc w:val="center"/>
              <w:spacing w:after="0"/>
              <w:rPr>
                <w:sz w:val="20"/>
                <w:szCs w:val="20"/>
                <w:color w:val="auto"/>
              </w:rPr>
            </w:pPr>
            <w:r>
              <w:rPr>
                <w:rFonts w:ascii="Arial" w:cs="Arial" w:eastAsia="Arial" w:hAnsi="Arial"/>
                <w:sz w:val="19"/>
                <w:szCs w:val="19"/>
                <w:color w:val="auto"/>
                <w:w w:val="88"/>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w w:val="98"/>
              </w:rPr>
              <w:t>Cover Page Interactive Data File (formatted as inline XBRL and contained in</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40"/>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Exhibit 101)</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9"/>
          <w:szCs w:val="19"/>
          <w:color w:val="auto"/>
        </w:rPr>
        <w:t>* Management contract or compensatory plan or arrangement required to be filed as an exhibit.</w:t>
      </w:r>
    </w:p>
    <w:p>
      <w:pPr>
        <w:spacing w:after="0" w:line="259" w:lineRule="exact"/>
        <w:rPr>
          <w:sz w:val="20"/>
          <w:szCs w:val="20"/>
          <w:color w:val="auto"/>
        </w:rPr>
      </w:pPr>
    </w:p>
    <w:p>
      <w:pPr>
        <w:jc w:val="both"/>
        <w:ind w:left="20" w:right="20"/>
        <w:spacing w:after="0" w:line="220" w:lineRule="auto"/>
        <w:tabs>
          <w:tab w:leader="none" w:pos="303"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w:t>
      </w:r>
    </w:p>
    <w:p>
      <w:pPr>
        <w:spacing w:after="0" w:line="23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20"/>
        <w:spacing w:after="0"/>
        <w:tabs>
          <w:tab w:leader="none" w:pos="640" w:val="left"/>
          <w:tab w:leader="none" w:pos="4640" w:val="left"/>
        </w:tabs>
        <w:rPr>
          <w:sz w:val="20"/>
          <w:szCs w:val="20"/>
          <w:color w:val="auto"/>
        </w:rPr>
      </w:pPr>
      <w:r>
        <w:rPr>
          <w:rFonts w:ascii="Arial" w:cs="Arial" w:eastAsia="Arial" w:hAnsi="Arial"/>
          <w:sz w:val="19"/>
          <w:szCs w:val="19"/>
          <w:color w:val="auto"/>
        </w:rPr>
        <w:t>Date:</w:t>
        <w:tab/>
        <w:t>May 3, 2022</w:t>
      </w:r>
      <w:r>
        <w:rPr>
          <w:sz w:val="20"/>
          <w:szCs w:val="20"/>
          <w:color w:val="auto"/>
        </w:rPr>
        <w:tab/>
      </w:r>
      <w:r>
        <w:rPr>
          <w:rFonts w:ascii="Arial" w:cs="Arial" w:eastAsia="Arial" w:hAnsi="Arial"/>
          <w:sz w:val="18"/>
          <w:szCs w:val="18"/>
          <w:color w:val="auto"/>
        </w:rPr>
        <w:t>BLOOMIN’ BRANDS, INC.</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(Registrant)</w:t>
      </w:r>
    </w:p>
    <w:p>
      <w:pPr>
        <w:spacing w:after="0" w:line="108" w:lineRule="exact"/>
        <w:rPr>
          <w:sz w:val="20"/>
          <w:szCs w:val="20"/>
          <w:color w:val="auto"/>
        </w:rPr>
      </w:pPr>
    </w:p>
    <w:p>
      <w:pPr>
        <w:ind w:left="4660"/>
        <w:spacing w:after="0"/>
        <w:rPr>
          <w:sz w:val="20"/>
          <w:szCs w:val="20"/>
          <w:color w:val="auto"/>
        </w:rPr>
      </w:pPr>
      <w:r>
        <w:rPr>
          <w:rFonts w:ascii="Arial" w:cs="Arial" w:eastAsia="Arial" w:hAnsi="Arial"/>
          <w:sz w:val="19"/>
          <w:szCs w:val="19"/>
          <w:color w:val="auto"/>
        </w:rPr>
        <w:t>By: /s/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10795</wp:posOffset>
            </wp:positionV>
            <wp:extent cx="416687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4166870" cy="1651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9"/>
          <w:szCs w:val="19"/>
          <w:color w:val="auto"/>
        </w:rPr>
        <w:t>Christopher Meyer</w:t>
      </w:r>
    </w:p>
    <w:p>
      <w:pPr>
        <w:ind w:left="5120"/>
        <w:spacing w:after="0" w:line="198" w:lineRule="auto"/>
        <w:rPr>
          <w:sz w:val="20"/>
          <w:szCs w:val="20"/>
          <w:color w:val="auto"/>
        </w:rPr>
      </w:pPr>
      <w:r>
        <w:rPr>
          <w:rFonts w:ascii="Arial" w:cs="Arial" w:eastAsia="Arial" w:hAnsi="Arial"/>
          <w:sz w:val="19"/>
          <w:szCs w:val="19"/>
          <w:color w:val="auto"/>
        </w:rPr>
        <w:t>Executive Vice President and Chief Financial Officer</w:t>
      </w:r>
    </w:p>
    <w:p>
      <w:pPr>
        <w:ind w:left="5120"/>
        <w:spacing w:after="0"/>
        <w:rPr>
          <w:sz w:val="20"/>
          <w:szCs w:val="20"/>
          <w:color w:val="auto"/>
        </w:rPr>
      </w:pPr>
      <w:r>
        <w:rPr>
          <w:rFonts w:ascii="Arial" w:cs="Arial" w:eastAsia="Arial" w:hAnsi="Arial"/>
          <w:sz w:val="19"/>
          <w:szCs w:val="19"/>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left blank]</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9"/>
          <w:szCs w:val="19"/>
          <w:b w:val="1"/>
          <w:bCs w:val="1"/>
          <w:color w:val="auto"/>
        </w:rPr>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 David J. Deno, certify that:</w:t>
      </w:r>
    </w:p>
    <w:p>
      <w:pPr>
        <w:spacing w:after="0" w:line="233" w:lineRule="exact"/>
        <w:rPr>
          <w:sz w:val="20"/>
          <w:szCs w:val="20"/>
          <w:color w:val="auto"/>
        </w:rPr>
      </w:pPr>
    </w:p>
    <w:p>
      <w:pPr>
        <w:ind w:left="540" w:hanging="537"/>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 have reviewed this Quarterly Report on Form 10-Q of Bloomin’ Brands, Inc.;</w:t>
      </w:r>
    </w:p>
    <w:p>
      <w:pPr>
        <w:spacing w:after="0" w:line="232" w:lineRule="exact"/>
        <w:rPr>
          <w:rFonts w:ascii="Arial" w:cs="Arial" w:eastAsia="Arial" w:hAnsi="Arial"/>
          <w:sz w:val="19"/>
          <w:szCs w:val="19"/>
          <w:color w:val="auto"/>
        </w:rPr>
      </w:pPr>
    </w:p>
    <w:p>
      <w:pPr>
        <w:jc w:val="both"/>
        <w:ind w:left="540" w:hanging="537"/>
        <w:spacing w:after="0" w:line="252" w:lineRule="auto"/>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color w:val="auto"/>
        </w:rPr>
      </w:pPr>
    </w:p>
    <w:p>
      <w:pPr>
        <w:ind w:left="540" w:hanging="537"/>
        <w:spacing w:after="0" w:line="324" w:lineRule="auto"/>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7"/>
          <w:szCs w:val="17"/>
          <w:color w:val="auto"/>
        </w:rPr>
      </w:pPr>
    </w:p>
    <w:p>
      <w:pPr>
        <w:jc w:val="both"/>
        <w:ind w:left="540" w:hanging="537"/>
        <w:spacing w:after="0" w:line="278" w:lineRule="auto"/>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9"/>
          <w:szCs w:val="19"/>
          <w:color w:val="auto"/>
        </w:rPr>
        <w:t>13a-15(f) and 15d-15(f)) for the registrant and have:</w:t>
      </w:r>
    </w:p>
    <w:p>
      <w:pPr>
        <w:spacing w:after="0" w:line="216" w:lineRule="exact"/>
        <w:rPr>
          <w:rFonts w:ascii="Arial" w:cs="Arial" w:eastAsia="Arial" w:hAnsi="Arial"/>
          <w:sz w:val="17"/>
          <w:szCs w:val="17"/>
          <w:color w:val="auto"/>
        </w:rPr>
      </w:pPr>
    </w:p>
    <w:p>
      <w:pPr>
        <w:jc w:val="both"/>
        <w:ind w:left="1240" w:hanging="463"/>
        <w:spacing w:after="0" w:line="273" w:lineRule="auto"/>
        <w:tabs>
          <w:tab w:leader="none" w:pos="123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40" w:hanging="463"/>
        <w:spacing w:after="0" w:line="252" w:lineRule="auto"/>
        <w:tabs>
          <w:tab w:leader="none" w:pos="1228" w:val="left"/>
        </w:tabs>
        <w:numPr>
          <w:ilvl w:val="1"/>
          <w:numId w:val="4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color w:val="auto"/>
        </w:rPr>
      </w:pPr>
    </w:p>
    <w:p>
      <w:pPr>
        <w:jc w:val="both"/>
        <w:ind w:left="1240" w:hanging="463"/>
        <w:spacing w:after="0" w:line="252" w:lineRule="auto"/>
        <w:tabs>
          <w:tab w:leader="none" w:pos="1230" w:val="left"/>
        </w:tabs>
        <w:numPr>
          <w:ilvl w:val="1"/>
          <w:numId w:val="43"/>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color w:val="auto"/>
        </w:rPr>
      </w:pPr>
    </w:p>
    <w:p>
      <w:pPr>
        <w:jc w:val="both"/>
        <w:ind w:left="1240" w:hanging="463"/>
        <w:spacing w:after="0" w:line="273" w:lineRule="auto"/>
        <w:tabs>
          <w:tab w:leader="none" w:pos="12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540" w:hanging="537"/>
        <w:spacing w:after="0" w:line="252" w:lineRule="auto"/>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9"/>
          <w:szCs w:val="19"/>
          <w:color w:val="auto"/>
        </w:rPr>
      </w:pPr>
    </w:p>
    <w:p>
      <w:pPr>
        <w:ind w:left="1240" w:hanging="463"/>
        <w:spacing w:after="0" w:line="324" w:lineRule="auto"/>
        <w:tabs>
          <w:tab w:leader="none" w:pos="123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7"/>
          <w:szCs w:val="17"/>
          <w:color w:val="auto"/>
        </w:rPr>
      </w:pPr>
    </w:p>
    <w:p>
      <w:pPr>
        <w:ind w:left="1240" w:hanging="463"/>
        <w:spacing w:after="0" w:line="264" w:lineRule="auto"/>
        <w:tabs>
          <w:tab w:leader="none" w:pos="1228" w:val="left"/>
        </w:tabs>
        <w:numPr>
          <w:ilvl w:val="1"/>
          <w:numId w:val="43"/>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ind w:left="660"/>
        <w:spacing w:after="0"/>
        <w:tabs>
          <w:tab w:leader="none" w:pos="1220" w:val="left"/>
          <w:tab w:leader="none" w:pos="4980" w:val="left"/>
        </w:tabs>
        <w:rPr>
          <w:sz w:val="20"/>
          <w:szCs w:val="20"/>
          <w:color w:val="auto"/>
        </w:rPr>
      </w:pPr>
      <w:r>
        <w:rPr>
          <w:rFonts w:ascii="Arial" w:cs="Arial" w:eastAsia="Arial" w:hAnsi="Arial"/>
          <w:sz w:val="19"/>
          <w:szCs w:val="19"/>
          <w:color w:val="auto"/>
        </w:rPr>
        <w:t>Date:</w:t>
        <w:tab/>
        <w:t>May 3, 2022</w:t>
      </w:r>
      <w:r>
        <w:rPr>
          <w:sz w:val="20"/>
          <w:szCs w:val="20"/>
          <w:color w:val="auto"/>
        </w:rPr>
        <w:tab/>
      </w:r>
      <w:r>
        <w:rPr>
          <w:rFonts w:ascii="Arial" w:cs="Arial" w:eastAsia="Arial" w:hAnsi="Arial"/>
          <w:sz w:val="17"/>
          <w:szCs w:val="17"/>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10795</wp:posOffset>
            </wp:positionV>
            <wp:extent cx="357759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577590" cy="16510"/>
                    </a:xfrm>
                    <a:prstGeom prst="rect">
                      <a:avLst/>
                    </a:prstGeom>
                    <a:noFill/>
                  </pic:spPr>
                </pic:pic>
              </a:graphicData>
            </a:graphic>
          </wp:anchor>
        </w:drawing>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David J. Deno</w:t>
      </w:r>
    </w:p>
    <w:p>
      <w:pPr>
        <w:ind w:left="5000"/>
        <w:spacing w:after="0" w:line="230" w:lineRule="auto"/>
        <w:rPr>
          <w:sz w:val="20"/>
          <w:szCs w:val="20"/>
          <w:color w:val="auto"/>
        </w:rPr>
      </w:pPr>
      <w:r>
        <w:rPr>
          <w:rFonts w:ascii="Arial" w:cs="Arial" w:eastAsia="Arial" w:hAnsi="Arial"/>
          <w:sz w:val="19"/>
          <w:szCs w:val="19"/>
          <w:color w:val="auto"/>
        </w:rPr>
        <w:t>Chief Executive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11240"/>
          </w:cols>
          <w:pgMar w:left="320" w:top="349"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9"/>
          <w:szCs w:val="19"/>
          <w:b w:val="1"/>
          <w:bCs w:val="1"/>
          <w:color w:val="auto"/>
        </w:rPr>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 Christopher Meyer, certify that:</w:t>
      </w:r>
    </w:p>
    <w:p>
      <w:pPr>
        <w:spacing w:after="0" w:line="233" w:lineRule="exact"/>
        <w:rPr>
          <w:sz w:val="20"/>
          <w:szCs w:val="20"/>
          <w:color w:val="auto"/>
        </w:rPr>
      </w:pPr>
    </w:p>
    <w:p>
      <w:pPr>
        <w:ind w:left="540" w:hanging="537"/>
        <w:spacing w:after="0"/>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 have reviewed this Quarterly Report on Form 10-Q of Bloomin’ Brands, Inc.;</w:t>
      </w:r>
    </w:p>
    <w:p>
      <w:pPr>
        <w:spacing w:after="0" w:line="232" w:lineRule="exact"/>
        <w:rPr>
          <w:rFonts w:ascii="Arial" w:cs="Arial" w:eastAsia="Arial" w:hAnsi="Arial"/>
          <w:sz w:val="19"/>
          <w:szCs w:val="19"/>
          <w:color w:val="auto"/>
        </w:rPr>
      </w:pPr>
    </w:p>
    <w:p>
      <w:pPr>
        <w:jc w:val="both"/>
        <w:ind w:left="540" w:hanging="537"/>
        <w:spacing w:after="0" w:line="252" w:lineRule="auto"/>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color w:val="auto"/>
        </w:rPr>
      </w:pPr>
    </w:p>
    <w:p>
      <w:pPr>
        <w:ind w:left="540" w:hanging="537"/>
        <w:spacing w:after="0" w:line="324"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7"/>
          <w:szCs w:val="17"/>
          <w:color w:val="auto"/>
        </w:rPr>
      </w:pPr>
    </w:p>
    <w:p>
      <w:pPr>
        <w:jc w:val="both"/>
        <w:ind w:left="540" w:hanging="537"/>
        <w:spacing w:after="0" w:line="278"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9"/>
          <w:szCs w:val="19"/>
          <w:color w:val="auto"/>
        </w:rPr>
        <w:t>13a-15(f) and 15d-15(f)) for the registrant and have:</w:t>
      </w:r>
    </w:p>
    <w:p>
      <w:pPr>
        <w:spacing w:after="0" w:line="216" w:lineRule="exact"/>
        <w:rPr>
          <w:rFonts w:ascii="Arial" w:cs="Arial" w:eastAsia="Arial" w:hAnsi="Arial"/>
          <w:sz w:val="17"/>
          <w:szCs w:val="17"/>
          <w:color w:val="auto"/>
        </w:rPr>
      </w:pPr>
    </w:p>
    <w:p>
      <w:pPr>
        <w:jc w:val="both"/>
        <w:ind w:left="1240" w:hanging="463"/>
        <w:spacing w:after="0" w:line="273" w:lineRule="auto"/>
        <w:tabs>
          <w:tab w:leader="none" w:pos="123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40" w:hanging="463"/>
        <w:spacing w:after="0" w:line="252" w:lineRule="auto"/>
        <w:tabs>
          <w:tab w:leader="none" w:pos="1228" w:val="left"/>
        </w:tabs>
        <w:numPr>
          <w:ilvl w:val="1"/>
          <w:numId w:val="4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color w:val="auto"/>
        </w:rPr>
      </w:pPr>
    </w:p>
    <w:p>
      <w:pPr>
        <w:jc w:val="both"/>
        <w:ind w:left="1240" w:hanging="463"/>
        <w:spacing w:after="0" w:line="252" w:lineRule="auto"/>
        <w:tabs>
          <w:tab w:leader="none" w:pos="1230" w:val="left"/>
        </w:tabs>
        <w:numPr>
          <w:ilvl w:val="1"/>
          <w:numId w:val="44"/>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color w:val="auto"/>
        </w:rPr>
      </w:pPr>
    </w:p>
    <w:p>
      <w:pPr>
        <w:jc w:val="both"/>
        <w:ind w:left="1240" w:hanging="463"/>
        <w:spacing w:after="0" w:line="273" w:lineRule="auto"/>
        <w:tabs>
          <w:tab w:leader="none" w:pos="122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540" w:hanging="537"/>
        <w:spacing w:after="0" w:line="252" w:lineRule="auto"/>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9"/>
          <w:szCs w:val="19"/>
          <w:color w:val="auto"/>
        </w:rPr>
      </w:pPr>
    </w:p>
    <w:p>
      <w:pPr>
        <w:ind w:left="1240" w:hanging="463"/>
        <w:spacing w:after="0" w:line="324" w:lineRule="auto"/>
        <w:tabs>
          <w:tab w:leader="none" w:pos="123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7"/>
          <w:szCs w:val="17"/>
          <w:color w:val="auto"/>
        </w:rPr>
      </w:pPr>
    </w:p>
    <w:p>
      <w:pPr>
        <w:ind w:left="1240" w:hanging="463"/>
        <w:spacing w:after="0" w:line="264" w:lineRule="auto"/>
        <w:tabs>
          <w:tab w:leader="none" w:pos="1228" w:val="left"/>
        </w:tabs>
        <w:numPr>
          <w:ilvl w:val="1"/>
          <w:numId w:val="44"/>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ind w:left="660"/>
        <w:spacing w:after="0"/>
        <w:tabs>
          <w:tab w:leader="none" w:pos="1220" w:val="left"/>
          <w:tab w:leader="none" w:pos="4980" w:val="left"/>
        </w:tabs>
        <w:rPr>
          <w:sz w:val="20"/>
          <w:szCs w:val="20"/>
          <w:color w:val="auto"/>
        </w:rPr>
      </w:pPr>
      <w:r>
        <w:rPr>
          <w:rFonts w:ascii="Arial" w:cs="Arial" w:eastAsia="Arial" w:hAnsi="Arial"/>
          <w:sz w:val="19"/>
          <w:szCs w:val="19"/>
          <w:color w:val="auto"/>
        </w:rPr>
        <w:t>Date:</w:t>
        <w:tab/>
        <w:t>May 3, 2022</w:t>
      </w:r>
      <w:r>
        <w:rPr>
          <w:sz w:val="20"/>
          <w:szCs w:val="20"/>
          <w:color w:val="auto"/>
        </w:rPr>
        <w:tab/>
      </w:r>
      <w:r>
        <w:rPr>
          <w:rFonts w:ascii="Arial" w:cs="Arial" w:eastAsia="Arial" w:hAnsi="Arial"/>
          <w:sz w:val="17"/>
          <w:szCs w:val="17"/>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10795</wp:posOffset>
            </wp:positionV>
            <wp:extent cx="357759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577590" cy="16510"/>
                    </a:xfrm>
                    <a:prstGeom prst="rect">
                      <a:avLst/>
                    </a:prstGeom>
                    <a:noFill/>
                  </pic:spPr>
                </pic:pic>
              </a:graphicData>
            </a:graphic>
          </wp:anchor>
        </w:drawing>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Christopher Meyer</w:t>
      </w:r>
    </w:p>
    <w:p>
      <w:pPr>
        <w:ind w:left="5000"/>
        <w:spacing w:after="0" w:line="230" w:lineRule="auto"/>
        <w:rPr>
          <w:sz w:val="20"/>
          <w:szCs w:val="20"/>
          <w:color w:val="auto"/>
        </w:rPr>
      </w:pPr>
      <w:r>
        <w:rPr>
          <w:rFonts w:ascii="Arial" w:cs="Arial" w:eastAsia="Arial" w:hAnsi="Arial"/>
          <w:sz w:val="19"/>
          <w:szCs w:val="19"/>
          <w:color w:val="auto"/>
        </w:rPr>
        <w:t>Executive Vice President and Chief Financial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(Principal Financial and Accounting Officer)</w:t>
      </w:r>
    </w:p>
    <w:p>
      <w:pPr>
        <w:sectPr>
          <w:pgSz w:w="11900" w:h="16838" w:orient="portrait"/>
          <w:cols w:equalWidth="0" w:num="1">
            <w:col w:w="11240"/>
          </w:cols>
          <w:pgMar w:left="320" w:top="34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9"/>
          <w:szCs w:val="19"/>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line="271" w:lineRule="auto"/>
        <w:rPr>
          <w:sz w:val="20"/>
          <w:szCs w:val="20"/>
          <w:color w:val="auto"/>
        </w:rPr>
      </w:pPr>
      <w:r>
        <w:rPr>
          <w:rFonts w:ascii="Arial" w:cs="Arial" w:eastAsia="Arial" w:hAnsi="Arial"/>
          <w:sz w:val="19"/>
          <w:szCs w:val="19"/>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connection with the Quarterly Report of Bloomin’ Brands, Inc. (the “Company”) on Form 10-Q for the quarter ended March 27, 2022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206" w:lineRule="exact"/>
        <w:rPr>
          <w:sz w:val="20"/>
          <w:szCs w:val="20"/>
          <w:color w:val="auto"/>
        </w:rPr>
      </w:pPr>
    </w:p>
    <w:p>
      <w:pPr>
        <w:ind w:left="620" w:hanging="307"/>
        <w:spacing w:after="0"/>
        <w:tabs>
          <w:tab w:leader="none" w:pos="6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32" w:lineRule="exact"/>
        <w:rPr>
          <w:rFonts w:ascii="Arial" w:cs="Arial" w:eastAsia="Arial" w:hAnsi="Arial"/>
          <w:sz w:val="19"/>
          <w:szCs w:val="19"/>
          <w:color w:val="auto"/>
        </w:rPr>
      </w:pPr>
    </w:p>
    <w:p>
      <w:pPr>
        <w:ind w:left="620" w:hanging="307"/>
        <w:spacing w:after="0" w:line="264" w:lineRule="auto"/>
        <w:tabs>
          <w:tab w:leader="none" w:pos="608"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 for the dates and periods covered by the Report.</w:t>
      </w:r>
    </w:p>
    <w:p>
      <w:pPr>
        <w:spacing w:after="0" w:line="254"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19"/>
          <w:szCs w:val="19"/>
          <w:color w:val="auto"/>
        </w:rPr>
        <w:t>Date:</w:t>
        <w:tab/>
        <w:t>May 3, 2022</w:t>
      </w:r>
      <w:r>
        <w:rPr>
          <w:sz w:val="20"/>
          <w:szCs w:val="20"/>
          <w:color w:val="auto"/>
        </w:rPr>
        <w:tab/>
      </w:r>
      <w:r>
        <w:rPr>
          <w:rFonts w:ascii="Arial" w:cs="Arial" w:eastAsia="Arial" w:hAnsi="Arial"/>
          <w:sz w:val="17"/>
          <w:szCs w:val="17"/>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401955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4019550" cy="16510"/>
                    </a:xfrm>
                    <a:prstGeom prst="rect">
                      <a:avLst/>
                    </a:prstGeom>
                    <a:noFill/>
                  </pic:spPr>
                </pic:pic>
              </a:graphicData>
            </a:graphic>
          </wp:anchor>
        </w:drawing>
      </w:r>
    </w:p>
    <w:p>
      <w:pPr>
        <w:spacing w:after="0" w:line="19"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David J. Deno</w:t>
      </w:r>
    </w:p>
    <w:p>
      <w:pPr>
        <w:ind w:left="4920"/>
        <w:spacing w:after="0" w:line="230" w:lineRule="auto"/>
        <w:rPr>
          <w:sz w:val="20"/>
          <w:szCs w:val="20"/>
          <w:color w:val="auto"/>
        </w:rPr>
      </w:pPr>
      <w:r>
        <w:rPr>
          <w:rFonts w:ascii="Arial" w:cs="Arial" w:eastAsia="Arial" w:hAnsi="Arial"/>
          <w:sz w:val="19"/>
          <w:szCs w:val="19"/>
          <w:color w:val="auto"/>
        </w:rPr>
        <w:t>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(Principal Executive Officer)</w:t>
      </w:r>
    </w:p>
    <w:p>
      <w:pPr>
        <w:spacing w:after="0" w:line="307"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85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9"/>
          <w:szCs w:val="19"/>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line="271" w:lineRule="auto"/>
        <w:rPr>
          <w:sz w:val="20"/>
          <w:szCs w:val="20"/>
          <w:color w:val="auto"/>
        </w:rPr>
      </w:pPr>
      <w:r>
        <w:rPr>
          <w:rFonts w:ascii="Arial" w:cs="Arial" w:eastAsia="Arial" w:hAnsi="Arial"/>
          <w:sz w:val="19"/>
          <w:szCs w:val="19"/>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connection with the Quarterly Report of Bloomin’ Brands, Inc. (the “Company”) on Form 10-Q for the quarter ended March 27, 2022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206" w:lineRule="exact"/>
        <w:rPr>
          <w:sz w:val="20"/>
          <w:szCs w:val="20"/>
          <w:color w:val="auto"/>
        </w:rPr>
      </w:pPr>
    </w:p>
    <w:p>
      <w:pPr>
        <w:ind w:left="620" w:hanging="307"/>
        <w:spacing w:after="0"/>
        <w:tabs>
          <w:tab w:leader="none" w:pos="6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32" w:lineRule="exact"/>
        <w:rPr>
          <w:rFonts w:ascii="Arial" w:cs="Arial" w:eastAsia="Arial" w:hAnsi="Arial"/>
          <w:sz w:val="19"/>
          <w:szCs w:val="19"/>
          <w:color w:val="auto"/>
        </w:rPr>
      </w:pPr>
    </w:p>
    <w:p>
      <w:pPr>
        <w:ind w:left="620" w:hanging="307"/>
        <w:spacing w:after="0" w:line="264" w:lineRule="auto"/>
        <w:tabs>
          <w:tab w:leader="none" w:pos="608"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 for the dates and periods covered by the Report.</w:t>
      </w:r>
    </w:p>
    <w:p>
      <w:pPr>
        <w:spacing w:after="0" w:line="254"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19"/>
          <w:szCs w:val="19"/>
          <w:color w:val="auto"/>
        </w:rPr>
        <w:t>Date:</w:t>
        <w:tab/>
        <w:t>May 3, 2022</w:t>
      </w:r>
      <w:r>
        <w:rPr>
          <w:sz w:val="20"/>
          <w:szCs w:val="20"/>
          <w:color w:val="auto"/>
        </w:rPr>
        <w:tab/>
      </w:r>
      <w:r>
        <w:rPr>
          <w:rFonts w:ascii="Arial" w:cs="Arial" w:eastAsia="Arial" w:hAnsi="Arial"/>
          <w:sz w:val="17"/>
          <w:szCs w:val="17"/>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401955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4019550" cy="16510"/>
                    </a:xfrm>
                    <a:prstGeom prst="rect">
                      <a:avLst/>
                    </a:prstGeom>
                    <a:noFill/>
                  </pic:spPr>
                </pic:pic>
              </a:graphicData>
            </a:graphic>
          </wp:anchor>
        </w:drawing>
      </w:r>
    </w:p>
    <w:p>
      <w:pPr>
        <w:spacing w:after="0" w:line="19"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Christopher Meyer</w:t>
      </w:r>
    </w:p>
    <w:p>
      <w:pPr>
        <w:ind w:left="4920"/>
        <w:spacing w:after="0" w:line="230" w:lineRule="auto"/>
        <w:rPr>
          <w:sz w:val="20"/>
          <w:szCs w:val="20"/>
          <w:color w:val="auto"/>
        </w:rPr>
      </w:pPr>
      <w:r>
        <w:rPr>
          <w:rFonts w:ascii="Arial" w:cs="Arial" w:eastAsia="Arial" w:hAnsi="Arial"/>
          <w:sz w:val="19"/>
          <w:szCs w:val="19"/>
          <w:color w:val="auto"/>
        </w:rPr>
        <w:t>Executive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(Principal Financial and Accounting Officer)</w:t>
      </w:r>
    </w:p>
    <w:p>
      <w:pPr>
        <w:spacing w:after="0" w:line="307"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8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2"/>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3"/>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7"/>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9"/>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lowerRoman"/>
      <w:start w:val="1"/>
    </w:lvl>
  </w:abstractNum>
  <w:abstractNum w:abstractNumId="23">
    <w:nsid w:val="5577F8E1"/>
    <w:multiLevelType w:val="hybridMultilevel"/>
    <w:lvl w:ilvl="0">
      <w:lvlJc w:val="left"/>
      <w:lvlText w:val="(%1)"/>
      <w:numFmt w:val="lowerRoman"/>
      <w:start w:val="6"/>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lvl w:ilvl="1">
      <w:lvlJc w:val="left"/>
      <w:lvlText w:val="(%2)"/>
      <w:numFmt w:val="lowerRoman"/>
      <w:start w:val="1"/>
    </w:lvl>
  </w:abstractNum>
  <w:abstractNum w:abstractNumId="26">
    <w:nsid w:val="3804823E"/>
    <w:multiLevelType w:val="hybridMultilevel"/>
    <w:lvl w:ilvl="0">
      <w:lvlJc w:val="left"/>
      <w:lvlText w:val="(%1)"/>
      <w:numFmt w:val="lowerRoman"/>
      <w:start w:val="3"/>
    </w:lvl>
  </w:abstractNum>
  <w:abstractNum w:abstractNumId="27">
    <w:nsid w:val="77465F01"/>
    <w:multiLevelType w:val="hybridMultilevel"/>
    <w:lvl w:ilvl="0">
      <w:lvlJc w:val="left"/>
      <w:lvlText w:val="•"/>
      <w:numFmt w:val="bullet"/>
      <w:start w:val="1"/>
    </w:lvl>
    <w:lvl w:ilvl="1">
      <w:lvlJc w:val="left"/>
      <w:lvlText w:val="\emdash "/>
      <w:numFmt w:val="bullet"/>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8" Type="http://schemas.openxmlformats.org/officeDocument/2006/relationships/hyperlink" Target="http://www.sec.gov/Archives/edgar/data/1546417/000154641722000038/blmn-042022_ex31.htm" TargetMode="External"/><Relationship Id="rId59" Type="http://schemas.openxmlformats.org/officeDocument/2006/relationships/hyperlink" Target="http://www.sec.gov/Archives/edgar/data/1546417/000154641722000006/blmn-122621_ex1048.htm" TargetMode="External"/><Relationship Id="rId60" Type="http://schemas.openxmlformats.org/officeDocument/2006/relationships/hyperlink" Target="http://www.sec.gov/Archives/edgar/data/1546417/000119312522130055/d14250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2022-05-03T15:32:14Z</dcterms:created>
  <dcterms:modified xsi:type="dcterms:W3CDTF">2022-05-03T15:32:14Z</dcterms:modified>
</cp:coreProperties>
</file>