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UNITED STATES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SECURITIES AND EXCHANGE COMMISSION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FORM 10-Q </w:t>
      </w:r>
    </w:p>
    <w:tbl>
      <w:tblPr>
        <w:tblW w:w="10205" w:type="dxa"/>
        <w:jc w:val="left"/>
        <w:tblInd w:w="0" w:type="dxa"/>
        <w:tblLayout w:type="fixed"/>
        <w:tblCellMar>
          <w:top w:w="28" w:type="dxa"/>
          <w:left w:w="28" w:type="dxa"/>
          <w:bottom w:w="28" w:type="dxa"/>
          <w:right w:w="28" w:type="dxa"/>
        </w:tblCellMar>
      </w:tblPr>
      <w:tblGrid>
        <w:gridCol w:w="414"/>
        <w:gridCol w:w="363"/>
        <w:gridCol w:w="365"/>
        <w:gridCol w:w="959"/>
        <w:gridCol w:w="959"/>
        <w:gridCol w:w="959"/>
        <w:gridCol w:w="959"/>
        <w:gridCol w:w="959"/>
        <w:gridCol w:w="959"/>
        <w:gridCol w:w="959"/>
        <w:gridCol w:w="959"/>
        <w:gridCol w:w="1391"/>
      </w:tblGrid>
      <w:tr>
        <w:trPr/>
        <w:tc>
          <w:tcPr>
            <w:tcW w:w="41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r>
      <w:tr>
        <w:trPr/>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(Mark One)</w:t>
            </w:r>
          </w:p>
        </w:tc>
        <w:tc>
          <w:tcPr>
            <w:tcW w:w="9063"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QUARTERLY REPORT PURSUANT TO SECTION 13 OR 15(d) OF THE SECURITIES EXCHANGE ACT OF 1934</w:t>
            </w:r>
          </w:p>
        </w:tc>
      </w:tr>
      <w:tr>
        <w:trPr/>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3"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For the quarterly period ended June 30, 2024</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or</w:t>
            </w:r>
          </w:p>
        </w:tc>
      </w:tr>
      <w:tr>
        <w:trPr/>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TRANSITION REPORT PURSUANT TO SECTION 13 OR 15(d) OF THE SECURITIES EXCHANGE ACT OF 1934</w:t>
            </w:r>
          </w:p>
        </w:tc>
      </w:tr>
      <w:tr>
        <w:trPr/>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For the transition period from ______ to ______</w:t>
            </w:r>
          </w:p>
        </w:tc>
      </w:tr>
    </w:tbl>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Commission File Number: 001-35625 </w:t>
      </w:r>
    </w:p>
    <w:p>
      <w:pPr>
        <w:pStyle w:val="TextBody"/>
        <w:bidi w:val="0"/>
        <w:spacing w:before="0" w:after="0"/>
        <w:jc w:val="center"/>
        <w:rPr/>
      </w:pPr>
      <w:r>
        <w:rPr/>
      </w:r>
    </w:p>
    <w:p>
      <w:pPr>
        <w:pStyle w:val="TextBody"/>
        <w:bidi w:val="0"/>
        <w:spacing w:before="0" w:after="0"/>
        <w:jc w:val="center"/>
        <w:rPr/>
      </w:pPr>
      <w:r>
        <w:rPr/>
        <w:drawing>
          <wp:inline distT="0" distB="0" distL="0" distR="0">
            <wp:extent cx="962025" cy="1533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62025" cy="153352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BLOOMIN’ BRANDS, INC.</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tbl>
      <w:tblPr>
        <w:tblW w:w="7227" w:type="dxa"/>
        <w:jc w:val="center"/>
        <w:tblInd w:w="0" w:type="dxa"/>
        <w:tblLayout w:type="fixed"/>
        <w:tblCellMar>
          <w:top w:w="28" w:type="dxa"/>
          <w:left w:w="28" w:type="dxa"/>
          <w:bottom w:w="28" w:type="dxa"/>
          <w:right w:w="28" w:type="dxa"/>
        </w:tblCellMar>
      </w:tblPr>
      <w:tblGrid>
        <w:gridCol w:w="1560"/>
        <w:gridCol w:w="1374"/>
        <w:gridCol w:w="1386"/>
        <w:gridCol w:w="109"/>
        <w:gridCol w:w="109"/>
        <w:gridCol w:w="109"/>
        <w:gridCol w:w="752"/>
        <w:gridCol w:w="752"/>
        <w:gridCol w:w="1076"/>
      </w:tblGrid>
      <w:tr>
        <w:trPr/>
        <w:tc>
          <w:tcPr>
            <w:tcW w:w="156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20-8023465</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No.)</w:t>
            </w:r>
          </w:p>
        </w:tc>
      </w:tr>
    </w:tbl>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2202 North West Shore Boulevard, Suite 500, Tampa, FL 33607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 (Zip Code)</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(813) 282-1225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N/A</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(Former name, former address and former fiscal year, if changed since last report)</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8016" w:type="dxa"/>
        <w:jc w:val="center"/>
        <w:tblInd w:w="0" w:type="dxa"/>
        <w:tblLayout w:type="fixed"/>
        <w:tblCellMar>
          <w:top w:w="28" w:type="dxa"/>
          <w:left w:w="28" w:type="dxa"/>
          <w:bottom w:w="28" w:type="dxa"/>
          <w:right w:w="28" w:type="dxa"/>
        </w:tblCellMar>
      </w:tblPr>
      <w:tblGrid>
        <w:gridCol w:w="477"/>
        <w:gridCol w:w="420"/>
        <w:gridCol w:w="422"/>
        <w:gridCol w:w="440"/>
        <w:gridCol w:w="440"/>
        <w:gridCol w:w="440"/>
        <w:gridCol w:w="109"/>
        <w:gridCol w:w="109"/>
        <w:gridCol w:w="109"/>
        <w:gridCol w:w="484"/>
        <w:gridCol w:w="484"/>
        <w:gridCol w:w="486"/>
        <w:gridCol w:w="109"/>
        <w:gridCol w:w="109"/>
        <w:gridCol w:w="109"/>
        <w:gridCol w:w="956"/>
        <w:gridCol w:w="956"/>
        <w:gridCol w:w="1357"/>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263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Name of each exchange on which registered</w:t>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Common Stock</w:t>
            </w:r>
          </w:p>
        </w:tc>
        <w:tc>
          <w:tcPr>
            <w:tcW w:w="13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 xml:space="preserve">$0.01 par value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BLMN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The Nasdaq Stock Market LLC</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(Nasdaq Global Select Market)</w:t>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 xml:space="preserve">No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 xml:space="preserve">No </w:t>
      </w:r>
      <w:r>
        <w:rPr>
          <w:color w:val="000000"/>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r>
    </w:p>
    <w:p>
      <w:pPr>
        <w:pStyle w:val="TextBody"/>
        <w:bidi w:val="0"/>
        <w:spacing w:lineRule="auto" w:line="288" w:before="0" w:after="0"/>
        <w:jc w:val="center"/>
        <w:rPr/>
      </w:pPr>
      <w:r>
        <w:rPr>
          <w:rFonts w:ascii="Times New Roman;sans-serif" w:hAnsi="Times New Roman;sans-serif"/>
          <w:b w:val="false"/>
          <w:color w:val="000000"/>
          <w:sz w:val="20"/>
        </w:rPr>
        <w:t xml:space="preserve">Large accelerated filer </w:t>
      </w:r>
      <w:r>
        <w:rPr>
          <w:color w:val="000000"/>
        </w:rPr>
        <w:t xml:space="preserve">☒ </w:t>
      </w:r>
      <w:r>
        <w:rPr>
          <w:rFonts w:ascii="Times New Roman;sans-serif" w:hAnsi="Times New Roman;sans-serif"/>
          <w:b w:val="false"/>
          <w:color w:val="000000"/>
          <w:sz w:val="20"/>
        </w:rPr>
        <w:t>Accelerated filer</w:t>
      </w:r>
      <w:r>
        <w:rPr>
          <w:color w:val="000000"/>
        </w:rPr>
        <w:t xml:space="preserve"> ☐ </w:t>
      </w:r>
      <w:r>
        <w:rPr>
          <w:rFonts w:ascii="Times New Roman;sans-serif" w:hAnsi="Times New Roman;sans-serif"/>
          <w:b w:val="false"/>
          <w:color w:val="000000"/>
          <w:sz w:val="20"/>
        </w:rPr>
        <w:t xml:space="preserve">Non-accelerated filer </w:t>
      </w:r>
      <w:r>
        <w:rPr>
          <w:color w:val="000000"/>
        </w:rPr>
        <w:t>☐</w:t>
      </w:r>
    </w:p>
    <w:p>
      <w:pPr>
        <w:pStyle w:val="TextBody"/>
        <w:bidi w:val="0"/>
        <w:spacing w:lineRule="auto" w:line="288" w:before="0" w:after="0"/>
        <w:jc w:val="center"/>
        <w:rPr/>
      </w:pPr>
      <w:r>
        <w:rPr>
          <w:rFonts w:ascii="Times New Roman;sans-serif" w:hAnsi="Times New Roman;sans-serif"/>
          <w:b w:val="false"/>
          <w:color w:val="000000"/>
          <w:sz w:val="20"/>
        </w:rPr>
        <w:t xml:space="preserve">Smaller reporting company </w:t>
      </w:r>
      <w:r>
        <w:rPr>
          <w:color w:val="000000"/>
        </w:rPr>
        <w:t xml:space="preserve">☐ </w:t>
      </w:r>
      <w:r>
        <w:rPr>
          <w:rFonts w:ascii="Times New Roman;sans-serif" w:hAnsi="Times New Roman;sans-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20"/>
        </w:rPr>
        <w:t>No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August 2, 2024, 84,969,654 shares of common stock of the registrant were outstanding.</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aee04ce58ba4067b6daada9a9c52dcb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INDEX TO QUARTERLY REPORT ON FORM 10-Q</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For the Quarterly Period Ended June 30, 2024 </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(Unaudited)</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TABLE OF CONTENTS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39"/>
        <w:gridCol w:w="297"/>
        <w:gridCol w:w="300"/>
        <w:gridCol w:w="2757"/>
        <w:gridCol w:w="2757"/>
        <w:gridCol w:w="2760"/>
        <w:gridCol w:w="290"/>
        <w:gridCol w:w="290"/>
        <w:gridCol w:w="415"/>
      </w:tblGrid>
      <w:tr>
        <w:trPr/>
        <w:tc>
          <w:tcPr>
            <w:tcW w:w="33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757" w:type="dxa"/>
            <w:tcBorders/>
            <w:vAlign w:val="center"/>
          </w:tcPr>
          <w:p>
            <w:pPr>
              <w:pStyle w:val="TableContents"/>
              <w:bidi w:val="0"/>
              <w:spacing w:before="0" w:after="283"/>
              <w:jc w:val="left"/>
              <w:rPr>
                <w:sz w:val="4"/>
                <w:szCs w:val="4"/>
              </w:rPr>
            </w:pPr>
            <w:r>
              <w:rPr>
                <w:sz w:val="4"/>
                <w:szCs w:val="4"/>
              </w:rPr>
            </w:r>
          </w:p>
        </w:tc>
        <w:tc>
          <w:tcPr>
            <w:tcW w:w="2757" w:type="dxa"/>
            <w:tcBorders/>
            <w:vAlign w:val="center"/>
          </w:tcPr>
          <w:p>
            <w:pPr>
              <w:pStyle w:val="TableContents"/>
              <w:bidi w:val="0"/>
              <w:spacing w:before="0" w:after="283"/>
              <w:jc w:val="left"/>
              <w:rPr>
                <w:sz w:val="4"/>
                <w:szCs w:val="4"/>
              </w:rPr>
            </w:pPr>
            <w:r>
              <w:rPr>
                <w:sz w:val="4"/>
                <w:szCs w:val="4"/>
              </w:rPr>
            </w:r>
          </w:p>
        </w:tc>
        <w:tc>
          <w:tcPr>
            <w:tcW w:w="276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aee04ce58ba4067b6daada9a9c52dcb_13">
              <w:r>
                <w:rPr>
                  <w:rStyle w:val="InternetLink"/>
                  <w:rFonts w:ascii="Times New Roman;sans-serif" w:hAnsi="Times New Roman;sans-serif"/>
                  <w:b w:val="false"/>
                  <w:color w:val="0000FF"/>
                  <w:sz w:val="22"/>
                  <w:u w:val="single"/>
                </w:rPr>
                <w:t>PART I — FINANCIAL INFORMATION</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Page No.</w:t>
            </w:r>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Item 1.</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ee04ce58ba4067b6daada9a9c52dcb_16">
              <w:r>
                <w:rPr>
                  <w:rStyle w:val="InternetLink"/>
                  <w:rFonts w:ascii="Times New Roman;sans-serif" w:hAnsi="Times New Roman;sans-serif"/>
                  <w:b w:val="false"/>
                  <w:color w:val="0000FF"/>
                  <w:sz w:val="22"/>
                  <w:u w:val="single"/>
                </w:rPr>
                <w:t>Financial Statements (Unaudited)</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aee04ce58ba4067b6daada9a9c52dcb_16">
              <w:r>
                <w:rPr>
                  <w:rStyle w:val="InternetLink"/>
                  <w:rFonts w:ascii="Times New Roman;sans-serif" w:hAnsi="Times New Roman;sans-serif"/>
                  <w:b w:val="false"/>
                  <w:color w:val="0000FF"/>
                  <w:sz w:val="22"/>
                  <w:u w:val="single"/>
                </w:rPr>
                <w:t>3</w:t>
              </w:r>
            </w:hyperlink>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ee04ce58ba4067b6daada9a9c52dcb_16">
              <w:r>
                <w:rPr>
                  <w:rStyle w:val="InternetLink"/>
                  <w:rFonts w:ascii="Times New Roman;sans-serif" w:hAnsi="Times New Roman;sans-serif"/>
                  <w:b w:val="false"/>
                  <w:color w:val="0000FF"/>
                  <w:sz w:val="22"/>
                  <w:u w:val="single"/>
                </w:rPr>
                <w:t>Consolidated Financial Statements:</w:t>
              </w:r>
            </w:hyperlink>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ee04ce58ba4067b6daada9a9c52dcb_19">
              <w:r>
                <w:rPr>
                  <w:rStyle w:val="InternetLink"/>
                  <w:rFonts w:ascii="Times New Roman;sans-serif" w:hAnsi="Times New Roman;sans-serif"/>
                  <w:b w:val="false"/>
                  <w:color w:val="000080"/>
                  <w:sz w:val="22"/>
                  <w:u w:val="single"/>
                </w:rPr>
                <w:t xml:space="preserve">Consolidated Balance Sheets — </w:t>
              </w:r>
            </w:hyperlink>
            <w:hyperlink w:anchor="i0aee04ce58ba4067b6daada9a9c52dcb_19">
              <w:r>
                <w:rPr>
                  <w:rStyle w:val="InternetLink"/>
                  <w:rFonts w:ascii="Times New Roman;sans-serif" w:hAnsi="Times New Roman;sans-serif"/>
                  <w:b w:val="false"/>
                  <w:color w:val="000080"/>
                  <w:sz w:val="22"/>
                  <w:u w:val="single"/>
                </w:rPr>
                <w:t>June</w:t>
              </w:r>
            </w:hyperlink>
            <w:hyperlink w:anchor="i0aee04ce58ba4067b6daada9a9c52dcb_19">
              <w:r>
                <w:rPr>
                  <w:rStyle w:val="InternetLink"/>
                  <w:rFonts w:ascii="Times New Roman;sans-serif" w:hAnsi="Times New Roman;sans-serif"/>
                  <w:b w:val="false"/>
                  <w:color w:val="000080"/>
                  <w:sz w:val="22"/>
                  <w:u w:val="single"/>
                </w:rPr>
                <w:t xml:space="preserve"> 3</w:t>
              </w:r>
            </w:hyperlink>
            <w:hyperlink w:anchor="i0aee04ce58ba4067b6daada9a9c52dcb_19">
              <w:r>
                <w:rPr>
                  <w:rStyle w:val="InternetLink"/>
                  <w:rFonts w:ascii="Times New Roman;sans-serif" w:hAnsi="Times New Roman;sans-serif"/>
                  <w:b w:val="false"/>
                  <w:color w:val="000080"/>
                  <w:sz w:val="22"/>
                  <w:u w:val="single"/>
                </w:rPr>
                <w:t>0</w:t>
              </w:r>
            </w:hyperlink>
            <w:hyperlink w:anchor="i0aee04ce58ba4067b6daada9a9c52dcb_19">
              <w:r>
                <w:rPr>
                  <w:rStyle w:val="InternetLink"/>
                  <w:rFonts w:ascii="Times New Roman;sans-serif" w:hAnsi="Times New Roman;sans-serif"/>
                  <w:b w:val="false"/>
                  <w:color w:val="000080"/>
                  <w:sz w:val="22"/>
                  <w:u w:val="single"/>
                </w:rPr>
                <w:t>, 2024 and December 31, 2023</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aee04ce58ba4067b6daada9a9c52dcb_19">
              <w:r>
                <w:rPr>
                  <w:rStyle w:val="InternetLink"/>
                  <w:rFonts w:ascii="Times New Roman;sans-serif" w:hAnsi="Times New Roman;sans-serif"/>
                  <w:b w:val="false"/>
                  <w:color w:val="0000FF"/>
                  <w:sz w:val="22"/>
                  <w:u w:val="single"/>
                </w:rPr>
                <w:t>3</w:t>
              </w:r>
            </w:hyperlink>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ee04ce58ba4067b6daada9a9c52dcb_22">
              <w:r>
                <w:rPr>
                  <w:rStyle w:val="InternetLink"/>
                  <w:rFonts w:ascii="Times New Roman;sans-serif" w:hAnsi="Times New Roman;sans-serif"/>
                  <w:b w:val="false"/>
                  <w:color w:val="000080"/>
                  <w:sz w:val="22"/>
                  <w:u w:val="single"/>
                </w:rPr>
                <w:t>Consolidated Statements of Operations and Comprehensive</w:t>
              </w:r>
            </w:hyperlink>
            <w:hyperlink w:anchor="i0aee04ce58ba4067b6daada9a9c52dcb_22">
              <w:r>
                <w:rPr>
                  <w:rStyle w:val="InternetLink"/>
                  <w:rFonts w:ascii="Times New Roman;sans-serif" w:hAnsi="Times New Roman;sans-serif"/>
                  <w:b w:val="false"/>
                  <w:color w:val="000080"/>
                  <w:sz w:val="22"/>
                  <w:u w:val="single"/>
                </w:rPr>
                <w:t xml:space="preserve"> Income</w:t>
              </w:r>
            </w:hyperlink>
            <w:hyperlink w:anchor="i0aee04ce58ba4067b6daada9a9c52dcb_22">
              <w:r>
                <w:rPr>
                  <w:rStyle w:val="InternetLink"/>
                  <w:rFonts w:ascii="Times New Roman;sans-serif" w:hAnsi="Times New Roman;sans-serif"/>
                  <w:b w:val="false"/>
                  <w:color w:val="000080"/>
                  <w:sz w:val="22"/>
                  <w:u w:val="single"/>
                </w:rPr>
                <w:t xml:space="preserve"> (Loss) </w:t>
              </w:r>
            </w:hyperlink>
            <w:hyperlink w:anchor="i0aee04ce58ba4067b6daada9a9c52dcb_22">
              <w:r>
                <w:rPr>
                  <w:rStyle w:val="InternetLink"/>
                  <w:rFonts w:ascii="Times New Roman;sans-serif" w:hAnsi="Times New Roman;sans-serif"/>
                  <w:b w:val="false"/>
                  <w:color w:val="000080"/>
                  <w:sz w:val="22"/>
                  <w:u w:val="single"/>
                </w:rPr>
                <w:t>—</w:t>
              </w:r>
            </w:hyperlink>
          </w:p>
          <w:p>
            <w:pPr>
              <w:pStyle w:val="TableContents"/>
              <w:bidi w:val="0"/>
              <w:spacing w:lineRule="auto" w:line="240" w:before="0" w:after="0"/>
              <w:jc w:val="left"/>
              <w:rPr/>
            </w:pPr>
            <w:hyperlink w:anchor="i0aee04ce58ba4067b6daada9a9c52dcb_22">
              <w:r>
                <w:rPr>
                  <w:rStyle w:val="InternetLink"/>
                  <w:rFonts w:ascii="Times New Roman;sans-serif" w:hAnsi="Times New Roman;sans-serif"/>
                  <w:b w:val="false"/>
                  <w:color w:val="000080"/>
                  <w:sz w:val="22"/>
                  <w:u w:val="single"/>
                </w:rPr>
                <w:t xml:space="preserve">For the Thirteen </w:t>
              </w:r>
            </w:hyperlink>
            <w:hyperlink w:anchor="i0aee04ce58ba4067b6daada9a9c52dcb_22">
              <w:r>
                <w:rPr>
                  <w:rStyle w:val="InternetLink"/>
                  <w:rFonts w:ascii="Times New Roman;sans-serif" w:hAnsi="Times New Roman;sans-serif"/>
                  <w:b w:val="false"/>
                  <w:color w:val="000080"/>
                  <w:sz w:val="22"/>
                  <w:u w:val="single"/>
                </w:rPr>
                <w:t>and Tw</w:t>
              </w:r>
            </w:hyperlink>
            <w:hyperlink w:anchor="i0aee04ce58ba4067b6daada9a9c52dcb_22">
              <w:r>
                <w:rPr>
                  <w:rStyle w:val="InternetLink"/>
                  <w:rFonts w:ascii="Times New Roman;sans-serif" w:hAnsi="Times New Roman;sans-serif"/>
                  <w:b w:val="false"/>
                  <w:color w:val="000080"/>
                  <w:sz w:val="22"/>
                  <w:u w:val="single"/>
                </w:rPr>
                <w:t>en</w:t>
              </w:r>
            </w:hyperlink>
            <w:hyperlink w:anchor="i0aee04ce58ba4067b6daada9a9c52dcb_22">
              <w:r>
                <w:rPr>
                  <w:rStyle w:val="InternetLink"/>
                  <w:rFonts w:ascii="Times New Roman;sans-serif" w:hAnsi="Times New Roman;sans-serif"/>
                  <w:b w:val="false"/>
                  <w:color w:val="000080"/>
                  <w:sz w:val="22"/>
                  <w:u w:val="single"/>
                </w:rPr>
                <w:t xml:space="preserve">ty-Six </w:t>
              </w:r>
            </w:hyperlink>
            <w:hyperlink w:anchor="i0aee04ce58ba4067b6daada9a9c52dcb_22">
              <w:r>
                <w:rPr>
                  <w:rStyle w:val="InternetLink"/>
                  <w:rFonts w:ascii="Times New Roman;sans-serif" w:hAnsi="Times New Roman;sans-serif"/>
                  <w:b w:val="false"/>
                  <w:color w:val="000080"/>
                  <w:sz w:val="22"/>
                  <w:u w:val="single"/>
                </w:rPr>
                <w:t xml:space="preserve">Weeks Ended </w:t>
              </w:r>
            </w:hyperlink>
            <w:hyperlink w:anchor="i0aee04ce58ba4067b6daada9a9c52dcb_22">
              <w:r>
                <w:rPr>
                  <w:rStyle w:val="InternetLink"/>
                  <w:rFonts w:ascii="Times New Roman;sans-serif" w:hAnsi="Times New Roman;sans-serif"/>
                  <w:b w:val="false"/>
                  <w:color w:val="000080"/>
                  <w:sz w:val="22"/>
                  <w:u w:val="single"/>
                </w:rPr>
                <w:t>June</w:t>
              </w:r>
            </w:hyperlink>
            <w:hyperlink w:anchor="i0aee04ce58ba4067b6daada9a9c52dcb_22">
              <w:r>
                <w:rPr>
                  <w:rStyle w:val="InternetLink"/>
                  <w:rFonts w:ascii="Times New Roman;sans-serif" w:hAnsi="Times New Roman;sans-serif"/>
                  <w:b w:val="false"/>
                  <w:color w:val="000080"/>
                  <w:sz w:val="22"/>
                  <w:u w:val="single"/>
                </w:rPr>
                <w:t xml:space="preserve"> </w:t>
              </w:r>
            </w:hyperlink>
            <w:hyperlink w:anchor="i0aee04ce58ba4067b6daada9a9c52dcb_22">
              <w:r>
                <w:rPr>
                  <w:rStyle w:val="InternetLink"/>
                  <w:rFonts w:ascii="Times New Roman;sans-serif" w:hAnsi="Times New Roman;sans-serif"/>
                  <w:b w:val="false"/>
                  <w:color w:val="000080"/>
                  <w:sz w:val="22"/>
                  <w:u w:val="single"/>
                </w:rPr>
                <w:t>30</w:t>
              </w:r>
            </w:hyperlink>
            <w:hyperlink w:anchor="i0aee04ce58ba4067b6daada9a9c52dcb_22">
              <w:r>
                <w:rPr>
                  <w:rStyle w:val="InternetLink"/>
                  <w:rFonts w:ascii="Times New Roman;sans-serif" w:hAnsi="Times New Roman;sans-serif"/>
                  <w:b w:val="false"/>
                  <w:color w:val="000080"/>
                  <w:sz w:val="22"/>
                  <w:u w:val="single"/>
                </w:rPr>
                <w:t xml:space="preserve">, 2024 and </w:t>
              </w:r>
            </w:hyperlink>
            <w:hyperlink w:anchor="i0aee04ce58ba4067b6daada9a9c52dcb_22">
              <w:r>
                <w:rPr>
                  <w:rStyle w:val="InternetLink"/>
                  <w:rFonts w:ascii="Times New Roman;sans-serif" w:hAnsi="Times New Roman;sans-serif"/>
                  <w:b w:val="false"/>
                  <w:color w:val="000080"/>
                  <w:sz w:val="22"/>
                  <w:u w:val="single"/>
                </w:rPr>
                <w:t>June 25</w:t>
              </w:r>
            </w:hyperlink>
            <w:hyperlink w:anchor="i0aee04ce58ba4067b6daada9a9c52dcb_22">
              <w:r>
                <w:rPr>
                  <w:rStyle w:val="InternetLink"/>
                  <w:rFonts w:ascii="Times New Roman;sans-serif" w:hAnsi="Times New Roman;sans-serif"/>
                  <w:b w:val="false"/>
                  <w:color w:val="000080"/>
                  <w:sz w:val="22"/>
                  <w:u w:val="single"/>
                </w:rPr>
                <w:t>, 2023</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aee04ce58ba4067b6daada9a9c52dcb_22">
              <w:r>
                <w:rPr>
                  <w:rStyle w:val="InternetLink"/>
                  <w:rFonts w:ascii="Times New Roman;sans-serif" w:hAnsi="Times New Roman;sans-serif"/>
                  <w:b w:val="false"/>
                  <w:color w:val="0000FF"/>
                  <w:sz w:val="22"/>
                  <w:u w:val="single"/>
                </w:rPr>
                <w:t>4</w:t>
              </w:r>
            </w:hyperlink>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ee04ce58ba4067b6daada9a9c52dcb_25">
              <w:r>
                <w:rPr>
                  <w:rStyle w:val="InternetLink"/>
                  <w:rFonts w:ascii="Times New Roman;sans-serif" w:hAnsi="Times New Roman;sans-serif"/>
                  <w:b w:val="false"/>
                  <w:color w:val="0000FF"/>
                  <w:sz w:val="22"/>
                  <w:u w:val="single"/>
                </w:rPr>
                <w:t>Consolidated Statements of Changes in Stockholders’ Equity —</w:t>
              </w:r>
            </w:hyperlink>
          </w:p>
          <w:p>
            <w:pPr>
              <w:pStyle w:val="TableContents"/>
              <w:bidi w:val="0"/>
              <w:spacing w:lineRule="auto" w:line="240" w:before="0" w:after="0"/>
              <w:jc w:val="left"/>
              <w:rPr/>
            </w:pPr>
            <w:hyperlink w:anchor="i0aee04ce58ba4067b6daada9a9c52dcb_25">
              <w:r>
                <w:rPr>
                  <w:rStyle w:val="InternetLink"/>
                  <w:rFonts w:ascii="Times New Roman;sans-serif" w:hAnsi="Times New Roman;sans-serif"/>
                  <w:b w:val="false"/>
                  <w:color w:val="000080"/>
                  <w:sz w:val="22"/>
                  <w:u w:val="single"/>
                </w:rPr>
                <w:t xml:space="preserve">For the Thirteen </w:t>
              </w:r>
            </w:hyperlink>
            <w:hyperlink w:anchor="i0aee04ce58ba4067b6daada9a9c52dcb_25">
              <w:r>
                <w:rPr>
                  <w:rStyle w:val="InternetLink"/>
                  <w:rFonts w:ascii="Times New Roman;sans-serif" w:hAnsi="Times New Roman;sans-serif"/>
                  <w:b w:val="false"/>
                  <w:color w:val="000080"/>
                  <w:sz w:val="22"/>
                  <w:u w:val="single"/>
                </w:rPr>
                <w:t xml:space="preserve">and Twenty-Six </w:t>
              </w:r>
            </w:hyperlink>
            <w:hyperlink w:anchor="i0aee04ce58ba4067b6daada9a9c52dcb_25">
              <w:r>
                <w:rPr>
                  <w:rStyle w:val="InternetLink"/>
                  <w:rFonts w:ascii="Times New Roman;sans-serif" w:hAnsi="Times New Roman;sans-serif"/>
                  <w:b w:val="false"/>
                  <w:color w:val="000080"/>
                  <w:sz w:val="22"/>
                  <w:u w:val="single"/>
                </w:rPr>
                <w:t xml:space="preserve">Weeks Ended </w:t>
              </w:r>
            </w:hyperlink>
            <w:hyperlink w:anchor="i0aee04ce58ba4067b6daada9a9c52dcb_25">
              <w:r>
                <w:rPr>
                  <w:rStyle w:val="InternetLink"/>
                  <w:rFonts w:ascii="Times New Roman;sans-serif" w:hAnsi="Times New Roman;sans-serif"/>
                  <w:b w:val="false"/>
                  <w:color w:val="000080"/>
                  <w:sz w:val="22"/>
                  <w:u w:val="single"/>
                </w:rPr>
                <w:t>June 30</w:t>
              </w:r>
            </w:hyperlink>
            <w:hyperlink w:anchor="i0aee04ce58ba4067b6daada9a9c52dcb_25">
              <w:r>
                <w:rPr>
                  <w:rStyle w:val="InternetLink"/>
                  <w:rFonts w:ascii="Times New Roman;sans-serif" w:hAnsi="Times New Roman;sans-serif"/>
                  <w:b w:val="false"/>
                  <w:color w:val="000080"/>
                  <w:sz w:val="22"/>
                  <w:u w:val="single"/>
                </w:rPr>
                <w:t xml:space="preserve">, 2024 and </w:t>
              </w:r>
            </w:hyperlink>
            <w:hyperlink w:anchor="i0aee04ce58ba4067b6daada9a9c52dcb_25">
              <w:r>
                <w:rPr>
                  <w:rStyle w:val="InternetLink"/>
                  <w:rFonts w:ascii="Times New Roman;sans-serif" w:hAnsi="Times New Roman;sans-serif"/>
                  <w:b w:val="false"/>
                  <w:color w:val="000080"/>
                  <w:sz w:val="22"/>
                  <w:u w:val="single"/>
                </w:rPr>
                <w:t>June</w:t>
              </w:r>
            </w:hyperlink>
            <w:hyperlink w:anchor="i0aee04ce58ba4067b6daada9a9c52dcb_25">
              <w:r>
                <w:rPr>
                  <w:rStyle w:val="InternetLink"/>
                  <w:rFonts w:ascii="Times New Roman;sans-serif" w:hAnsi="Times New Roman;sans-serif"/>
                  <w:b w:val="false"/>
                  <w:color w:val="000080"/>
                  <w:sz w:val="22"/>
                  <w:u w:val="single"/>
                </w:rPr>
                <w:t xml:space="preserve"> 2</w:t>
              </w:r>
            </w:hyperlink>
            <w:hyperlink w:anchor="i0aee04ce58ba4067b6daada9a9c52dcb_25">
              <w:r>
                <w:rPr>
                  <w:rStyle w:val="InternetLink"/>
                  <w:rFonts w:ascii="Times New Roman;sans-serif" w:hAnsi="Times New Roman;sans-serif"/>
                  <w:b w:val="false"/>
                  <w:color w:val="000080"/>
                  <w:sz w:val="22"/>
                  <w:u w:val="single"/>
                </w:rPr>
                <w:t>5</w:t>
              </w:r>
            </w:hyperlink>
            <w:hyperlink w:anchor="i0aee04ce58ba4067b6daada9a9c52dcb_25">
              <w:r>
                <w:rPr>
                  <w:rStyle w:val="InternetLink"/>
                  <w:rFonts w:ascii="Times New Roman;sans-serif" w:hAnsi="Times New Roman;sans-serif"/>
                  <w:b w:val="false"/>
                  <w:color w:val="000080"/>
                  <w:sz w:val="22"/>
                  <w:u w:val="single"/>
                </w:rPr>
                <w:t>, 2023</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aee04ce58ba4067b6daada9a9c52dcb_25">
              <w:r>
                <w:rPr>
                  <w:rStyle w:val="InternetLink"/>
                  <w:rFonts w:ascii="Times New Roman;sans-serif" w:hAnsi="Times New Roman;sans-serif"/>
                  <w:b w:val="false"/>
                  <w:color w:val="0000FF"/>
                  <w:sz w:val="22"/>
                  <w:u w:val="single"/>
                </w:rPr>
                <w:t>5</w:t>
              </w:r>
            </w:hyperlink>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ee04ce58ba4067b6daada9a9c52dcb_28">
              <w:r>
                <w:rPr>
                  <w:rStyle w:val="InternetLink"/>
                  <w:rFonts w:ascii="Times New Roman;sans-serif" w:hAnsi="Times New Roman;sans-serif"/>
                  <w:b w:val="false"/>
                  <w:color w:val="0000FF"/>
                  <w:sz w:val="22"/>
                  <w:u w:val="single"/>
                </w:rPr>
                <w:t>Condensed Consolidated Statements of Cash Flows —</w:t>
              </w:r>
            </w:hyperlink>
          </w:p>
          <w:p>
            <w:pPr>
              <w:pStyle w:val="TableContents"/>
              <w:bidi w:val="0"/>
              <w:spacing w:lineRule="auto" w:line="240" w:before="0" w:after="0"/>
              <w:jc w:val="left"/>
              <w:rPr/>
            </w:pPr>
            <w:hyperlink w:anchor="i0aee04ce58ba4067b6daada9a9c52dcb_28">
              <w:r>
                <w:rPr>
                  <w:rStyle w:val="InternetLink"/>
                  <w:rFonts w:ascii="Times New Roman;sans-serif" w:hAnsi="Times New Roman;sans-serif"/>
                  <w:b w:val="false"/>
                  <w:color w:val="000080"/>
                  <w:sz w:val="22"/>
                  <w:u w:val="single"/>
                </w:rPr>
                <w:t>For the T</w:t>
              </w:r>
            </w:hyperlink>
            <w:hyperlink w:anchor="i0aee04ce58ba4067b6daada9a9c52dcb_28">
              <w:r>
                <w:rPr>
                  <w:rStyle w:val="InternetLink"/>
                  <w:rFonts w:ascii="Times New Roman;sans-serif" w:hAnsi="Times New Roman;sans-serif"/>
                  <w:b w:val="false"/>
                  <w:color w:val="000080"/>
                  <w:sz w:val="22"/>
                  <w:u w:val="single"/>
                </w:rPr>
                <w:t>wenty-</w:t>
              </w:r>
            </w:hyperlink>
            <w:hyperlink w:anchor="i0aee04ce58ba4067b6daada9a9c52dcb_28">
              <w:r>
                <w:rPr>
                  <w:rStyle w:val="InternetLink"/>
                  <w:rFonts w:ascii="Times New Roman;sans-serif" w:hAnsi="Times New Roman;sans-serif"/>
                  <w:b w:val="false"/>
                  <w:color w:val="000080"/>
                  <w:sz w:val="22"/>
                  <w:u w:val="single"/>
                </w:rPr>
                <w:t>Six</w:t>
              </w:r>
            </w:hyperlink>
            <w:hyperlink w:anchor="i0aee04ce58ba4067b6daada9a9c52dcb_28">
              <w:r>
                <w:rPr>
                  <w:rStyle w:val="InternetLink"/>
                  <w:rFonts w:ascii="Times New Roman;sans-serif" w:hAnsi="Times New Roman;sans-serif"/>
                  <w:b w:val="false"/>
                  <w:color w:val="000080"/>
                  <w:sz w:val="22"/>
                  <w:u w:val="single"/>
                </w:rPr>
                <w:t xml:space="preserve"> Weeks Ended </w:t>
              </w:r>
            </w:hyperlink>
            <w:hyperlink w:anchor="i0aee04ce58ba4067b6daada9a9c52dcb_28">
              <w:r>
                <w:rPr>
                  <w:rStyle w:val="InternetLink"/>
                  <w:rFonts w:ascii="Times New Roman;sans-serif" w:hAnsi="Times New Roman;sans-serif"/>
                  <w:b w:val="false"/>
                  <w:color w:val="000080"/>
                  <w:sz w:val="22"/>
                  <w:u w:val="single"/>
                </w:rPr>
                <w:t>June</w:t>
              </w:r>
            </w:hyperlink>
            <w:hyperlink w:anchor="i0aee04ce58ba4067b6daada9a9c52dcb_28">
              <w:r>
                <w:rPr>
                  <w:rStyle w:val="InternetLink"/>
                  <w:rFonts w:ascii="Times New Roman;sans-serif" w:hAnsi="Times New Roman;sans-serif"/>
                  <w:b w:val="false"/>
                  <w:color w:val="000080"/>
                  <w:sz w:val="22"/>
                  <w:u w:val="single"/>
                </w:rPr>
                <w:t xml:space="preserve"> 3</w:t>
              </w:r>
            </w:hyperlink>
            <w:hyperlink w:anchor="i0aee04ce58ba4067b6daada9a9c52dcb_28">
              <w:r>
                <w:rPr>
                  <w:rStyle w:val="InternetLink"/>
                  <w:rFonts w:ascii="Times New Roman;sans-serif" w:hAnsi="Times New Roman;sans-serif"/>
                  <w:b w:val="false"/>
                  <w:color w:val="000080"/>
                  <w:sz w:val="22"/>
                  <w:u w:val="single"/>
                </w:rPr>
                <w:t>0</w:t>
              </w:r>
            </w:hyperlink>
            <w:hyperlink w:anchor="i0aee04ce58ba4067b6daada9a9c52dcb_28">
              <w:r>
                <w:rPr>
                  <w:rStyle w:val="InternetLink"/>
                  <w:rFonts w:ascii="Times New Roman;sans-serif" w:hAnsi="Times New Roman;sans-serif"/>
                  <w:b w:val="false"/>
                  <w:color w:val="000080"/>
                  <w:sz w:val="22"/>
                  <w:u w:val="single"/>
                </w:rPr>
                <w:t xml:space="preserve">, 2024 and </w:t>
              </w:r>
            </w:hyperlink>
            <w:hyperlink w:anchor="i0aee04ce58ba4067b6daada9a9c52dcb_28">
              <w:r>
                <w:rPr>
                  <w:rStyle w:val="InternetLink"/>
                  <w:rFonts w:ascii="Times New Roman;sans-serif" w:hAnsi="Times New Roman;sans-serif"/>
                  <w:b w:val="false"/>
                  <w:color w:val="000080"/>
                  <w:sz w:val="22"/>
                  <w:u w:val="single"/>
                </w:rPr>
                <w:t>June</w:t>
              </w:r>
            </w:hyperlink>
            <w:hyperlink w:anchor="i0aee04ce58ba4067b6daada9a9c52dcb_28">
              <w:r>
                <w:rPr>
                  <w:rStyle w:val="InternetLink"/>
                  <w:rFonts w:ascii="Times New Roman;sans-serif" w:hAnsi="Times New Roman;sans-serif"/>
                  <w:b w:val="false"/>
                  <w:color w:val="000080"/>
                  <w:sz w:val="22"/>
                  <w:u w:val="single"/>
                </w:rPr>
                <w:t xml:space="preserve"> 2</w:t>
              </w:r>
            </w:hyperlink>
            <w:hyperlink w:anchor="i0aee04ce58ba4067b6daada9a9c52dcb_28">
              <w:r>
                <w:rPr>
                  <w:rStyle w:val="InternetLink"/>
                  <w:rFonts w:ascii="Times New Roman;sans-serif" w:hAnsi="Times New Roman;sans-serif"/>
                  <w:b w:val="false"/>
                  <w:color w:val="000080"/>
                  <w:sz w:val="22"/>
                  <w:u w:val="single"/>
                </w:rPr>
                <w:t>5</w:t>
              </w:r>
            </w:hyperlink>
            <w:hyperlink w:anchor="i0aee04ce58ba4067b6daada9a9c52dcb_28">
              <w:r>
                <w:rPr>
                  <w:rStyle w:val="InternetLink"/>
                  <w:rFonts w:ascii="Times New Roman;sans-serif" w:hAnsi="Times New Roman;sans-serif"/>
                  <w:b w:val="false"/>
                  <w:color w:val="000080"/>
                  <w:sz w:val="22"/>
                  <w:u w:val="single"/>
                </w:rPr>
                <w:t>, 2023</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aee04ce58ba4067b6daada9a9c52dcb_28">
              <w:r>
                <w:rPr>
                  <w:rStyle w:val="InternetLink"/>
                  <w:rFonts w:ascii="Times New Roman;sans-serif" w:hAnsi="Times New Roman;sans-serif"/>
                  <w:b w:val="false"/>
                  <w:color w:val="0000FF"/>
                  <w:sz w:val="22"/>
                  <w:u w:val="single"/>
                </w:rPr>
                <w:t>7</w:t>
              </w:r>
            </w:hyperlink>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ee04ce58ba4067b6daada9a9c52dcb_34">
              <w:r>
                <w:rPr>
                  <w:rStyle w:val="InternetLink"/>
                  <w:rFonts w:ascii="Times New Roman;sans-serif" w:hAnsi="Times New Roman;sans-serif"/>
                  <w:b w:val="false"/>
                  <w:color w:val="0000FF"/>
                  <w:sz w:val="22"/>
                  <w:u w:val="single"/>
                </w:rPr>
                <w:t>Notes to Consolidated Financial Statements</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aee04ce58ba4067b6daada9a9c52dcb_34">
              <w:r>
                <w:rPr>
                  <w:rStyle w:val="InternetLink"/>
                  <w:rFonts w:ascii="Times New Roman;sans-serif" w:hAnsi="Times New Roman;sans-serif"/>
                  <w:b w:val="false"/>
                  <w:color w:val="0000FF"/>
                  <w:sz w:val="22"/>
                  <w:u w:val="single"/>
                </w:rPr>
                <w:t>8</w:t>
              </w:r>
            </w:hyperlink>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Item 2.</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ee04ce58ba4067b6daada9a9c52dcb_88">
              <w:r>
                <w:rPr>
                  <w:rStyle w:val="InternetLink"/>
                  <w:rFonts w:ascii="Times New Roman;sans-serif" w:hAnsi="Times New Roman;sans-serif"/>
                  <w:b w:val="false"/>
                  <w:color w:val="0000FF"/>
                  <w:sz w:val="22"/>
                  <w:u w:val="single"/>
                </w:rPr>
                <w:t>Management’s Discussion and Analysis of Financial Condition and Results of Operations</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aee04ce58ba4067b6daada9a9c52dcb_88">
              <w:r>
                <w:rPr>
                  <w:rStyle w:val="InternetLink"/>
                  <w:rFonts w:ascii="Times New Roman;sans-serif" w:hAnsi="Times New Roman;sans-serif"/>
                  <w:b w:val="false"/>
                  <w:color w:val="0000FF"/>
                  <w:sz w:val="22"/>
                  <w:u w:val="single"/>
                </w:rPr>
                <w:t>24</w:t>
              </w:r>
            </w:hyperlink>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Item 3.</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0aee04ce58ba4067b6daada9a9c52dcb_193">
              <w:r>
                <w:rPr>
                  <w:rStyle w:val="InternetLink"/>
                  <w:rFonts w:ascii="Times New Roman;sans-serif" w:hAnsi="Times New Roman;sans-serif"/>
                  <w:b w:val="false"/>
                  <w:color w:val="0000FF"/>
                  <w:sz w:val="22"/>
                  <w:u w:val="single"/>
                </w:rPr>
                <w:t>Quantitative and Qualitative Disclosures About Market Risk</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aee04ce58ba4067b6daada9a9c52dcb_193">
              <w:r>
                <w:rPr>
                  <w:rStyle w:val="InternetLink"/>
                  <w:rFonts w:ascii="Times New Roman;sans-serif" w:hAnsi="Times New Roman;sans-serif"/>
                  <w:b w:val="false"/>
                  <w:color w:val="0000FF"/>
                  <w:sz w:val="22"/>
                  <w:u w:val="single"/>
                </w:rPr>
                <w:t>45</w:t>
              </w:r>
            </w:hyperlink>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Item 4.</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0aee04ce58ba4067b6daada9a9c52dcb_196">
              <w:r>
                <w:rPr>
                  <w:rStyle w:val="InternetLink"/>
                  <w:rFonts w:ascii="Times New Roman;sans-serif" w:hAnsi="Times New Roman;sans-serif"/>
                  <w:b w:val="false"/>
                  <w:color w:val="0000FF"/>
                  <w:sz w:val="22"/>
                  <w:u w:val="single"/>
                </w:rPr>
                <w:t>Controls and Procedures</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aee04ce58ba4067b6daada9a9c52dcb_196">
              <w:r>
                <w:rPr>
                  <w:rStyle w:val="InternetLink"/>
                  <w:rFonts w:ascii="Times New Roman;sans-serif" w:hAnsi="Times New Roman;sans-serif"/>
                  <w:b w:val="false"/>
                  <w:color w:val="0000FF"/>
                  <w:sz w:val="22"/>
                  <w:u w:val="single"/>
                </w:rPr>
                <w:t>45</w:t>
              </w:r>
            </w:hyperlink>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aee04ce58ba4067b6daada9a9c52dcb_199">
              <w:r>
                <w:rPr>
                  <w:rStyle w:val="InternetLink"/>
                  <w:rFonts w:ascii="Times New Roman;sans-serif" w:hAnsi="Times New Roman;sans-serif"/>
                  <w:b w:val="false"/>
                  <w:color w:val="0000FF"/>
                  <w:sz w:val="22"/>
                  <w:u w:val="single"/>
                </w:rPr>
                <w:t>PART II — OTHER INFORMATION</w:t>
              </w:r>
            </w:hyperlink>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Item 1.</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0aee04ce58ba4067b6daada9a9c52dcb_202">
              <w:r>
                <w:rPr>
                  <w:rStyle w:val="InternetLink"/>
                  <w:rFonts w:ascii="Times New Roman;sans-serif" w:hAnsi="Times New Roman;sans-serif"/>
                  <w:b w:val="false"/>
                  <w:color w:val="0000FF"/>
                  <w:sz w:val="22"/>
                  <w:u w:val="single"/>
                </w:rPr>
                <w:t>Legal Proceedings</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aee04ce58ba4067b6daada9a9c52dcb_202">
              <w:r>
                <w:rPr>
                  <w:rStyle w:val="InternetLink"/>
                  <w:rFonts w:ascii="Times New Roman;sans-serif" w:hAnsi="Times New Roman;sans-serif"/>
                  <w:b w:val="false"/>
                  <w:color w:val="0000FF"/>
                  <w:sz w:val="22"/>
                  <w:u w:val="single"/>
                </w:rPr>
                <w:t>46</w:t>
              </w:r>
            </w:hyperlink>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Item 1A.</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0aee04ce58ba4067b6daada9a9c52dcb_205">
              <w:r>
                <w:rPr>
                  <w:rStyle w:val="InternetLink"/>
                  <w:rFonts w:ascii="Times New Roman;sans-serif" w:hAnsi="Times New Roman;sans-serif"/>
                  <w:b w:val="false"/>
                  <w:color w:val="0000FF"/>
                  <w:sz w:val="22"/>
                  <w:u w:val="single"/>
                </w:rPr>
                <w:t>Risk Factors</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aee04ce58ba4067b6daada9a9c52dcb_205">
              <w:r>
                <w:rPr>
                  <w:rStyle w:val="InternetLink"/>
                  <w:rFonts w:ascii="Times New Roman;sans-serif" w:hAnsi="Times New Roman;sans-serif"/>
                  <w:b w:val="false"/>
                  <w:color w:val="0000FF"/>
                  <w:sz w:val="22"/>
                  <w:u w:val="single"/>
                </w:rPr>
                <w:t>46</w:t>
              </w:r>
            </w:hyperlink>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Item 2.</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0aee04ce58ba4067b6daada9a9c52dcb_208">
              <w:r>
                <w:rPr>
                  <w:rStyle w:val="InternetLink"/>
                  <w:rFonts w:ascii="Times New Roman;sans-serif" w:hAnsi="Times New Roman;sans-serif"/>
                  <w:b w:val="false"/>
                  <w:color w:val="0000FF"/>
                  <w:sz w:val="22"/>
                  <w:u w:val="single"/>
                </w:rPr>
                <w:t>Unregistered Sales of Equity Securities and Use of Proceeds</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aee04ce58ba4067b6daada9a9c52dcb_208">
              <w:r>
                <w:rPr>
                  <w:rStyle w:val="InternetLink"/>
                  <w:rFonts w:ascii="Times New Roman;sans-serif" w:hAnsi="Times New Roman;sans-serif"/>
                  <w:b w:val="false"/>
                  <w:color w:val="0000FF"/>
                  <w:sz w:val="22"/>
                  <w:u w:val="single"/>
                </w:rPr>
                <w:t>46</w:t>
              </w:r>
            </w:hyperlink>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Item 5.</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0aee04ce58ba4067b6daada9a9c52dcb_211">
              <w:r>
                <w:rPr>
                  <w:rStyle w:val="InternetLink"/>
                  <w:rFonts w:ascii="Times New Roman;sans-serif" w:hAnsi="Times New Roman;sans-serif"/>
                  <w:b w:val="false"/>
                  <w:color w:val="0000FF"/>
                  <w:sz w:val="22"/>
                  <w:u w:val="single"/>
                </w:rPr>
                <w:t>Other Information</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aee04ce58ba4067b6daada9a9c52dcb_211">
              <w:r>
                <w:rPr>
                  <w:rStyle w:val="InternetLink"/>
                  <w:rFonts w:ascii="Times New Roman;sans-serif" w:hAnsi="Times New Roman;sans-serif"/>
                  <w:b w:val="false"/>
                  <w:color w:val="0000FF"/>
                  <w:sz w:val="22"/>
                  <w:u w:val="single"/>
                </w:rPr>
                <w:t>46</w:t>
              </w:r>
            </w:hyperlink>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Item 6.</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0aee04ce58ba4067b6daada9a9c52dcb_217">
              <w:r>
                <w:rPr>
                  <w:rStyle w:val="InternetLink"/>
                  <w:rFonts w:ascii="Times New Roman;sans-serif" w:hAnsi="Times New Roman;sans-serif"/>
                  <w:b w:val="false"/>
                  <w:color w:val="0000FF"/>
                  <w:sz w:val="22"/>
                  <w:u w:val="single"/>
                </w:rPr>
                <w:t>Exhibits</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aee04ce58ba4067b6daada9a9c52dcb_217">
              <w:r>
                <w:rPr>
                  <w:rStyle w:val="InternetLink"/>
                  <w:rFonts w:ascii="Times New Roman;sans-serif" w:hAnsi="Times New Roman;sans-serif"/>
                  <w:b w:val="false"/>
                  <w:color w:val="0000FF"/>
                  <w:sz w:val="22"/>
                  <w:u w:val="single"/>
                </w:rPr>
                <w:t>48</w:t>
              </w:r>
            </w:hyperlink>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0aee04ce58ba4067b6daada9a9c52dcb_220">
              <w:r>
                <w:rPr>
                  <w:rStyle w:val="InternetLink"/>
                  <w:rFonts w:ascii="Times New Roman;sans-serif" w:hAnsi="Times New Roman;sans-serif"/>
                  <w:b w:val="false"/>
                  <w:color w:val="0000FF"/>
                  <w:sz w:val="22"/>
                  <w:u w:val="single"/>
                </w:rPr>
                <w:t>Signature</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aee04ce58ba4067b6daada9a9c52dcb_220">
              <w:r>
                <w:rPr>
                  <w:rStyle w:val="InternetLink"/>
                  <w:rFonts w:ascii="Times New Roman;sans-serif" w:hAnsi="Times New Roman;sans-serif"/>
                  <w:b w:val="false"/>
                  <w:color w:val="0000FF"/>
                  <w:sz w:val="22"/>
                  <w:u w:val="single"/>
                </w:rPr>
                <w:t>49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0aee04ce58ba4067b6daada9a9c52dcb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PART I: FINANCIAL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BALANCE SHEETS</w:t>
      </w:r>
    </w:p>
    <w:p>
      <w:pPr>
        <w:pStyle w:val="TextBody"/>
        <w:bidi w:val="0"/>
        <w:spacing w:lineRule="auto" w:line="288" w:before="0" w:after="0"/>
        <w:jc w:val="center"/>
        <w:rPr/>
      </w:pPr>
      <w:r>
        <w:rPr>
          <w:rFonts w:ascii="Times New Roman;sans-serif" w:hAnsi="Times New Roman;sans-serif"/>
          <w:b/>
          <w:color w:val="000000"/>
          <w:sz w:val="18"/>
        </w:rPr>
        <w:t>(IN THOUSANDS, EXCEPT SHARE AND PER SHARE DATA)</w:t>
      </w:r>
      <w:r>
        <w:rPr>
          <w:color w:val="000000"/>
        </w:rPr>
        <w:t> </w:t>
      </w:r>
    </w:p>
    <w:tbl>
      <w:tblPr>
        <w:tblW w:w="10205" w:type="dxa"/>
        <w:jc w:val="center"/>
        <w:tblInd w:w="0" w:type="dxa"/>
        <w:tblLayout w:type="fixed"/>
        <w:tblCellMar>
          <w:top w:w="28" w:type="dxa"/>
          <w:left w:w="28" w:type="dxa"/>
          <w:bottom w:w="28" w:type="dxa"/>
          <w:right w:w="28" w:type="dxa"/>
        </w:tblCellMar>
      </w:tblPr>
      <w:tblGrid>
        <w:gridCol w:w="2820"/>
        <w:gridCol w:w="2213"/>
        <w:gridCol w:w="2166"/>
        <w:gridCol w:w="198"/>
        <w:gridCol w:w="885"/>
        <w:gridCol w:w="110"/>
        <w:gridCol w:w="109"/>
        <w:gridCol w:w="109"/>
        <w:gridCol w:w="109"/>
        <w:gridCol w:w="237"/>
        <w:gridCol w:w="1058"/>
        <w:gridCol w:w="191"/>
      </w:tblGrid>
      <w:tr>
        <w:trPr/>
        <w:tc>
          <w:tcPr>
            <w:tcW w:w="2820"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216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7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1193"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117,919 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111,519 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and cash equivalents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74,081 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75,939 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 net</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108,211 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153,002 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083"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300,211 </w:t>
            </w:r>
          </w:p>
        </w:tc>
        <w:tc>
          <w:tcPr>
            <w:tcW w:w="11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343,314 </w:t>
            </w:r>
          </w:p>
        </w:tc>
        <w:tc>
          <w:tcPr>
            <w:tcW w:w="19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fixtures and equipment, net</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1,056,469 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1,031,922 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1,074,261 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1,084,951 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272,404 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276,317 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439,532 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442,985 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assets, net</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164,941 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159,405 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 net</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86,350 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85,187 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8"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3,394,168 </w:t>
            </w:r>
          </w:p>
        </w:tc>
        <w:tc>
          <w:tcPr>
            <w:tcW w:w="11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8"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3,424,081 </w:t>
            </w:r>
          </w:p>
        </w:tc>
        <w:tc>
          <w:tcPr>
            <w:tcW w:w="19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1813" w:type="dxa"/>
            <w:gridSpan w:val="6"/>
            <w:tcBorders/>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 AND STOCKHOLDERS’ EQUITY</w:t>
            </w:r>
          </w:p>
        </w:tc>
        <w:tc>
          <w:tcPr>
            <w:tcW w:w="119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178,201 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189,202 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operating lease liabilities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169,397 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175,442 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and other current liabilities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210,657 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255,814 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Unearned revenue</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309,015 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381,877 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083"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867,270 </w:t>
            </w:r>
          </w:p>
        </w:tc>
        <w:tc>
          <w:tcPr>
            <w:tcW w:w="11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1,002,335 </w:t>
            </w:r>
          </w:p>
        </w:tc>
        <w:tc>
          <w:tcPr>
            <w:tcW w:w="19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operating lease liabilities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1,134,464 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1,131,639 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1,001,982 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780,719 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 net</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100,759 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97,385 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083"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3,104,475 </w:t>
            </w:r>
          </w:p>
        </w:tc>
        <w:tc>
          <w:tcPr>
            <w:tcW w:w="11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3,012,078 </w:t>
            </w:r>
          </w:p>
        </w:tc>
        <w:tc>
          <w:tcPr>
            <w:tcW w:w="19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16)</w:t>
            </w:r>
          </w:p>
        </w:tc>
        <w:tc>
          <w:tcPr>
            <w:tcW w:w="119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Bloomin’ Brands stockholders’ equity</w:t>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$0.01 par value, 25,000,000 shares authorized; no shares issued and outstanding as of June 30, 2024 and December 31, 2023</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$0.01 par value, 475,000,000 shares authorized; 85,776,033 and 86,968,536 shares issued and outstanding as of June 30, 2024 and December 31, 2023, respectively</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1,309,482 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1,115,387 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(834,926)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(528,831)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(188,606)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(178,304)</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Bloomin’ Brands stockholders’ equity</w:t>
            </w:r>
          </w:p>
        </w:tc>
        <w:tc>
          <w:tcPr>
            <w:tcW w:w="1083"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286,808 </w:t>
            </w:r>
          </w:p>
        </w:tc>
        <w:tc>
          <w:tcPr>
            <w:tcW w:w="11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409,122 </w:t>
            </w:r>
          </w:p>
        </w:tc>
        <w:tc>
          <w:tcPr>
            <w:tcW w:w="19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1083"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289,693 </w:t>
            </w:r>
          </w:p>
        </w:tc>
        <w:tc>
          <w:tcPr>
            <w:tcW w:w="11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412,003 </w:t>
            </w:r>
          </w:p>
        </w:tc>
        <w:tc>
          <w:tcPr>
            <w:tcW w:w="19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19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3,394,168 </w:t>
            </w:r>
          </w:p>
        </w:tc>
        <w:tc>
          <w:tcPr>
            <w:tcW w:w="11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3,424,081 </w:t>
            </w:r>
          </w:p>
        </w:tc>
        <w:tc>
          <w:tcPr>
            <w:tcW w:w="19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The accompanying notes are an integral part of these unaudited consolidated financial statements.</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0aee04ce58ba4067b6daada9a9c52dcb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OPERATIONS AND COMPREHENSIVE INCOME (LOSS)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EXCEPT PER SHARE DATA, 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605"/>
        <w:gridCol w:w="1365"/>
        <w:gridCol w:w="1372"/>
        <w:gridCol w:w="201"/>
        <w:gridCol w:w="895"/>
        <w:gridCol w:w="111"/>
        <w:gridCol w:w="109"/>
        <w:gridCol w:w="109"/>
        <w:gridCol w:w="109"/>
        <w:gridCol w:w="201"/>
        <w:gridCol w:w="895"/>
        <w:gridCol w:w="111"/>
        <w:gridCol w:w="109"/>
        <w:gridCol w:w="109"/>
        <w:gridCol w:w="109"/>
        <w:gridCol w:w="201"/>
        <w:gridCol w:w="895"/>
        <w:gridCol w:w="111"/>
        <w:gridCol w:w="109"/>
        <w:gridCol w:w="109"/>
        <w:gridCol w:w="109"/>
        <w:gridCol w:w="201"/>
        <w:gridCol w:w="894"/>
        <w:gridCol w:w="166"/>
      </w:tblGrid>
      <w:tr>
        <w:trPr/>
        <w:tc>
          <w:tcPr>
            <w:tcW w:w="1605"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r>
      <w:tr>
        <w:trPr/>
        <w:tc>
          <w:tcPr>
            <w:tcW w:w="4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r>
      <w:tr>
        <w:trPr/>
        <w:tc>
          <w:tcPr>
            <w:tcW w:w="4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207"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sales</w:t>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1,103,565 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1,137,330 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2,283,052 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2,365,564 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 and other revenues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15,301 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15,364 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31,141 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31,876 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09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1,118,866 </w:t>
            </w:r>
          </w:p>
        </w:tc>
        <w:tc>
          <w:tcPr>
            <w:tcW w:w="11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1,152,694 </w:t>
            </w:r>
          </w:p>
        </w:tc>
        <w:tc>
          <w:tcPr>
            <w:tcW w:w="11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2,314,193 </w:t>
            </w:r>
          </w:p>
        </w:tc>
        <w:tc>
          <w:tcPr>
            <w:tcW w:w="11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2,397,440 </w:t>
            </w:r>
          </w:p>
        </w:tc>
        <w:tc>
          <w:tcPr>
            <w:tcW w:w="16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Costs and expenses</w:t>
            </w:r>
          </w:p>
        </w:tc>
        <w:tc>
          <w:tcPr>
            <w:tcW w:w="1207"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336,063 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351,226 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693,892 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735,440 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Labor and other related</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328,913 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325,934 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672,115 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667,476 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restaurant operating</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280,821 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273,338 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571,093 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556,265 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49,525 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47,565 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98,807 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93,867 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61,152 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63,358 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127,928 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129,162 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impaired assets and restaurant closings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16,261 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27,134 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costs and expenses</w:t>
            </w:r>
          </w:p>
        </w:tc>
        <w:tc>
          <w:tcPr>
            <w:tcW w:w="109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1,072,735 </w:t>
            </w:r>
          </w:p>
        </w:tc>
        <w:tc>
          <w:tcPr>
            <w:tcW w:w="11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1,063,248 </w:t>
            </w:r>
          </w:p>
        </w:tc>
        <w:tc>
          <w:tcPr>
            <w:tcW w:w="11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2,190,969 </w:t>
            </w:r>
          </w:p>
        </w:tc>
        <w:tc>
          <w:tcPr>
            <w:tcW w:w="11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2,187,361 </w:t>
            </w:r>
          </w:p>
        </w:tc>
        <w:tc>
          <w:tcPr>
            <w:tcW w:w="16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w:t>
            </w:r>
          </w:p>
        </w:tc>
        <w:tc>
          <w:tcPr>
            <w:tcW w:w="109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46,131 </w:t>
            </w:r>
          </w:p>
        </w:tc>
        <w:tc>
          <w:tcPr>
            <w:tcW w:w="11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89,446 </w:t>
            </w:r>
          </w:p>
        </w:tc>
        <w:tc>
          <w:tcPr>
            <w:tcW w:w="11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123,224 </w:t>
            </w:r>
          </w:p>
        </w:tc>
        <w:tc>
          <w:tcPr>
            <w:tcW w:w="11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210,079 </w:t>
            </w:r>
          </w:p>
        </w:tc>
        <w:tc>
          <w:tcPr>
            <w:tcW w:w="16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of debt</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(135,797)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2"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342"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(14,802)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(12,961)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(28,418)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(25,405)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provision for income taxes</w:t>
            </w:r>
          </w:p>
        </w:tc>
        <w:tc>
          <w:tcPr>
            <w:tcW w:w="109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31,329 </w:t>
            </w:r>
          </w:p>
        </w:tc>
        <w:tc>
          <w:tcPr>
            <w:tcW w:w="11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76,485 </w:t>
            </w:r>
          </w:p>
        </w:tc>
        <w:tc>
          <w:tcPr>
            <w:tcW w:w="11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(40,991)</w:t>
            </w:r>
          </w:p>
        </w:tc>
        <w:tc>
          <w:tcPr>
            <w:tcW w:w="11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184,674 </w:t>
            </w:r>
          </w:p>
        </w:tc>
        <w:tc>
          <w:tcPr>
            <w:tcW w:w="16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11,668 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21,244 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09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29,631 </w:t>
            </w:r>
          </w:p>
        </w:tc>
        <w:tc>
          <w:tcPr>
            <w:tcW w:w="11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70,002 </w:t>
            </w:r>
          </w:p>
        </w:tc>
        <w:tc>
          <w:tcPr>
            <w:tcW w:w="11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(52,659)</w:t>
            </w:r>
          </w:p>
        </w:tc>
        <w:tc>
          <w:tcPr>
            <w:tcW w:w="11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163,430 </w:t>
            </w:r>
          </w:p>
        </w:tc>
        <w:tc>
          <w:tcPr>
            <w:tcW w:w="16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attributable to noncontrolling interests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Bloomin’ Brands</w:t>
            </w:r>
          </w:p>
        </w:tc>
        <w:tc>
          <w:tcPr>
            <w:tcW w:w="20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28,403 </w:t>
            </w:r>
          </w:p>
        </w:tc>
        <w:tc>
          <w:tcPr>
            <w:tcW w:w="11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68,277 </w:t>
            </w:r>
          </w:p>
        </w:tc>
        <w:tc>
          <w:tcPr>
            <w:tcW w:w="11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(55,469)</w:t>
            </w:r>
          </w:p>
        </w:tc>
        <w:tc>
          <w:tcPr>
            <w:tcW w:w="11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159,588 </w:t>
            </w:r>
          </w:p>
        </w:tc>
        <w:tc>
          <w:tcPr>
            <w:tcW w:w="16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2"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342"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29,631 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70,002 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(52,659)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163,430 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w:t>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(9,858)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(11,789)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2"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342"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342"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gain on derivatives, net of tax</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2"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(loss)</w:t>
            </w:r>
          </w:p>
        </w:tc>
        <w:tc>
          <w:tcPr>
            <w:tcW w:w="109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20,103 </w:t>
            </w:r>
          </w:p>
        </w:tc>
        <w:tc>
          <w:tcPr>
            <w:tcW w:w="11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74,504 </w:t>
            </w:r>
          </w:p>
        </w:tc>
        <w:tc>
          <w:tcPr>
            <w:tcW w:w="11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(62,961)</w:t>
            </w:r>
          </w:p>
        </w:tc>
        <w:tc>
          <w:tcPr>
            <w:tcW w:w="11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166,798 </w:t>
            </w:r>
          </w:p>
        </w:tc>
        <w:tc>
          <w:tcPr>
            <w:tcW w:w="16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comprehensive income attributable to noncontrolling interests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(loss) attributable to Bloomin’ Brands</w:t>
            </w:r>
          </w:p>
        </w:tc>
        <w:tc>
          <w:tcPr>
            <w:tcW w:w="20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18,875 </w:t>
            </w:r>
          </w:p>
        </w:tc>
        <w:tc>
          <w:tcPr>
            <w:tcW w:w="11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72,779 </w:t>
            </w:r>
          </w:p>
        </w:tc>
        <w:tc>
          <w:tcPr>
            <w:tcW w:w="11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(65,771)</w:t>
            </w:r>
          </w:p>
        </w:tc>
        <w:tc>
          <w:tcPr>
            <w:tcW w:w="11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162,956 </w:t>
            </w:r>
          </w:p>
        </w:tc>
        <w:tc>
          <w:tcPr>
            <w:tcW w:w="16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(loss) per share:</w:t>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2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0.32 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0.70 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(0.64)</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1.63 </w:t>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common shares outstanding:</w:t>
            </w:r>
          </w:p>
        </w:tc>
        <w:tc>
          <w:tcPr>
            <w:tcW w:w="12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86,688 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88,559 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86,856 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88,838 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09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88,632 </w:t>
            </w:r>
          </w:p>
        </w:tc>
        <w:tc>
          <w:tcPr>
            <w:tcW w:w="1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97,401 </w:t>
            </w:r>
          </w:p>
        </w:tc>
        <w:tc>
          <w:tcPr>
            <w:tcW w:w="1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86,856 </w:t>
            </w:r>
          </w:p>
        </w:tc>
        <w:tc>
          <w:tcPr>
            <w:tcW w:w="1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97,706 </w:t>
            </w:r>
          </w:p>
        </w:tc>
        <w:tc>
          <w:tcPr>
            <w:tcW w:w="1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0aee04ce58ba4067b6daada9a9c52dcb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CHANGES IN STOCKHOLDERS’ EQUITY</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EXCEPT PER SHARE DATA, UNAUDITED)</w:t>
      </w:r>
    </w:p>
    <w:tbl>
      <w:tblPr>
        <w:tblW w:w="11601" w:type="dxa"/>
        <w:jc w:val="center"/>
        <w:tblInd w:w="0" w:type="dxa"/>
        <w:tblLayout w:type="fixed"/>
        <w:tblCellMar>
          <w:top w:w="28" w:type="dxa"/>
          <w:left w:w="28" w:type="dxa"/>
          <w:bottom w:w="28" w:type="dxa"/>
          <w:right w:w="28" w:type="dxa"/>
        </w:tblCellMar>
      </w:tblPr>
      <w:tblGrid>
        <w:gridCol w:w="456"/>
        <w:gridCol w:w="400"/>
        <w:gridCol w:w="330"/>
        <w:gridCol w:w="323"/>
        <w:gridCol w:w="323"/>
        <w:gridCol w:w="256"/>
        <w:gridCol w:w="109"/>
        <w:gridCol w:w="109"/>
        <w:gridCol w:w="109"/>
        <w:gridCol w:w="231"/>
        <w:gridCol w:w="496"/>
        <w:gridCol w:w="129"/>
        <w:gridCol w:w="109"/>
        <w:gridCol w:w="109"/>
        <w:gridCol w:w="109"/>
        <w:gridCol w:w="196"/>
        <w:gridCol w:w="871"/>
        <w:gridCol w:w="109"/>
        <w:gridCol w:w="109"/>
        <w:gridCol w:w="109"/>
        <w:gridCol w:w="109"/>
        <w:gridCol w:w="196"/>
        <w:gridCol w:w="751"/>
        <w:gridCol w:w="109"/>
        <w:gridCol w:w="109"/>
        <w:gridCol w:w="109"/>
        <w:gridCol w:w="109"/>
        <w:gridCol w:w="292"/>
        <w:gridCol w:w="1120"/>
        <w:gridCol w:w="164"/>
        <w:gridCol w:w="109"/>
        <w:gridCol w:w="109"/>
        <w:gridCol w:w="109"/>
        <w:gridCol w:w="409"/>
        <w:gridCol w:w="1163"/>
        <w:gridCol w:w="229"/>
        <w:gridCol w:w="109"/>
        <w:gridCol w:w="109"/>
        <w:gridCol w:w="109"/>
        <w:gridCol w:w="196"/>
        <w:gridCol w:w="736"/>
        <w:gridCol w:w="154"/>
      </w:tblGrid>
      <w:tr>
        <w:trPr/>
        <w:tc>
          <w:tcPr>
            <w:tcW w:w="45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BLOOMIN’ BRANDS,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w:t>
              <w:br/>
              <w:t>ULATED DEFICIT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w:t>
              <w:br/>
              <w:t>March 31, 2024</w:t>
            </w:r>
          </w:p>
        </w:tc>
        <w:tc>
          <w:tcPr>
            <w:tcW w:w="64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87,811 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878 </w:t>
            </w:r>
          </w:p>
        </w:tc>
        <w:tc>
          <w:tcPr>
            <w:tcW w:w="1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1,290,765 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(809,880)</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(179,078)</w:t>
            </w:r>
          </w:p>
        </w:tc>
        <w:tc>
          <w:tcPr>
            <w:tcW w:w="16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2,750 </w:t>
            </w:r>
          </w:p>
        </w:tc>
        <w:tc>
          <w:tcPr>
            <w:tcW w:w="2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305,435 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net of tax</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(9,528)</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 declared, $0.24 per common share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Repurchase and retirement of common stock, including excise tax of $151</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issued under stock plans (1)</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(1,431)</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Balance, </w:t>
              <w:br/>
              <w:t>June 30, 2024</w:t>
            </w:r>
          </w:p>
        </w:tc>
        <w:tc>
          <w:tcPr>
            <w:tcW w:w="64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85,776 </w:t>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858 </w:t>
            </w:r>
          </w:p>
        </w:tc>
        <w:tc>
          <w:tcPr>
            <w:tcW w:w="12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1,309,482 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(834,926)</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(188,606)</w:t>
            </w:r>
          </w:p>
        </w:tc>
        <w:tc>
          <w:tcPr>
            <w:tcW w:w="16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2,885 </w:t>
            </w:r>
          </w:p>
        </w:tc>
        <w:tc>
          <w:tcPr>
            <w:tcW w:w="22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289,693 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w:t>
              <w:br/>
              <w:t>December 31, 2023</w:t>
            </w:r>
          </w:p>
        </w:tc>
        <w:tc>
          <w:tcPr>
            <w:tcW w:w="64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86,969 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870 </w:t>
            </w:r>
          </w:p>
        </w:tc>
        <w:tc>
          <w:tcPr>
            <w:tcW w:w="1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1,115,387 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(528,831)</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(178,304)</w:t>
            </w:r>
          </w:p>
        </w:tc>
        <w:tc>
          <w:tcPr>
            <w:tcW w:w="16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2,881 </w:t>
            </w:r>
          </w:p>
        </w:tc>
        <w:tc>
          <w:tcPr>
            <w:tcW w:w="2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412,003 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net of tax</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(10,302)</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 declared, $0.48 per common share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Repurchase and retirement of common stock, including excise tax of $151</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(248,054)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issued under stock plans (1)</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(3,474)</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668 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from repurchase of convertible senior notes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216,152 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Retirement of convertible senior note hedges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118,197 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Retirement of warrants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(102,213)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Balance, </w:t>
              <w:br/>
              <w:t>June 30, 2024</w:t>
            </w:r>
          </w:p>
        </w:tc>
        <w:tc>
          <w:tcPr>
            <w:tcW w:w="64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85,776 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858 </w:t>
            </w:r>
          </w:p>
        </w:tc>
        <w:tc>
          <w:tcPr>
            <w:tcW w:w="1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1,309,482 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(834,926)</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(188,606)</w:t>
            </w:r>
          </w:p>
        </w:tc>
        <w:tc>
          <w:tcPr>
            <w:tcW w:w="16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2,885 </w:t>
            </w:r>
          </w:p>
        </w:tc>
        <w:tc>
          <w:tcPr>
            <w:tcW w:w="2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289,693 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4"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(CONTINUED...)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0aee04ce58ba4067b6daada9a9c52dcb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CHANGES IN STOCKHOLDERS’ EQUITY</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EXCEPT PER SHARE DATA, UNAUDITED)</w:t>
      </w:r>
    </w:p>
    <w:tbl>
      <w:tblPr>
        <w:tblW w:w="11601" w:type="dxa"/>
        <w:jc w:val="center"/>
        <w:tblInd w:w="0" w:type="dxa"/>
        <w:tblLayout w:type="fixed"/>
        <w:tblCellMar>
          <w:top w:w="28" w:type="dxa"/>
          <w:left w:w="28" w:type="dxa"/>
          <w:bottom w:w="28" w:type="dxa"/>
          <w:right w:w="28" w:type="dxa"/>
        </w:tblCellMar>
      </w:tblPr>
      <w:tblGrid>
        <w:gridCol w:w="456"/>
        <w:gridCol w:w="400"/>
        <w:gridCol w:w="330"/>
        <w:gridCol w:w="323"/>
        <w:gridCol w:w="323"/>
        <w:gridCol w:w="256"/>
        <w:gridCol w:w="109"/>
        <w:gridCol w:w="109"/>
        <w:gridCol w:w="109"/>
        <w:gridCol w:w="231"/>
        <w:gridCol w:w="496"/>
        <w:gridCol w:w="129"/>
        <w:gridCol w:w="109"/>
        <w:gridCol w:w="109"/>
        <w:gridCol w:w="109"/>
        <w:gridCol w:w="196"/>
        <w:gridCol w:w="871"/>
        <w:gridCol w:w="109"/>
        <w:gridCol w:w="109"/>
        <w:gridCol w:w="109"/>
        <w:gridCol w:w="109"/>
        <w:gridCol w:w="196"/>
        <w:gridCol w:w="751"/>
        <w:gridCol w:w="109"/>
        <w:gridCol w:w="109"/>
        <w:gridCol w:w="109"/>
        <w:gridCol w:w="109"/>
        <w:gridCol w:w="292"/>
        <w:gridCol w:w="1120"/>
        <w:gridCol w:w="164"/>
        <w:gridCol w:w="109"/>
        <w:gridCol w:w="109"/>
        <w:gridCol w:w="109"/>
        <w:gridCol w:w="409"/>
        <w:gridCol w:w="1163"/>
        <w:gridCol w:w="229"/>
        <w:gridCol w:w="109"/>
        <w:gridCol w:w="109"/>
        <w:gridCol w:w="109"/>
        <w:gridCol w:w="196"/>
        <w:gridCol w:w="736"/>
        <w:gridCol w:w="154"/>
      </w:tblGrid>
      <w:tr>
        <w:trPr/>
        <w:tc>
          <w:tcPr>
            <w:tcW w:w="45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BLOOMIN’ BRANDS,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w:t>
              <w:br/>
              <w:t>ULATED DEFICIT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w:t>
              <w:br/>
              <w:t>March 26, 2023</w:t>
            </w:r>
          </w:p>
        </w:tc>
        <w:tc>
          <w:tcPr>
            <w:tcW w:w="64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87,465 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875 </w:t>
            </w:r>
          </w:p>
        </w:tc>
        <w:tc>
          <w:tcPr>
            <w:tcW w:w="1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1,141,017 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(635,451)</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(186,445)</w:t>
            </w:r>
          </w:p>
        </w:tc>
        <w:tc>
          <w:tcPr>
            <w:tcW w:w="16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2,845 </w:t>
            </w:r>
          </w:p>
        </w:tc>
        <w:tc>
          <w:tcPr>
            <w:tcW w:w="2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322,841 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 declared, $0.24 per common share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Repurchase and retirement of common stock, including excise tax of $31</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issued under stock plans (1)</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(2,085)</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w:t>
              <w:br/>
              <w:t>June 25, 2023</w:t>
            </w:r>
          </w:p>
        </w:tc>
        <w:tc>
          <w:tcPr>
            <w:tcW w:w="64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87,339 </w:t>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873 </w:t>
            </w:r>
          </w:p>
        </w:tc>
        <w:tc>
          <w:tcPr>
            <w:tcW w:w="12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1,132,732 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(582,738)</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(181,943)</w:t>
            </w:r>
          </w:p>
        </w:tc>
        <w:tc>
          <w:tcPr>
            <w:tcW w:w="16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2,944 </w:t>
            </w:r>
          </w:p>
        </w:tc>
        <w:tc>
          <w:tcPr>
            <w:tcW w:w="22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371,868 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w:t>
              <w:br/>
              <w:t>December 25, 2022</w:t>
            </w:r>
          </w:p>
        </w:tc>
        <w:tc>
          <w:tcPr>
            <w:tcW w:w="64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87,696 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877 </w:t>
            </w:r>
          </w:p>
        </w:tc>
        <w:tc>
          <w:tcPr>
            <w:tcW w:w="1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1,161,912 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(706,109)</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(185,311)</w:t>
            </w:r>
          </w:p>
        </w:tc>
        <w:tc>
          <w:tcPr>
            <w:tcW w:w="16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2,540 </w:t>
            </w:r>
          </w:p>
        </w:tc>
        <w:tc>
          <w:tcPr>
            <w:tcW w:w="2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273,909 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163,430 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 declared, $0.48 per common share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Repurchase and retirement of common stock, including excise tax of $48</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issued under stock plans (1)</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(4,640)</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1,202 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w:t>
              <w:br/>
              <w:t>June 25, 2023</w:t>
            </w:r>
          </w:p>
        </w:tc>
        <w:tc>
          <w:tcPr>
            <w:tcW w:w="646" w:type="dxa"/>
            <w:gridSpan w:val="2"/>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87,339 </w:t>
            </w:r>
          </w:p>
        </w:tc>
        <w:tc>
          <w:tcPr>
            <w:tcW w:w="25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873 </w:t>
            </w:r>
          </w:p>
        </w:tc>
        <w:tc>
          <w:tcPr>
            <w:tcW w:w="12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1,132,732 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(582,738)</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(181,943)</w:t>
            </w:r>
          </w:p>
        </w:tc>
        <w:tc>
          <w:tcPr>
            <w:tcW w:w="16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2,944 </w:t>
            </w:r>
          </w:p>
        </w:tc>
        <w:tc>
          <w:tcPr>
            <w:tcW w:w="22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371,868 </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88" w:before="0" w:after="18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(1)Net of shares withheld for employee taxes.</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0aee04ce58ba4067b6daada9a9c52dcb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CONDENSED CONSOLIDATED STATEMENTS OF CASH FLOWS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(DOLLARS IN THOUSANDS, 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26"/>
        <w:gridCol w:w="2349"/>
        <w:gridCol w:w="2366"/>
        <w:gridCol w:w="224"/>
        <w:gridCol w:w="846"/>
        <w:gridCol w:w="124"/>
        <w:gridCol w:w="109"/>
        <w:gridCol w:w="109"/>
        <w:gridCol w:w="109"/>
        <w:gridCol w:w="223"/>
        <w:gridCol w:w="841"/>
        <w:gridCol w:w="179"/>
      </w:tblGrid>
      <w:tr>
        <w:trPr/>
        <w:tc>
          <w:tcPr>
            <w:tcW w:w="2726"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7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r>
      <w:tr>
        <w:trPr/>
        <w:tc>
          <w:tcPr>
            <w:tcW w:w="7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r>
      <w:tr>
        <w:trPr/>
        <w:tc>
          <w:tcPr>
            <w:tcW w:w="744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provided by operating activities:</w:t>
            </w:r>
          </w:p>
        </w:tc>
        <w:tc>
          <w:tcPr>
            <w:tcW w:w="1194"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(52,659)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163,430 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income to cash provided by operating activities:</w:t>
            </w:r>
          </w:p>
        </w:tc>
        <w:tc>
          <w:tcPr>
            <w:tcW w:w="1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98,807 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93,867 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discounts and issuance costs</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deferred gift card sales commissions</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12,661 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13,180 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impaired assets and restaurant closings</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27,134 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44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operating lease costs</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43,566 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42,884 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44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benefit</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44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of debt</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135,797 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44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44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44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assets and liabilities</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(145,045)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(36,114)</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44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44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44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44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44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107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116,192 </w:t>
            </w:r>
          </w:p>
        </w:tc>
        <w:tc>
          <w:tcPr>
            <w:tcW w:w="12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287,293 </w:t>
            </w:r>
          </w:p>
        </w:tc>
        <w:tc>
          <w:tcPr>
            <w:tcW w:w="17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used in investing activities:</w:t>
            </w:r>
          </w:p>
        </w:tc>
        <w:tc>
          <w:tcPr>
            <w:tcW w:w="1194"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4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44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44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44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(131,504)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(142,153)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investments, net</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107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(131,218)</w:t>
            </w:r>
          </w:p>
        </w:tc>
        <w:tc>
          <w:tcPr>
            <w:tcW w:w="12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(140,651)</w:t>
            </w:r>
          </w:p>
        </w:tc>
        <w:tc>
          <w:tcPr>
            <w:tcW w:w="17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44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1570" w:type="dxa"/>
            <w:gridSpan w:val="6"/>
            <w:tcBorders/>
          </w:tcPr>
          <w:p>
            <w:pPr>
              <w:pStyle w:val="TableContents"/>
              <w:bidi w:val="0"/>
              <w:spacing w:before="0" w:after="283"/>
              <w:jc w:val="left"/>
              <w:rPr>
                <w:sz w:val="4"/>
                <w:szCs w:val="4"/>
              </w:rPr>
            </w:pPr>
            <w:r>
              <w:rPr>
                <w:sz w:val="4"/>
                <w:szCs w:val="4"/>
              </w:rPr>
            </w:r>
          </w:p>
        </w:tc>
      </w:tr>
      <w:tr>
        <w:trPr/>
        <w:tc>
          <w:tcPr>
            <w:tcW w:w="744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provided by (used in) financing activities:</w:t>
            </w:r>
          </w:p>
        </w:tc>
        <w:tc>
          <w:tcPr>
            <w:tcW w:w="119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44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borrowings on revolving credit facilities</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860,000 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448,000 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borrowings on revolving credit facilities</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(556,000)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(513,000)</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44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44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44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44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44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44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44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finance lease obligations</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settlements and repurchase of convertible senior notes</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retirement of convertible senior note hedges</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118,197 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retirement of warrants</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(102,213)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taxes) proceeds from share-based compensation, net</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interests</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(4,640)</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noncontrolling interests</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noncontrolling interests</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stock</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(247,500)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(36,435)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44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44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 paid on common stock</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(41,837)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(42,004)</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financing activities</w:t>
            </w:r>
          </w:p>
        </w:tc>
        <w:tc>
          <w:tcPr>
            <w:tcW w:w="107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22,288 </w:t>
            </w:r>
          </w:p>
        </w:tc>
        <w:tc>
          <w:tcPr>
            <w:tcW w:w="12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(143,214)</w:t>
            </w:r>
          </w:p>
        </w:tc>
        <w:tc>
          <w:tcPr>
            <w:tcW w:w="17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and cash equivalents</w:t>
            </w:r>
          </w:p>
        </w:tc>
        <w:tc>
          <w:tcPr>
            <w:tcW w:w="107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(3,716)</w:t>
            </w:r>
          </w:p>
        </w:tc>
        <w:tc>
          <w:tcPr>
            <w:tcW w:w="12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631 </w:t>
            </w:r>
          </w:p>
        </w:tc>
        <w:tc>
          <w:tcPr>
            <w:tcW w:w="17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in cash, cash equivalents and restricted cash</w:t>
            </w:r>
          </w:p>
        </w:tc>
        <w:tc>
          <w:tcPr>
            <w:tcW w:w="107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3,546 </w:t>
            </w:r>
          </w:p>
        </w:tc>
        <w:tc>
          <w:tcPr>
            <w:tcW w:w="12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4,059 </w:t>
            </w:r>
          </w:p>
        </w:tc>
        <w:tc>
          <w:tcPr>
            <w:tcW w:w="17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as of the beginning of the period</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114,373 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84,735 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as of the end of the period</w:t>
            </w:r>
          </w:p>
        </w:tc>
        <w:tc>
          <w:tcPr>
            <w:tcW w:w="22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117,919 </w:t>
            </w:r>
          </w:p>
        </w:tc>
        <w:tc>
          <w:tcPr>
            <w:tcW w:w="12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88,794 </w:t>
            </w:r>
          </w:p>
        </w:tc>
        <w:tc>
          <w:tcPr>
            <w:tcW w:w="17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disclosures of cash flow information:</w:t>
            </w:r>
          </w:p>
        </w:tc>
        <w:tc>
          <w:tcPr>
            <w:tcW w:w="119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29,812 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16,951 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income taxes, net of refunds</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14,913 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15,356 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disclosures of non-cash investing and financing activities:</w:t>
            </w:r>
          </w:p>
        </w:tc>
        <w:tc>
          <w:tcPr>
            <w:tcW w:w="1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4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 assets obtained in exchange for new operating lease liabilities</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47,846 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30,249 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 assets obtained in exchange for new finance lease liabilities</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(Decrease) increase in liabilities from the acquisition of property, fixtures and equipment</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issued on settlement of convertible senior notes</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216,152 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received and retired on exercise of call option under bond hedge upon settlement of convertible senior notes</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0aee04ce58ba4067b6daada9a9c52dcb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1.    Description of the Business and Basis of Presentation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Description of the Business - </w:t>
      </w:r>
      <w:r>
        <w:rPr>
          <w:rFonts w:ascii="Times New Roman;sans-serif" w:hAnsi="Times New Roman;sans-serif"/>
          <w:b w:val="false"/>
          <w:color w:val="000000"/>
          <w:sz w:val="22"/>
        </w:rPr>
        <w:t xml:space="preserve">Bloomin’ Brands (“Bloomin’ Brands” or the “Company”) owns and operates casual, upscale casual and fine dining restaurants. OSI Restaurant Partners, LLC (“OSI”) is the Company’s primary operating entity. The Company’s restaurant portfolio has four concepts: Outback Steakhouse, Carrabba’s Italian Grill, Bonefish Grill and Fleming’s Prime Steakhouse &amp; Wine Bar. Additional Outback Steakhouse, Carrabba’s Italian Grill and Bonefish Grill restaurants in which the Company has no direct investment are operated under franchise agreements.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Basis of Presentation - </w:t>
      </w:r>
      <w:r>
        <w:rPr>
          <w:rFonts w:ascii="Times New Roman;sans-serif" w:hAnsi="Times New Roman;sans-serif"/>
          <w:b w:val="false"/>
          <w:color w:val="000000"/>
          <w:sz w:val="22"/>
        </w:rPr>
        <w:t>The accompanying interim unaudited condensed consolidated financial statements have been prepared by the Company pursuant to the rules and regulations of the Securities and Exchange Commission (“SEC”). Accordingly, they do not include all the information and footnotes required by generally accepted accounting principles in the United States (“U.S. GAAP”) for complete financial statements. In the opinion of the Company, all adjustments necessary for fair financial statement presentation for the periods presented have been included and are of a normal, recurring nature. The results of operations for interim periods are not necessarily indicative of the results to be expected for the full year. These financial statements should be read in conjunction with the audited financial statements and notes thereto included in the Company’s Annual Report on Form 10-K for the year ended December 31, 2023.</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Recently Issued Financial Accounting Standards Not Yet Adopted</w:t>
      </w:r>
      <w:r>
        <w:rPr>
          <w:color w:val="000000"/>
        </w:rPr>
        <w:t xml:space="preserve"> </w:t>
      </w:r>
      <w:r>
        <w:rPr>
          <w:rFonts w:ascii="Times New Roman;sans-serif" w:hAnsi="Times New Roman;sans-serif"/>
          <w:b w:val="false"/>
          <w:color w:val="000000"/>
          <w:sz w:val="22"/>
        </w:rPr>
        <w:t>- In November 2023, the Financial Accounting Standards Board (“FASB”) issued Accounting Standards Update (“ASU”) No. 2023-07, “Segment Reporting (Topic 280): Improvements to Reportable Segment Disclosures,” (“ASU No. 2023-07”) which requires disclosure of significant segment expenses regularly provided to the Company’s chief operating decision-maker (“CODM”). ASU No. 2023-07 also allows for multiple measures of segment profit (loss) if the CODM utilizes such measures to allocate resources or assess performance. ASU No. 2023-07 is effective for the Company beginning with the 2024 Form 10-K, with early adoption permitted. The Company is currently evaluating the impact ASU No. 2023-07 will have on its disclosures.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December 2023, the FASB issued ASU No. 2023-09, “Income Taxes (Topic 740): Improvements to Income Tax Disclosures,” (“ASU No. 2023-09”) which expands existing income tax disclosures, including disaggregation of the Company’s effective income tax rate reconciliation table and income taxes paid disclosures. ASU No. 2023-09 is effective for the Company beginning with the 2025 Form 10-K, with early adoption permitted. The Company is currently evaluating the impact ASU No. 2023-09 will have on its disclosures.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bookmarkStart w:id="0" w:name="i41e36d43226d42148190759cac777e25_3768"/>
      <w:bookmarkEnd w:id="0"/>
      <w:r>
        <w:rPr>
          <w:rFonts w:ascii="Times New Roman;sans-serif" w:hAnsi="Times New Roman;sans-serif"/>
          <w:b w:val="false"/>
          <w:color w:val="000000"/>
          <w:sz w:val="22"/>
        </w:rPr>
        <w:t>In March 2024, the SEC adopted the final rule under SEC Release No. 33-11275, “The Enhancement and Standardization of Climate-Related Disclosures for Investors,” which requires registrants to include climate-related disclosures in their annual reports, including, but not limited to, material Scope 1 and Scope 2 greenhouse gas emissions, climate-related financial metrics, and governance, oversight and risk management processes for material climate-related risks in their audited financial statements. The final rule also requires certain disclosures regarding expenses incurred in relation to severe weather events and other natural conditions. The disclosure requirements are first effective for the Company beginning with the 2026 Form 10-K. In April 2024, the SEC voluntarily stayed the final rule due to pending legal challenges. The Company is currently evaluating the impact this rule will have on its disclosures.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Recent accounting guidance not discussed herein is not applicable, did not have or is not expected to have a material impact to the Company.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0aee04ce58ba4067b6daada9a9c52dcb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 Continued</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2.    Revenue Recognition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tables include the disaggregation of Restaurant sales and franchise revenues by restaurant concept and major international market for the periods indicated:</w:t>
      </w:r>
    </w:p>
    <w:tbl>
      <w:tblPr>
        <w:tblW w:w="10205" w:type="dxa"/>
        <w:jc w:val="left"/>
        <w:tblInd w:w="0" w:type="dxa"/>
        <w:tblLayout w:type="fixed"/>
        <w:tblCellMar>
          <w:top w:w="28" w:type="dxa"/>
          <w:left w:w="28" w:type="dxa"/>
          <w:bottom w:w="28" w:type="dxa"/>
          <w:right w:w="28" w:type="dxa"/>
        </w:tblCellMar>
      </w:tblPr>
      <w:tblGrid>
        <w:gridCol w:w="919"/>
        <w:gridCol w:w="767"/>
        <w:gridCol w:w="770"/>
        <w:gridCol w:w="270"/>
        <w:gridCol w:w="1201"/>
        <w:gridCol w:w="151"/>
        <w:gridCol w:w="109"/>
        <w:gridCol w:w="109"/>
        <w:gridCol w:w="109"/>
        <w:gridCol w:w="356"/>
        <w:gridCol w:w="1180"/>
        <w:gridCol w:w="200"/>
        <w:gridCol w:w="109"/>
        <w:gridCol w:w="109"/>
        <w:gridCol w:w="109"/>
        <w:gridCol w:w="270"/>
        <w:gridCol w:w="1201"/>
        <w:gridCol w:w="151"/>
        <w:gridCol w:w="109"/>
        <w:gridCol w:w="109"/>
        <w:gridCol w:w="109"/>
        <w:gridCol w:w="349"/>
        <w:gridCol w:w="1156"/>
        <w:gridCol w:w="283"/>
      </w:tblGrid>
      <w:tr>
        <w:trPr/>
        <w:tc>
          <w:tcPr>
            <w:tcW w:w="91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2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9" w:type="dxa"/>
            <w:gridSpan w:val="21"/>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r>
      <w:tr>
        <w:trPr/>
        <w:tc>
          <w:tcPr>
            <w:tcW w:w="2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r>
      <w:tr>
        <w:trPr/>
        <w:tc>
          <w:tcPr>
            <w:tcW w:w="24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62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RESTAURANT SALES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FRANCHISE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RESTAURANT SALES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FRANCHISE REVENUES</w:t>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62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w:t>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562,904 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576,989 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8,219 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w:t>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174,576 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176,666 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Bonefish Grill</w:t>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134,279 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143,458 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Fleming’s Prime Steakhouse &amp; Wine Bar</w:t>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88,390 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92,851 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total</w:t>
            </w:r>
          </w:p>
        </w:tc>
        <w:tc>
          <w:tcPr>
            <w:tcW w:w="147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962,088 </w:t>
            </w:r>
          </w:p>
        </w:tc>
        <w:tc>
          <w:tcPr>
            <w:tcW w:w="15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8,974 </w:t>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993,438 </w:t>
            </w:r>
          </w:p>
        </w:tc>
        <w:tc>
          <w:tcPr>
            <w:tcW w:w="15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9,082 </w:t>
            </w:r>
          </w:p>
        </w:tc>
        <w:tc>
          <w:tcPr>
            <w:tcW w:w="28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1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 - Brazil (1)</w:t>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118,357 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119,295 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(1)(2)</w:t>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23,120 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24,597 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3,486 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 total</w:t>
            </w:r>
          </w:p>
        </w:tc>
        <w:tc>
          <w:tcPr>
            <w:tcW w:w="147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141,477 </w:t>
            </w:r>
          </w:p>
        </w:tc>
        <w:tc>
          <w:tcPr>
            <w:tcW w:w="15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3,142 </w:t>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143,892 </w:t>
            </w:r>
          </w:p>
        </w:tc>
        <w:tc>
          <w:tcPr>
            <w:tcW w:w="15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3,486 </w:t>
            </w:r>
          </w:p>
        </w:tc>
        <w:tc>
          <w:tcPr>
            <w:tcW w:w="28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7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1,103,565 </w:t>
            </w:r>
          </w:p>
        </w:tc>
        <w:tc>
          <w:tcPr>
            <w:tcW w:w="15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12,116 </w:t>
            </w:r>
          </w:p>
        </w:tc>
        <w:tc>
          <w:tcPr>
            <w:tcW w:w="20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1,137,330 </w:t>
            </w:r>
          </w:p>
        </w:tc>
        <w:tc>
          <w:tcPr>
            <w:tcW w:w="15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12,568 </w:t>
            </w:r>
          </w:p>
        </w:tc>
        <w:tc>
          <w:tcPr>
            <w:tcW w:w="28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9" w:type="dxa"/>
            <w:gridSpan w:val="21"/>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r>
      <w:tr>
        <w:trPr/>
        <w:tc>
          <w:tcPr>
            <w:tcW w:w="2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r>
      <w:tr>
        <w:trPr/>
        <w:tc>
          <w:tcPr>
            <w:tcW w:w="24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62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RESTAURANT SALES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FRANCHISE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RESTAURANT SALES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FRANCHISE REVENUES</w:t>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62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w:t>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1,166,517 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16,396 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1,205,172 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16,763 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w:t>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359,005 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364,708 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1,553 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Bonefish Grill</w:t>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278,782 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301,147 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Fleming’s Prime Steakhouse &amp; Wine Bar</w:t>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184,552 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195,624 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total</w:t>
            </w:r>
          </w:p>
        </w:tc>
        <w:tc>
          <w:tcPr>
            <w:tcW w:w="147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1,992,984 </w:t>
            </w:r>
          </w:p>
        </w:tc>
        <w:tc>
          <w:tcPr>
            <w:tcW w:w="15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18,228 </w:t>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2,074,007 </w:t>
            </w:r>
          </w:p>
        </w:tc>
        <w:tc>
          <w:tcPr>
            <w:tcW w:w="15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18,607 </w:t>
            </w:r>
          </w:p>
        </w:tc>
        <w:tc>
          <w:tcPr>
            <w:tcW w:w="28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1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 - Brazil (1)</w:t>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243,194 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241,311 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(1)(2)</w:t>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46,874 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50,246 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7,484 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 total</w:t>
            </w:r>
          </w:p>
        </w:tc>
        <w:tc>
          <w:tcPr>
            <w:tcW w:w="147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290,068 </w:t>
            </w:r>
          </w:p>
        </w:tc>
        <w:tc>
          <w:tcPr>
            <w:tcW w:w="15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6,698 </w:t>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291,557 </w:t>
            </w:r>
          </w:p>
        </w:tc>
        <w:tc>
          <w:tcPr>
            <w:tcW w:w="15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7,484 </w:t>
            </w:r>
          </w:p>
        </w:tc>
        <w:tc>
          <w:tcPr>
            <w:tcW w:w="28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7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2,283,052 </w:t>
            </w:r>
          </w:p>
        </w:tc>
        <w:tc>
          <w:tcPr>
            <w:tcW w:w="15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24,926 </w:t>
            </w:r>
          </w:p>
        </w:tc>
        <w:tc>
          <w:tcPr>
            <w:tcW w:w="20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2,365,564 </w:t>
            </w:r>
          </w:p>
        </w:tc>
        <w:tc>
          <w:tcPr>
            <w:tcW w:w="15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26,091 </w:t>
            </w:r>
          </w:p>
        </w:tc>
        <w:tc>
          <w:tcPr>
            <w:tcW w:w="28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88" w:before="0" w:after="0"/>
        <w:ind w:left="0" w:right="0" w:hanging="720"/>
        <w:jc w:val="both"/>
        <w:rPr/>
      </w:pPr>
      <w:r>
        <w:rPr>
          <w:rFonts w:ascii="Times New Roman;sans-serif" w:hAnsi="Times New Roman;sans-serif"/>
          <w:b w:val="false"/>
          <w:color w:val="000000"/>
          <w:sz w:val="18"/>
        </w:rPr>
        <w:t xml:space="preserve">(1)Includes $9.6 million and $19.2 million of Restaurant sales during the thirteen and twenty-six weeks ended June 25, 2023, respectively, in connection with value added tax exemptions resulting from Brazil tax legislation. See Note 15 - </w:t>
      </w:r>
      <w:r>
        <w:rPr>
          <w:rFonts w:ascii="Times New Roman;sans-serif" w:hAnsi="Times New Roman;sans-serif"/>
          <w:b w:val="false"/>
          <w:i/>
          <w:color w:val="000000"/>
          <w:sz w:val="18"/>
        </w:rPr>
        <w:t>Income Taxes</w:t>
      </w:r>
      <w:r>
        <w:rPr>
          <w:color w:val="000000"/>
        </w:rPr>
        <w:t xml:space="preserve"> </w:t>
      </w:r>
      <w:r>
        <w:rPr>
          <w:rFonts w:ascii="Times New Roman;sans-serif" w:hAnsi="Times New Roman;sans-serif"/>
          <w:b w:val="false"/>
          <w:color w:val="000000"/>
          <w:sz w:val="18"/>
        </w:rPr>
        <w:t>for details regarding the Brazil tax legislation.</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(2)Includes Restaurant sales for Company-owned Outback Steakhouse restaurants outside of Brazil and Abbraccio restaurants in Brazil. Franchise revenues primarily include revenues from franchised Outback Steakhouse restaurants.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0aee04ce58ba4067b6daada9a9c52dcb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 Continued</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includes a detail of assets and liabilities from contracts with customers included on the Company’s Consolidated Balance Sheets as of the periods indicated:</w:t>
      </w:r>
    </w:p>
    <w:tbl>
      <w:tblPr>
        <w:tblW w:w="6695" w:type="dxa"/>
        <w:jc w:val="center"/>
        <w:tblInd w:w="0" w:type="dxa"/>
        <w:tblLayout w:type="fixed"/>
        <w:tblCellMar>
          <w:top w:w="28" w:type="dxa"/>
          <w:left w:w="28" w:type="dxa"/>
          <w:bottom w:w="28" w:type="dxa"/>
          <w:right w:w="28" w:type="dxa"/>
        </w:tblCellMar>
      </w:tblPr>
      <w:tblGrid>
        <w:gridCol w:w="992"/>
        <w:gridCol w:w="875"/>
        <w:gridCol w:w="878"/>
        <w:gridCol w:w="228"/>
        <w:gridCol w:w="859"/>
        <w:gridCol w:w="127"/>
        <w:gridCol w:w="109"/>
        <w:gridCol w:w="109"/>
        <w:gridCol w:w="109"/>
        <w:gridCol w:w="322"/>
        <w:gridCol w:w="1209"/>
        <w:gridCol w:w="179"/>
        <w:gridCol w:w="109"/>
        <w:gridCol w:w="109"/>
        <w:gridCol w:w="109"/>
        <w:gridCol w:w="109"/>
        <w:gridCol w:w="109"/>
        <w:gridCol w:w="154"/>
      </w:tblGrid>
      <w:tr>
        <w:trPr/>
        <w:tc>
          <w:tcPr>
            <w:tcW w:w="992"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 net</w:t>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gift card sales commissions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18,081 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Unearned revenue</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gift card revenue</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300,590 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374,274 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loyalty revenue</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franchise fees - current</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Unearned revenue</w:t>
            </w:r>
          </w:p>
        </w:tc>
        <w:tc>
          <w:tcPr>
            <w:tcW w:w="22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309,015 </w:t>
            </w:r>
          </w:p>
        </w:tc>
        <w:tc>
          <w:tcPr>
            <w:tcW w:w="12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381,877 </w:t>
            </w:r>
          </w:p>
        </w:tc>
        <w:tc>
          <w:tcPr>
            <w:tcW w:w="17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 net</w:t>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franchise fees - non-current</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is a rollforward of deferred gift card sales commissions for the periods indicated:</w:t>
      </w:r>
    </w:p>
    <w:tbl>
      <w:tblPr>
        <w:tblW w:w="9613" w:type="dxa"/>
        <w:jc w:val="center"/>
        <w:tblInd w:w="0" w:type="dxa"/>
        <w:tblLayout w:type="fixed"/>
        <w:tblCellMar>
          <w:top w:w="28" w:type="dxa"/>
          <w:left w:w="28" w:type="dxa"/>
          <w:bottom w:w="28" w:type="dxa"/>
          <w:right w:w="28" w:type="dxa"/>
        </w:tblCellMar>
      </w:tblPr>
      <w:tblGrid>
        <w:gridCol w:w="1339"/>
        <w:gridCol w:w="1180"/>
        <w:gridCol w:w="1185"/>
        <w:gridCol w:w="250"/>
        <w:gridCol w:w="826"/>
        <w:gridCol w:w="139"/>
        <w:gridCol w:w="109"/>
        <w:gridCol w:w="109"/>
        <w:gridCol w:w="109"/>
        <w:gridCol w:w="250"/>
        <w:gridCol w:w="826"/>
        <w:gridCol w:w="139"/>
        <w:gridCol w:w="109"/>
        <w:gridCol w:w="109"/>
        <w:gridCol w:w="109"/>
        <w:gridCol w:w="250"/>
        <w:gridCol w:w="826"/>
        <w:gridCol w:w="138"/>
        <w:gridCol w:w="117"/>
        <w:gridCol w:w="117"/>
        <w:gridCol w:w="117"/>
        <w:gridCol w:w="248"/>
        <w:gridCol w:w="818"/>
        <w:gridCol w:w="194"/>
      </w:tblGrid>
      <w:tr>
        <w:trPr/>
        <w:tc>
          <w:tcPr>
            <w:tcW w:w="1339"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the period</w:t>
            </w:r>
          </w:p>
        </w:tc>
        <w:tc>
          <w:tcPr>
            <w:tcW w:w="25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13,520 </w:t>
            </w:r>
          </w:p>
        </w:tc>
        <w:tc>
          <w:tcPr>
            <w:tcW w:w="13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13,403 </w:t>
            </w:r>
          </w:p>
        </w:tc>
        <w:tc>
          <w:tcPr>
            <w:tcW w:w="13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18,081 </w:t>
            </w:r>
          </w:p>
        </w:tc>
        <w:tc>
          <w:tcPr>
            <w:tcW w:w="13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17,755 </w:t>
            </w:r>
          </w:p>
        </w:tc>
        <w:tc>
          <w:tcPr>
            <w:tcW w:w="19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gift card sales commissions amortization</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(12,661)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(13,180)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gift card sales commissions capitalization</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8,856 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9,743 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(1,626)</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the period</w:t>
            </w:r>
          </w:p>
        </w:tc>
        <w:tc>
          <w:tcPr>
            <w:tcW w:w="25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12,650 </w:t>
            </w:r>
          </w:p>
        </w:tc>
        <w:tc>
          <w:tcPr>
            <w:tcW w:w="13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12,694 </w:t>
            </w:r>
          </w:p>
        </w:tc>
        <w:tc>
          <w:tcPr>
            <w:tcW w:w="13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12,650 </w:t>
            </w:r>
          </w:p>
        </w:tc>
        <w:tc>
          <w:tcPr>
            <w:tcW w:w="13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12,694 </w:t>
            </w:r>
          </w:p>
        </w:tc>
        <w:tc>
          <w:tcPr>
            <w:tcW w:w="19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is a rollforward of unearned gift card revenue for the periods indicated:</w:t>
      </w:r>
    </w:p>
    <w:tbl>
      <w:tblPr>
        <w:tblW w:w="8298" w:type="dxa"/>
        <w:jc w:val="center"/>
        <w:tblInd w:w="0" w:type="dxa"/>
        <w:tblLayout w:type="fixed"/>
        <w:tblCellMar>
          <w:top w:w="28" w:type="dxa"/>
          <w:left w:w="28" w:type="dxa"/>
          <w:bottom w:w="28" w:type="dxa"/>
          <w:right w:w="28" w:type="dxa"/>
        </w:tblCellMar>
      </w:tblPr>
      <w:tblGrid>
        <w:gridCol w:w="873"/>
        <w:gridCol w:w="769"/>
        <w:gridCol w:w="772"/>
        <w:gridCol w:w="228"/>
        <w:gridCol w:w="859"/>
        <w:gridCol w:w="127"/>
        <w:gridCol w:w="109"/>
        <w:gridCol w:w="109"/>
        <w:gridCol w:w="109"/>
        <w:gridCol w:w="228"/>
        <w:gridCol w:w="859"/>
        <w:gridCol w:w="127"/>
        <w:gridCol w:w="109"/>
        <w:gridCol w:w="109"/>
        <w:gridCol w:w="109"/>
        <w:gridCol w:w="228"/>
        <w:gridCol w:w="860"/>
        <w:gridCol w:w="127"/>
        <w:gridCol w:w="109"/>
        <w:gridCol w:w="109"/>
        <w:gridCol w:w="109"/>
        <w:gridCol w:w="227"/>
        <w:gridCol w:w="855"/>
        <w:gridCol w:w="178"/>
      </w:tblGrid>
      <w:tr>
        <w:trPr/>
        <w:tc>
          <w:tcPr>
            <w:tcW w:w="87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the period</w:t>
            </w:r>
          </w:p>
        </w:tc>
        <w:tc>
          <w:tcPr>
            <w:tcW w:w="22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312,283 </w:t>
            </w:r>
          </w:p>
        </w:tc>
        <w:tc>
          <w:tcPr>
            <w:tcW w:w="12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314,096 </w:t>
            </w:r>
          </w:p>
        </w:tc>
        <w:tc>
          <w:tcPr>
            <w:tcW w:w="12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374,274 </w:t>
            </w:r>
          </w:p>
        </w:tc>
        <w:tc>
          <w:tcPr>
            <w:tcW w:w="12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386,495 </w:t>
            </w:r>
          </w:p>
        </w:tc>
        <w:tc>
          <w:tcPr>
            <w:tcW w:w="17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Gift card sales</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59,336 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65,338 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105,945 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118,343 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Gift card redemptions</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(66,854)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(70,175)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(169,324)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(188,458)</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Gift card breakage</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(11,438)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the period</w:t>
            </w:r>
          </w:p>
        </w:tc>
        <w:tc>
          <w:tcPr>
            <w:tcW w:w="22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300,590 </w:t>
            </w:r>
          </w:p>
        </w:tc>
        <w:tc>
          <w:tcPr>
            <w:tcW w:w="12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304,942 </w:t>
            </w:r>
          </w:p>
        </w:tc>
        <w:tc>
          <w:tcPr>
            <w:tcW w:w="12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300,590 </w:t>
            </w:r>
          </w:p>
        </w:tc>
        <w:tc>
          <w:tcPr>
            <w:tcW w:w="12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304,942 </w:t>
            </w:r>
          </w:p>
        </w:tc>
        <w:tc>
          <w:tcPr>
            <w:tcW w:w="17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0aee04ce58ba4067b6daada9a9c52dcb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 Continued</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3.    </w:t>
      </w:r>
      <w:bookmarkStart w:id="1" w:name="i6363e9ff4b3444a7b125228edc368490_718"/>
      <w:bookmarkEnd w:id="1"/>
      <w:r>
        <w:rPr>
          <w:rFonts w:ascii="Times New Roman;sans-serif" w:hAnsi="Times New Roman;sans-serif"/>
          <w:b w:val="false"/>
          <w:color w:val="000000"/>
          <w:sz w:val="22"/>
        </w:rPr>
        <w:t>Impairments and Exit Costs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components of Provision for impaired assets and restaurant closings are as follows for the periods indicated:</w:t>
      </w:r>
    </w:p>
    <w:tbl>
      <w:tblPr>
        <w:tblW w:w="9514" w:type="dxa"/>
        <w:jc w:val="center"/>
        <w:tblInd w:w="0" w:type="dxa"/>
        <w:tblLayout w:type="fixed"/>
        <w:tblCellMar>
          <w:top w:w="28" w:type="dxa"/>
          <w:left w:w="28" w:type="dxa"/>
          <w:bottom w:w="28" w:type="dxa"/>
          <w:right w:w="28" w:type="dxa"/>
        </w:tblCellMar>
      </w:tblPr>
      <w:tblGrid>
        <w:gridCol w:w="1395"/>
        <w:gridCol w:w="1228"/>
        <w:gridCol w:w="1232"/>
        <w:gridCol w:w="457"/>
        <w:gridCol w:w="1506"/>
        <w:gridCol w:w="256"/>
        <w:gridCol w:w="109"/>
        <w:gridCol w:w="109"/>
        <w:gridCol w:w="109"/>
        <w:gridCol w:w="109"/>
        <w:gridCol w:w="109"/>
        <w:gridCol w:w="497"/>
        <w:gridCol w:w="1640"/>
        <w:gridCol w:w="277"/>
        <w:gridCol w:w="109"/>
        <w:gridCol w:w="109"/>
        <w:gridCol w:w="109"/>
        <w:gridCol w:w="154"/>
      </w:tblGrid>
      <w:tr>
        <w:trPr/>
        <w:tc>
          <w:tcPr>
            <w:tcW w:w="1395"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losses</w:t>
            </w:r>
          </w:p>
        </w:tc>
        <w:tc>
          <w:tcPr>
            <w:tcW w:w="221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(1)</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1,852 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 (2)</w:t>
            </w:r>
          </w:p>
        </w:tc>
        <w:tc>
          <w:tcPr>
            <w:tcW w:w="1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14,048 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14,048 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impairment losses</w:t>
            </w:r>
          </w:p>
        </w:tc>
        <w:tc>
          <w:tcPr>
            <w:tcW w:w="45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0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14,048 </w:t>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4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15,900 </w:t>
            </w:r>
          </w:p>
        </w:tc>
        <w:tc>
          <w:tcPr>
            <w:tcW w:w="27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closure charges</w:t>
            </w:r>
          </w:p>
        </w:tc>
        <w:tc>
          <w:tcPr>
            <w:tcW w:w="221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(1)</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11,219 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 (2)</w:t>
            </w:r>
          </w:p>
        </w:tc>
        <w:tc>
          <w:tcPr>
            <w:tcW w:w="1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restaurant closure charges</w:t>
            </w:r>
          </w:p>
        </w:tc>
        <w:tc>
          <w:tcPr>
            <w:tcW w:w="1963"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2,213 </w:t>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11,234 </w:t>
            </w:r>
          </w:p>
        </w:tc>
        <w:tc>
          <w:tcPr>
            <w:tcW w:w="27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impaired assets and restaurant closings</w:t>
            </w:r>
          </w:p>
        </w:tc>
        <w:tc>
          <w:tcPr>
            <w:tcW w:w="45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0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16,261 </w:t>
            </w:r>
          </w:p>
        </w:tc>
        <w:tc>
          <w:tcPr>
            <w:tcW w:w="25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4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27,134 </w:t>
            </w:r>
          </w:p>
        </w:tc>
        <w:tc>
          <w:tcPr>
            <w:tcW w:w="27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(1)Primarily includes charges in connection with the 2023 Restaurant Closures, as discussed below.</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(2)Primarily includes charges in connection with the Q2 2024 decision to close nine restaurants in Hong Kong. </w:t>
      </w:r>
    </w:p>
    <w:p>
      <w:pPr>
        <w:pStyle w:val="TextBody"/>
        <w:bidi w:val="0"/>
        <w:spacing w:before="0" w:after="0"/>
        <w:jc w:val="left"/>
        <w:rPr/>
      </w:pPr>
      <w:r>
        <w:rPr/>
      </w:r>
    </w:p>
    <w:p>
      <w:pPr>
        <w:pStyle w:val="TextBody"/>
        <w:bidi w:val="0"/>
        <w:spacing w:lineRule="auto" w:line="288" w:before="0" w:after="0"/>
        <w:jc w:val="both"/>
        <w:rPr/>
      </w:pPr>
      <w:bookmarkStart w:id="2" w:name="i6363e9ff4b3444a7b125228edc368490_716"/>
      <w:bookmarkEnd w:id="2"/>
      <w:r>
        <w:rPr>
          <w:rFonts w:ascii="Times New Roman;sans-serif" w:hAnsi="Times New Roman;sans-serif"/>
          <w:b w:val="false"/>
          <w:i/>
          <w:color w:val="000000"/>
          <w:sz w:val="22"/>
        </w:rPr>
        <w:t>2023 Restaurant Closures</w:t>
      </w:r>
      <w:r>
        <w:rPr>
          <w:color w:val="000000"/>
        </w:rPr>
        <w:t xml:space="preserve"> </w:t>
      </w:r>
      <w:r>
        <w:rPr>
          <w:rFonts w:ascii="Times New Roman;sans-serif" w:hAnsi="Times New Roman;sans-serif"/>
          <w:b w:val="false"/>
          <w:color w:val="000000"/>
          <w:sz w:val="22"/>
        </w:rPr>
        <w:t>- During the fourth quarter of 2023, the Company closed three U.S. and two international Aussie Grill restaurants and made the decision to close 36 predominantly older, underperforming U.S. restaurants (the “2023 Restaurant Closures”). Following is a summary of expenses recognized in the Consolidated Statements of Operations and Comprehensive Income (Loss) for the period indicated (dollars in thousands):</w:t>
      </w:r>
    </w:p>
    <w:tbl>
      <w:tblPr>
        <w:tblW w:w="10205" w:type="dxa"/>
        <w:jc w:val="left"/>
        <w:tblInd w:w="0" w:type="dxa"/>
        <w:tblLayout w:type="fixed"/>
        <w:tblCellMar>
          <w:top w:w="28" w:type="dxa"/>
          <w:left w:w="28" w:type="dxa"/>
          <w:bottom w:w="28" w:type="dxa"/>
          <w:right w:w="28" w:type="dxa"/>
        </w:tblCellMar>
      </w:tblPr>
      <w:tblGrid>
        <w:gridCol w:w="742"/>
        <w:gridCol w:w="651"/>
        <w:gridCol w:w="654"/>
        <w:gridCol w:w="109"/>
        <w:gridCol w:w="109"/>
        <w:gridCol w:w="109"/>
        <w:gridCol w:w="1677"/>
        <w:gridCol w:w="1677"/>
        <w:gridCol w:w="1681"/>
        <w:gridCol w:w="109"/>
        <w:gridCol w:w="109"/>
        <w:gridCol w:w="109"/>
        <w:gridCol w:w="109"/>
        <w:gridCol w:w="109"/>
        <w:gridCol w:w="363"/>
        <w:gridCol w:w="1200"/>
        <w:gridCol w:w="202"/>
        <w:gridCol w:w="109"/>
        <w:gridCol w:w="109"/>
        <w:gridCol w:w="109"/>
        <w:gridCol w:w="159"/>
      </w:tblGrid>
      <w:tr>
        <w:trPr/>
        <w:tc>
          <w:tcPr>
            <w:tcW w:w="742"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4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 STATEMENTS OF OPERATIONS AND COMPREHENSIVE INCOME (LOSS) CLASSIFICATION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4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5"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47"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impairments and closure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5"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impaired assets and restaurant closings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11,714 </w:t>
            </w:r>
          </w:p>
        </w:tc>
        <w:tc>
          <w:tcPr>
            <w:tcW w:w="20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Severance and 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Closure-related labor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Labor and other related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15,122 </w:t>
            </w:r>
          </w:p>
        </w:tc>
        <w:tc>
          <w:tcPr>
            <w:tcW w:w="20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(1)During the fourth quarter of 2023, the Company recognized $32.4 million of net charges in connection with the 2023 Restaurant Closures.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0aee04ce58ba4067b6daada9a9c52dcb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 Continued</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4.    Earnings (Loss) Per Share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presents the computation of basic and diluted earnings (loss) per share for the periods indicated:</w:t>
      </w:r>
    </w:p>
    <w:tbl>
      <w:tblPr>
        <w:tblW w:w="9830" w:type="dxa"/>
        <w:jc w:val="left"/>
        <w:tblInd w:w="0" w:type="dxa"/>
        <w:tblLayout w:type="fixed"/>
        <w:tblCellMar>
          <w:top w:w="28" w:type="dxa"/>
          <w:left w:w="28" w:type="dxa"/>
          <w:bottom w:w="28" w:type="dxa"/>
          <w:right w:w="28" w:type="dxa"/>
        </w:tblCellMar>
      </w:tblPr>
      <w:tblGrid>
        <w:gridCol w:w="1429"/>
        <w:gridCol w:w="1256"/>
        <w:gridCol w:w="1260"/>
        <w:gridCol w:w="250"/>
        <w:gridCol w:w="826"/>
        <w:gridCol w:w="139"/>
        <w:gridCol w:w="109"/>
        <w:gridCol w:w="109"/>
        <w:gridCol w:w="109"/>
        <w:gridCol w:w="250"/>
        <w:gridCol w:w="826"/>
        <w:gridCol w:w="139"/>
        <w:gridCol w:w="109"/>
        <w:gridCol w:w="109"/>
        <w:gridCol w:w="109"/>
        <w:gridCol w:w="231"/>
        <w:gridCol w:w="855"/>
        <w:gridCol w:w="128"/>
        <w:gridCol w:w="109"/>
        <w:gridCol w:w="109"/>
        <w:gridCol w:w="109"/>
        <w:gridCol w:w="227"/>
        <w:gridCol w:w="855"/>
        <w:gridCol w:w="178"/>
      </w:tblGrid>
      <w:tr>
        <w:trPr/>
        <w:tc>
          <w:tcPr>
            <w:tcW w:w="142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Bloomin’ Brands</w:t>
            </w:r>
          </w:p>
        </w:tc>
        <w:tc>
          <w:tcPr>
            <w:tcW w:w="25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28,403 </w:t>
            </w:r>
          </w:p>
        </w:tc>
        <w:tc>
          <w:tcPr>
            <w:tcW w:w="13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68,277 </w:t>
            </w:r>
          </w:p>
        </w:tc>
        <w:tc>
          <w:tcPr>
            <w:tcW w:w="13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(55,469)</w:t>
            </w:r>
          </w:p>
        </w:tc>
        <w:tc>
          <w:tcPr>
            <w:tcW w:w="12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159,588 </w:t>
            </w:r>
          </w:p>
        </w:tc>
        <w:tc>
          <w:tcPr>
            <w:tcW w:w="17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weighted average common shares outstanding</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86,688 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88,559 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86,856 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88,838 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dilutive securities:</w:t>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Nonvested restricted stock units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Nonvested performance-based share units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Convertible senior notes (1)</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Warrants (1)</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weighted average common shares outstanding</w:t>
            </w:r>
          </w:p>
        </w:tc>
        <w:tc>
          <w:tcPr>
            <w:tcW w:w="107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88,632 </w:t>
            </w:r>
          </w:p>
        </w:tc>
        <w:tc>
          <w:tcPr>
            <w:tcW w:w="13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97,401 </w:t>
            </w:r>
          </w:p>
        </w:tc>
        <w:tc>
          <w:tcPr>
            <w:tcW w:w="13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86,856 </w:t>
            </w:r>
          </w:p>
        </w:tc>
        <w:tc>
          <w:tcPr>
            <w:tcW w:w="12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97,706 </w:t>
            </w:r>
          </w:p>
        </w:tc>
        <w:tc>
          <w:tcPr>
            <w:tcW w:w="17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earnings (loss) per share</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earnings (loss) per share</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(1)During the twenty-six weeks ended June 30, 2024, the Company repurchased $83.6 million of the convertible notes due in 2025 and settled the corresponding portion of the related note hedges and warrants (the “2025 Notes Partial Repurchase”).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Share-based compensation-related weighted average securities outstanding not included in the computation of earnings (loss) per share because their effect was antidilutive were as follows for the periods indicated:</w:t>
      </w:r>
    </w:p>
    <w:tbl>
      <w:tblPr>
        <w:tblW w:w="10078" w:type="dxa"/>
        <w:jc w:val="center"/>
        <w:tblInd w:w="0" w:type="dxa"/>
        <w:tblLayout w:type="fixed"/>
        <w:tblCellMar>
          <w:top w:w="28" w:type="dxa"/>
          <w:left w:w="28" w:type="dxa"/>
          <w:bottom w:w="28" w:type="dxa"/>
          <w:right w:w="28" w:type="dxa"/>
        </w:tblCellMar>
      </w:tblPr>
      <w:tblGrid>
        <w:gridCol w:w="1117"/>
        <w:gridCol w:w="984"/>
        <w:gridCol w:w="988"/>
        <w:gridCol w:w="405"/>
        <w:gridCol w:w="405"/>
        <w:gridCol w:w="405"/>
        <w:gridCol w:w="246"/>
        <w:gridCol w:w="246"/>
        <w:gridCol w:w="246"/>
        <w:gridCol w:w="405"/>
        <w:gridCol w:w="405"/>
        <w:gridCol w:w="405"/>
        <w:gridCol w:w="109"/>
        <w:gridCol w:w="109"/>
        <w:gridCol w:w="109"/>
        <w:gridCol w:w="405"/>
        <w:gridCol w:w="405"/>
        <w:gridCol w:w="405"/>
        <w:gridCol w:w="267"/>
        <w:gridCol w:w="267"/>
        <w:gridCol w:w="267"/>
        <w:gridCol w:w="401"/>
        <w:gridCol w:w="401"/>
        <w:gridCol w:w="413"/>
        <w:gridCol w:w="109"/>
        <w:gridCol w:w="154"/>
      </w:tblGrid>
      <w:tr>
        <w:trPr/>
        <w:tc>
          <w:tcPr>
            <w:tcW w:w="111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(shares in thousands)</w:t>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73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80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263" w:type="dxa"/>
            <w:gridSpan w:val="2"/>
            <w:tcBorders/>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options</w:t>
            </w:r>
          </w:p>
        </w:tc>
        <w:tc>
          <w:tcPr>
            <w:tcW w:w="81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324 </w:t>
            </w:r>
          </w:p>
        </w:tc>
        <w:tc>
          <w:tcPr>
            <w:tcW w:w="40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689 </w:t>
            </w:r>
          </w:p>
        </w:tc>
        <w:tc>
          <w:tcPr>
            <w:tcW w:w="40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451 </w:t>
            </w:r>
          </w:p>
        </w:tc>
        <w:tc>
          <w:tcPr>
            <w:tcW w:w="40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707 </w:t>
            </w:r>
          </w:p>
        </w:tc>
        <w:tc>
          <w:tcPr>
            <w:tcW w:w="41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Nonvested restricted stock units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Nonvested performance-based share units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5.    </w:t>
      </w:r>
      <w:bookmarkStart w:id="3" w:name="i4635b19631a94865b0c365636a31dde0_1520"/>
      <w:bookmarkEnd w:id="3"/>
      <w:r>
        <w:rPr>
          <w:rFonts w:ascii="Times New Roman;sans-serif" w:hAnsi="Times New Roman;sans-serif"/>
          <w:b w:val="false"/>
          <w:color w:val="000000"/>
          <w:sz w:val="22"/>
        </w:rPr>
        <w:t>Stock-based Compensation Plans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recognized stock-based compensation expense as follows for the periods indicated:</w:t>
      </w:r>
    </w:p>
    <w:tbl>
      <w:tblPr>
        <w:tblW w:w="10205" w:type="dxa"/>
        <w:jc w:val="left"/>
        <w:tblInd w:w="0" w:type="dxa"/>
        <w:tblLayout w:type="fixed"/>
        <w:tblCellMar>
          <w:top w:w="28" w:type="dxa"/>
          <w:left w:w="28" w:type="dxa"/>
          <w:bottom w:w="28" w:type="dxa"/>
          <w:right w:w="28" w:type="dxa"/>
        </w:tblCellMar>
      </w:tblPr>
      <w:tblGrid>
        <w:gridCol w:w="1619"/>
        <w:gridCol w:w="1426"/>
        <w:gridCol w:w="1405"/>
        <w:gridCol w:w="246"/>
        <w:gridCol w:w="788"/>
        <w:gridCol w:w="136"/>
        <w:gridCol w:w="112"/>
        <w:gridCol w:w="112"/>
        <w:gridCol w:w="112"/>
        <w:gridCol w:w="265"/>
        <w:gridCol w:w="756"/>
        <w:gridCol w:w="147"/>
        <w:gridCol w:w="109"/>
        <w:gridCol w:w="109"/>
        <w:gridCol w:w="109"/>
        <w:gridCol w:w="246"/>
        <w:gridCol w:w="787"/>
        <w:gridCol w:w="136"/>
        <w:gridCol w:w="121"/>
        <w:gridCol w:w="121"/>
        <w:gridCol w:w="121"/>
        <w:gridCol w:w="262"/>
        <w:gridCol w:w="745"/>
        <w:gridCol w:w="215"/>
      </w:tblGrid>
      <w:tr>
        <w:trPr/>
        <w:tc>
          <w:tcPr>
            <w:tcW w:w="161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4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r>
      <w:tr>
        <w:trPr/>
        <w:tc>
          <w:tcPr>
            <w:tcW w:w="4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1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6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r>
      <w:tr>
        <w:trPr/>
        <w:tc>
          <w:tcPr>
            <w:tcW w:w="4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Performance-based share units (1)</w:t>
            </w:r>
          </w:p>
        </w:tc>
        <w:tc>
          <w:tcPr>
            <w:tcW w:w="24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(1,556)</w:t>
            </w:r>
          </w:p>
        </w:tc>
        <w:tc>
          <w:tcPr>
            <w:tcW w:w="13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2,297 </w:t>
            </w:r>
          </w:p>
        </w:tc>
        <w:tc>
          <w:tcPr>
            <w:tcW w:w="14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(1,063)</w:t>
            </w:r>
          </w:p>
        </w:tc>
        <w:tc>
          <w:tcPr>
            <w:tcW w:w="13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3,220 </w:t>
            </w:r>
          </w:p>
        </w:tc>
        <w:tc>
          <w:tcPr>
            <w:tcW w:w="21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Restricted stock units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3,948 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Stock options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4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stock-based compensation expense, net of capitalized expense</w:t>
            </w:r>
          </w:p>
        </w:tc>
        <w:tc>
          <w:tcPr>
            <w:tcW w:w="24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465 </w:t>
            </w:r>
          </w:p>
        </w:tc>
        <w:tc>
          <w:tcPr>
            <w:tcW w:w="13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5,117 </w:t>
            </w:r>
          </w:p>
        </w:tc>
        <w:tc>
          <w:tcPr>
            <w:tcW w:w="14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2,895 </w:t>
            </w:r>
          </w:p>
        </w:tc>
        <w:tc>
          <w:tcPr>
            <w:tcW w:w="13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8,003 </w:t>
            </w:r>
          </w:p>
        </w:tc>
        <w:tc>
          <w:tcPr>
            <w:tcW w:w="21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445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445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445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(1)The thirteen and twenty-six weeks ended June 30, 2024 include a cumulative life-to-date adjustment to decrease expense for PSUs granted in fiscal year 2023 based on updated assumptions regarding the criteria set forth in the award agreements.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0aee04ce58ba4067b6daada9a9c52dcb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 Continued</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presents a summary of the Company’s performance-based share units (“PSUs”) activity:</w:t>
      </w:r>
    </w:p>
    <w:tbl>
      <w:tblPr>
        <w:tblW w:w="10205" w:type="dxa"/>
        <w:jc w:val="left"/>
        <w:tblInd w:w="0" w:type="dxa"/>
        <w:tblLayout w:type="fixed"/>
        <w:tblCellMar>
          <w:top w:w="28" w:type="dxa"/>
          <w:left w:w="28" w:type="dxa"/>
          <w:bottom w:w="28" w:type="dxa"/>
          <w:right w:w="28" w:type="dxa"/>
        </w:tblCellMar>
      </w:tblPr>
      <w:tblGrid>
        <w:gridCol w:w="801"/>
        <w:gridCol w:w="650"/>
        <w:gridCol w:w="652"/>
        <w:gridCol w:w="883"/>
        <w:gridCol w:w="883"/>
        <w:gridCol w:w="885"/>
        <w:gridCol w:w="109"/>
        <w:gridCol w:w="109"/>
        <w:gridCol w:w="109"/>
        <w:gridCol w:w="726"/>
        <w:gridCol w:w="2069"/>
        <w:gridCol w:w="407"/>
        <w:gridCol w:w="109"/>
        <w:gridCol w:w="109"/>
        <w:gridCol w:w="109"/>
        <w:gridCol w:w="312"/>
        <w:gridCol w:w="1030"/>
        <w:gridCol w:w="253"/>
      </w:tblGrid>
      <w:tr>
        <w:trPr/>
        <w:tc>
          <w:tcPr>
            <w:tcW w:w="801"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21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 unit data)</w:t>
            </w:r>
          </w:p>
        </w:tc>
        <w:tc>
          <w:tcPr>
            <w:tcW w:w="2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PERFORMANCE-BASED SHARE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 DATE FAIR VALUE PER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AGGREGATE </w:t>
              <w:br/>
              <w:t>INTRINSIC VALUE (1)</w:t>
            </w:r>
          </w:p>
        </w:tc>
      </w:tr>
      <w:tr>
        <w:trPr/>
        <w:tc>
          <w:tcPr>
            <w:tcW w:w="2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as of December 31, 2023</w:t>
            </w:r>
          </w:p>
        </w:tc>
        <w:tc>
          <w:tcPr>
            <w:tcW w:w="176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818 </w:t>
            </w:r>
          </w:p>
        </w:tc>
        <w:tc>
          <w:tcPr>
            <w:tcW w:w="88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6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26.92 </w:t>
            </w:r>
          </w:p>
        </w:tc>
        <w:tc>
          <w:tcPr>
            <w:tcW w:w="40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23,026 </w:t>
            </w:r>
          </w:p>
        </w:tc>
        <w:tc>
          <w:tcPr>
            <w:tcW w:w="25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1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27.26 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Performance adjustment (2)</w:t>
            </w:r>
          </w:p>
        </w:tc>
        <w:tc>
          <w:tcPr>
            <w:tcW w:w="1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237 </w:t>
            </w:r>
          </w:p>
        </w:tc>
        <w:tc>
          <w:tcPr>
            <w:tcW w:w="8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25.40 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w:t>
            </w:r>
          </w:p>
        </w:tc>
        <w:tc>
          <w:tcPr>
            <w:tcW w:w="1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25.40 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1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w:t>
            </w:r>
          </w:p>
        </w:tc>
        <w:tc>
          <w:tcPr>
            <w:tcW w:w="8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27.57 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as of June 30, 2024</w:t>
            </w:r>
          </w:p>
        </w:tc>
        <w:tc>
          <w:tcPr>
            <w:tcW w:w="176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786 </w:t>
            </w:r>
          </w:p>
        </w:tc>
        <w:tc>
          <w:tcPr>
            <w:tcW w:w="88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27.43 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15,107 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to vest as of June 30, 2024 (3)</w:t>
            </w:r>
          </w:p>
        </w:tc>
        <w:tc>
          <w:tcPr>
            <w:tcW w:w="176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288 </w:t>
            </w:r>
          </w:p>
        </w:tc>
        <w:tc>
          <w:tcPr>
            <w:tcW w:w="88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5,543 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(1)Based on the $28.15 and $19.23 share price of the Company’s common stock on December 29, 2023 and June 28, 2024, the last trading day of the year ended December 31, 2023 and twenty-six weeks ended June 30, 2024, respectively.</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(2)Represents adjustment to 200% payout for PSUs granted during 2021.</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(3)Estimated number of units to be issued upon the vesting of outstanding PSUs based on Company performance projections of performance criteria set forth in the 2022, 2023 and 2024 PSU award agreements.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bookmarkStart w:id="4" w:name="i4635b19631a94865b0c365636a31dde0_1525"/>
      <w:bookmarkEnd w:id="4"/>
      <w:r>
        <w:rPr>
          <w:rFonts w:ascii="Times New Roman;sans-serif" w:hAnsi="Times New Roman;sans-serif"/>
          <w:b w:val="false"/>
          <w:color w:val="000000"/>
          <w:sz w:val="22"/>
        </w:rPr>
        <w:t>Assumptions used in the Monte Carlo simulation model and the grant date fair value of PSUs granted were as follows for the periods indicated:</w:t>
      </w:r>
    </w:p>
    <w:tbl>
      <w:tblPr>
        <w:tblW w:w="5646" w:type="dxa"/>
        <w:jc w:val="left"/>
        <w:tblInd w:w="0" w:type="dxa"/>
        <w:tblLayout w:type="fixed"/>
        <w:tblCellMar>
          <w:top w:w="28" w:type="dxa"/>
          <w:left w:w="28" w:type="dxa"/>
          <w:bottom w:w="28" w:type="dxa"/>
          <w:right w:w="28" w:type="dxa"/>
        </w:tblCellMar>
      </w:tblPr>
      <w:tblGrid>
        <w:gridCol w:w="869"/>
        <w:gridCol w:w="763"/>
        <w:gridCol w:w="767"/>
        <w:gridCol w:w="236"/>
        <w:gridCol w:w="671"/>
        <w:gridCol w:w="308"/>
        <w:gridCol w:w="112"/>
        <w:gridCol w:w="112"/>
        <w:gridCol w:w="112"/>
        <w:gridCol w:w="236"/>
        <w:gridCol w:w="671"/>
        <w:gridCol w:w="308"/>
        <w:gridCol w:w="109"/>
        <w:gridCol w:w="109"/>
        <w:gridCol w:w="109"/>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Assumptions:</w:t>
            </w:r>
          </w:p>
        </w:tc>
        <w:tc>
          <w:tcPr>
            <w:tcW w:w="121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Risk-free interest rate (1)</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 yield (2)</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Volatility (3)</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51.41 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51.02 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 date fair value per unit (4)</w:t>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27.26 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29.01 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(1)Risk-free interest rate is the U.S. Treasury yield curve in effect as of the grant date for the performance period of the unit.</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(2)Dividend yield is the level of dividends expected to be paid on the Company’s common stock over the expected term. </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(3)Based on the historical volatility of the Company’s stock over the last seven years.</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(4)Represents a discount below and a premium above the grant date per share value of the Company’s common stock for the relative total shareholder return modifier of (1.6)% and 2.7% during the twenty-six weeks ended June 30, 2024 and June 25, 2023, respectively.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bookmarkStart w:id="5" w:name="i4635b19631a94865b0c365636a31dde0_1554"/>
      <w:bookmarkEnd w:id="5"/>
      <w:r>
        <w:rPr>
          <w:rFonts w:ascii="Times New Roman;sans-serif" w:hAnsi="Times New Roman;sans-serif"/>
          <w:b w:val="false"/>
          <w:color w:val="000000"/>
          <w:sz w:val="22"/>
        </w:rPr>
        <w:t>The following represents unrecognized stock-based compensation expense and the remaining weighted average recognition period as of June 30, 2024:</w:t>
      </w:r>
    </w:p>
    <w:tbl>
      <w:tblPr>
        <w:tblW w:w="10205" w:type="dxa"/>
        <w:jc w:val="left"/>
        <w:tblInd w:w="0" w:type="dxa"/>
        <w:tblLayout w:type="fixed"/>
        <w:tblCellMar>
          <w:top w:w="28" w:type="dxa"/>
          <w:left w:w="28" w:type="dxa"/>
          <w:bottom w:w="28" w:type="dxa"/>
          <w:right w:w="28" w:type="dxa"/>
        </w:tblCellMar>
      </w:tblPr>
      <w:tblGrid>
        <w:gridCol w:w="760"/>
        <w:gridCol w:w="668"/>
        <w:gridCol w:w="670"/>
        <w:gridCol w:w="647"/>
        <w:gridCol w:w="2135"/>
        <w:gridCol w:w="361"/>
        <w:gridCol w:w="109"/>
        <w:gridCol w:w="109"/>
        <w:gridCol w:w="109"/>
        <w:gridCol w:w="1356"/>
        <w:gridCol w:w="1356"/>
        <w:gridCol w:w="1925"/>
      </w:tblGrid>
      <w:tr>
        <w:trPr/>
        <w:tc>
          <w:tcPr>
            <w:tcW w:w="7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r>
      <w:tr>
        <w:trPr/>
        <w:tc>
          <w:tcPr>
            <w:tcW w:w="2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UNRECOGNIZED COMPENSATION EXPENSE</w:t>
              <w:b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 WEIGHTED AVERAGE RECOGNITION PERIOD (in years)</w:t>
            </w:r>
          </w:p>
        </w:tc>
      </w:tr>
      <w:tr>
        <w:trPr/>
        <w:tc>
          <w:tcPr>
            <w:tcW w:w="2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Performance-based share units</w:t>
            </w:r>
          </w:p>
        </w:tc>
        <w:tc>
          <w:tcPr>
            <w:tcW w:w="64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13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6,976 </w:t>
            </w:r>
          </w:p>
        </w:tc>
        <w:tc>
          <w:tcPr>
            <w:tcW w:w="36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7"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Restricted stock units</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1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12,302 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0aee04ce58ba4067b6daada9a9c52dcb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 Continued</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6.    Other Current Assets, Net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Other current assets, net, consisted of the following as of the periods indicated:</w:t>
      </w:r>
    </w:p>
    <w:tbl>
      <w:tblPr>
        <w:tblW w:w="6304" w:type="dxa"/>
        <w:jc w:val="left"/>
        <w:tblInd w:w="0" w:type="dxa"/>
        <w:tblLayout w:type="fixed"/>
        <w:tblCellMar>
          <w:top w:w="28" w:type="dxa"/>
          <w:left w:w="28" w:type="dxa"/>
          <w:bottom w:w="28" w:type="dxa"/>
          <w:right w:w="28" w:type="dxa"/>
        </w:tblCellMar>
      </w:tblPr>
      <w:tblGrid>
        <w:gridCol w:w="1009"/>
        <w:gridCol w:w="889"/>
        <w:gridCol w:w="892"/>
        <w:gridCol w:w="228"/>
        <w:gridCol w:w="859"/>
        <w:gridCol w:w="127"/>
        <w:gridCol w:w="109"/>
        <w:gridCol w:w="109"/>
        <w:gridCol w:w="109"/>
        <w:gridCol w:w="322"/>
        <w:gridCol w:w="1209"/>
        <w:gridCol w:w="179"/>
        <w:gridCol w:w="109"/>
        <w:gridCol w:w="154"/>
      </w:tblGrid>
      <w:tr>
        <w:trPr/>
        <w:tc>
          <w:tcPr>
            <w:tcW w:w="100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22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32,186 </w:t>
            </w:r>
          </w:p>
        </w:tc>
        <w:tc>
          <w:tcPr>
            <w:tcW w:w="12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26,674 </w:t>
            </w:r>
          </w:p>
        </w:tc>
        <w:tc>
          <w:tcPr>
            <w:tcW w:w="17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 gift cards, net</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13,861 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67,424 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 vendors, net</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19,298 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13,648 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 franchisees, net</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 other, net</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19,344 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18,100 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gift card sales commissions</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18,081 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 net</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108,211 </w:t>
            </w:r>
          </w:p>
        </w:tc>
        <w:tc>
          <w:tcPr>
            <w:tcW w:w="12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153,002 </w:t>
            </w:r>
          </w:p>
        </w:tc>
        <w:tc>
          <w:tcPr>
            <w:tcW w:w="17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7.    Goodwill and Intangible Assets, Net </w:t>
      </w:r>
    </w:p>
    <w:p>
      <w:pPr>
        <w:pStyle w:val="TextBody"/>
        <w:bidi w:val="0"/>
        <w:spacing w:before="0" w:after="0"/>
        <w:jc w:val="left"/>
        <w:rPr/>
      </w:pPr>
      <w:r>
        <w:rPr/>
      </w:r>
    </w:p>
    <w:p>
      <w:pPr>
        <w:pStyle w:val="TextBody"/>
        <w:bidi w:val="0"/>
        <w:spacing w:lineRule="auto" w:line="288" w:before="0" w:after="0"/>
        <w:jc w:val="both"/>
        <w:rPr/>
      </w:pPr>
      <w:bookmarkStart w:id="6" w:name="ie70199bb749c4085a7e2bfe7e8fe275f_718"/>
      <w:bookmarkEnd w:id="6"/>
      <w:r>
        <w:rPr>
          <w:rFonts w:ascii="Times New Roman;sans-serif" w:hAnsi="Times New Roman;sans-serif"/>
          <w:b w:val="false"/>
          <w:i/>
          <w:color w:val="000000"/>
          <w:sz w:val="22"/>
        </w:rPr>
        <w:t>Annual Goodwill and Intangible Assets Impairment Assessment</w:t>
      </w:r>
      <w:r>
        <w:rPr>
          <w:color w:val="000000"/>
        </w:rPr>
        <w:t xml:space="preserve"> </w:t>
      </w:r>
      <w:r>
        <w:rPr>
          <w:rFonts w:ascii="Times New Roman;sans-serif" w:hAnsi="Times New Roman;sans-serif"/>
          <w:b w:val="false"/>
          <w:color w:val="000000"/>
          <w:sz w:val="22"/>
        </w:rPr>
        <w:t>- The Company performs its annual assessment for impairment of goodwill and other indefinite-lived intangible assets during its second fiscal quarter. The Company’s 2024 assessment was qualitative and the 2023 assessment was quantitative. In connection with these assessments, the Company did not record any impairment charges.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8.          Accrued and Other Current Liabilities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Accrued and other current liabilities consisted of the following as of the periods indicated:</w:t>
      </w:r>
    </w:p>
    <w:tbl>
      <w:tblPr>
        <w:tblW w:w="6281" w:type="dxa"/>
        <w:jc w:val="left"/>
        <w:tblInd w:w="0" w:type="dxa"/>
        <w:tblLayout w:type="fixed"/>
        <w:tblCellMar>
          <w:top w:w="28" w:type="dxa"/>
          <w:left w:w="28" w:type="dxa"/>
          <w:bottom w:w="28" w:type="dxa"/>
          <w:right w:w="28" w:type="dxa"/>
        </w:tblCellMar>
      </w:tblPr>
      <w:tblGrid>
        <w:gridCol w:w="1079"/>
        <w:gridCol w:w="951"/>
        <w:gridCol w:w="955"/>
        <w:gridCol w:w="228"/>
        <w:gridCol w:w="859"/>
        <w:gridCol w:w="127"/>
        <w:gridCol w:w="109"/>
        <w:gridCol w:w="109"/>
        <w:gridCol w:w="109"/>
        <w:gridCol w:w="316"/>
        <w:gridCol w:w="1190"/>
        <w:gridCol w:w="249"/>
      </w:tblGrid>
      <w:tr>
        <w:trPr/>
        <w:tc>
          <w:tcPr>
            <w:tcW w:w="107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 and other compensation</w:t>
            </w:r>
          </w:p>
        </w:tc>
        <w:tc>
          <w:tcPr>
            <w:tcW w:w="22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78,729 </w:t>
            </w:r>
          </w:p>
        </w:tc>
        <w:tc>
          <w:tcPr>
            <w:tcW w:w="12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98,903 </w:t>
            </w:r>
          </w:p>
        </w:tc>
        <w:tc>
          <w:tcPr>
            <w:tcW w:w="24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insurance</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17,434 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19,310 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114,494 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137,601 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210,657 </w:t>
            </w:r>
          </w:p>
        </w:tc>
        <w:tc>
          <w:tcPr>
            <w:tcW w:w="12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255,814 </w:t>
            </w:r>
          </w:p>
        </w:tc>
        <w:tc>
          <w:tcPr>
            <w:tcW w:w="24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9.    Long-term Debt, Net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Following is a summary of outstanding Long-term debt, net, as of the periods indicated:</w:t>
      </w:r>
    </w:p>
    <w:tbl>
      <w:tblPr>
        <w:tblW w:w="10205" w:type="dxa"/>
        <w:jc w:val="left"/>
        <w:tblInd w:w="0" w:type="dxa"/>
        <w:tblLayout w:type="fixed"/>
        <w:tblCellMar>
          <w:top w:w="28" w:type="dxa"/>
          <w:left w:w="28" w:type="dxa"/>
          <w:bottom w:w="28" w:type="dxa"/>
          <w:right w:w="28" w:type="dxa"/>
        </w:tblCellMar>
      </w:tblPr>
      <w:tblGrid>
        <w:gridCol w:w="1083"/>
        <w:gridCol w:w="935"/>
        <w:gridCol w:w="939"/>
        <w:gridCol w:w="309"/>
        <w:gridCol w:w="1379"/>
        <w:gridCol w:w="174"/>
        <w:gridCol w:w="109"/>
        <w:gridCol w:w="109"/>
        <w:gridCol w:w="109"/>
        <w:gridCol w:w="298"/>
        <w:gridCol w:w="281"/>
        <w:gridCol w:w="664"/>
        <w:gridCol w:w="109"/>
        <w:gridCol w:w="109"/>
        <w:gridCol w:w="109"/>
        <w:gridCol w:w="349"/>
        <w:gridCol w:w="1317"/>
        <w:gridCol w:w="196"/>
        <w:gridCol w:w="109"/>
        <w:gridCol w:w="109"/>
        <w:gridCol w:w="109"/>
        <w:gridCol w:w="289"/>
        <w:gridCol w:w="265"/>
        <w:gridCol w:w="746"/>
      </w:tblGrid>
      <w:tr>
        <w:trPr/>
        <w:tc>
          <w:tcPr>
            <w:tcW w:w="108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r>
      <w:tr>
        <w:trPr/>
        <w:tc>
          <w:tcPr>
            <w:tcW w:w="2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86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 BALANCE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 BALANCE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RATE</w:t>
            </w:r>
          </w:p>
        </w:tc>
      </w:tr>
      <w:tr>
        <w:trPr/>
        <w:tc>
          <w:tcPr>
            <w:tcW w:w="2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secured credit facility - revolving credit facility (1)</w:t>
            </w:r>
          </w:p>
        </w:tc>
        <w:tc>
          <w:tcPr>
            <w:tcW w:w="3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7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685,000 </w:t>
            </w:r>
          </w:p>
        </w:tc>
        <w:tc>
          <w:tcPr>
            <w:tcW w:w="17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6.96 </w:t>
            </w:r>
          </w:p>
        </w:tc>
        <w:tc>
          <w:tcPr>
            <w:tcW w:w="66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1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381,000 </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6.96 </w:t>
            </w:r>
          </w:p>
        </w:tc>
        <w:tc>
          <w:tcPr>
            <w:tcW w:w="74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 Notes (2)</w:t>
            </w:r>
          </w:p>
        </w:tc>
        <w:tc>
          <w:tcPr>
            <w:tcW w:w="1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20,724 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104,786 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2029 Notes</w:t>
            </w:r>
          </w:p>
        </w:tc>
        <w:tc>
          <w:tcPr>
            <w:tcW w:w="1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5.13 </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5.13 </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unamortized debt discount and issuance costs (2)</w:t>
            </w:r>
          </w:p>
        </w:tc>
        <w:tc>
          <w:tcPr>
            <w:tcW w:w="1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w:t>
            </w:r>
          </w:p>
        </w:tc>
        <w:tc>
          <w:tcPr>
            <w:tcW w:w="3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7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1,001,982 </w:t>
            </w:r>
          </w:p>
        </w:tc>
        <w:tc>
          <w:tcPr>
            <w:tcW w:w="17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1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780,719 </w:t>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(1)Interest rate represents the weighted average interest rate as of the respective periods.</w:t>
      </w:r>
    </w:p>
    <w:p>
      <w:pPr>
        <w:pStyle w:val="TextBody"/>
        <w:bidi w:val="0"/>
        <w:spacing w:lineRule="auto" w:line="288" w:before="0" w:after="0"/>
        <w:ind w:left="0" w:right="0" w:hanging="720"/>
        <w:jc w:val="both"/>
        <w:rPr/>
      </w:pPr>
      <w:r>
        <w:rPr>
          <w:rFonts w:ascii="Times New Roman;sans-serif" w:hAnsi="Times New Roman;sans-serif"/>
          <w:b w:val="false"/>
          <w:color w:val="252525"/>
          <w:sz w:val="18"/>
        </w:rPr>
        <w:t>(2)</w:t>
      </w:r>
      <w:r>
        <w:rPr>
          <w:rFonts w:ascii="Times New Roman;sans-serif" w:hAnsi="Times New Roman;sans-serif"/>
          <w:b w:val="false"/>
          <w:color w:val="000000"/>
          <w:sz w:val="18"/>
        </w:rPr>
        <w:t>During the twenty-six weeks ended June 30, 2024, the Company repurchased $83.6 million</w:t>
      </w:r>
      <w:r>
        <w:rPr>
          <w:color w:val="000000"/>
        </w:rPr>
        <w:t xml:space="preserve"> </w:t>
      </w:r>
      <w:r>
        <w:rPr>
          <w:rFonts w:ascii="Times New Roman;sans-serif" w:hAnsi="Times New Roman;sans-serif"/>
          <w:b w:val="false"/>
          <w:color w:val="000000"/>
          <w:sz w:val="18"/>
        </w:rPr>
        <w:t xml:space="preserve">of the 2025 Notes and as a result, wrote off $0.8 million of debt issuance costs. See Note 10 - </w:t>
      </w:r>
      <w:r>
        <w:rPr>
          <w:rFonts w:ascii="Times New Roman;sans-serif" w:hAnsi="Times New Roman;sans-serif"/>
          <w:b w:val="false"/>
          <w:i/>
          <w:color w:val="000000"/>
          <w:sz w:val="18"/>
        </w:rPr>
        <w:t>Convertible Senior Notes</w:t>
      </w:r>
      <w:r>
        <w:rPr>
          <w:color w:val="000000"/>
        </w:rPr>
        <w:t xml:space="preserve"> </w:t>
      </w:r>
      <w:r>
        <w:rPr>
          <w:rFonts w:ascii="Times New Roman;sans-serif" w:hAnsi="Times New Roman;sans-serif"/>
          <w:b w:val="false"/>
          <w:color w:val="000000"/>
          <w:sz w:val="18"/>
        </w:rPr>
        <w:t>for additional details.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Debt Covenants - </w:t>
      </w:r>
      <w:r>
        <w:rPr>
          <w:rFonts w:ascii="Times New Roman;sans-serif" w:hAnsi="Times New Roman;sans-serif"/>
          <w:b w:val="false"/>
          <w:color w:val="000000"/>
          <w:sz w:val="22"/>
        </w:rPr>
        <w:t>As of June 30, 2024 and December 31, 2023, the Company was in compliance with its debt covenants.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0aee04ce58ba4067b6daada9a9c52dcb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 Continued</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10.    </w:t>
      </w:r>
      <w:bookmarkStart w:id="7" w:name="if3f918227b3f4db4ba972f234c3d7d23_2932"/>
      <w:bookmarkEnd w:id="7"/>
      <w:r>
        <w:rPr>
          <w:rFonts w:ascii="Times New Roman;sans-serif" w:hAnsi="Times New Roman;sans-serif"/>
          <w:b w:val="false"/>
          <w:color w:val="000000"/>
          <w:sz w:val="22"/>
        </w:rPr>
        <w:t xml:space="preserve">Convertible Senior Notes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2"/>
        </w:rPr>
        <w:t>2025 Notes</w:t>
      </w:r>
      <w:r>
        <w:rPr>
          <w:color w:val="000000"/>
        </w:rPr>
        <w:t xml:space="preserve"> </w:t>
      </w:r>
      <w:r>
        <w:rPr>
          <w:rFonts w:ascii="Times New Roman;sans-serif" w:hAnsi="Times New Roman;sans-serif"/>
          <w:b w:val="false"/>
          <w:color w:val="000000"/>
          <w:sz w:val="22"/>
        </w:rPr>
        <w:t>- On February 29, 2024, the Company entered into exchange agreements (the “Exchange Agreements”) with certain holders (the “Noteholders”) of its 5.00% Convertible Senior Notes due 2025 (the “2025 Notes”). The Exchange Agreements provided for the Company to deliver and pay at the closing of the transactions on March 5, 2024, an aggregate of approximately 7.5 million shares of its common stock and $3.3 million in cash, including accrued interest, in exchange for $83.6 million in aggregate principal amount of the Company’s outstanding 2025 Notes (the “2025 Notes Partial Repurchase”). In connection with the 2025 Notes Partial Repurchase, the Company recognized a loss on extinguishment of debt of $135.8 million and recorded a $216.1 million increase to Additional paid-in capital during the twenty-six weeks ended June 30, 2024.</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In connection with dividends paid during the twenty-six weeks ended June 30, 2024, the conversion rate for the</w:t>
      </w:r>
      <w:r>
        <w:rPr>
          <w:color w:val="252525"/>
        </w:rPr>
        <w:t xml:space="preserve"> </w:t>
      </w:r>
      <w:r>
        <w:rPr>
          <w:rFonts w:ascii="Times New Roman;sans-serif" w:hAnsi="Times New Roman;sans-serif"/>
          <w:b w:val="false"/>
          <w:color w:val="000000"/>
          <w:sz w:val="22"/>
        </w:rPr>
        <w:t>Company’s remaining 2025 Notes decreased to approximately $10.94 per share, which represents 91.403 shares of common stock per $1,000 principal amount of the 2025 Notes, or a total of approximately 1.894 million shares.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includes the outstanding principal amount and carrying value of the 2025 Notes as of the periods indicated:</w:t>
      </w:r>
    </w:p>
    <w:tbl>
      <w:tblPr>
        <w:tblW w:w="6357" w:type="dxa"/>
        <w:jc w:val="center"/>
        <w:tblInd w:w="0" w:type="dxa"/>
        <w:tblLayout w:type="fixed"/>
        <w:tblCellMar>
          <w:top w:w="28" w:type="dxa"/>
          <w:left w:w="28" w:type="dxa"/>
          <w:bottom w:w="28" w:type="dxa"/>
          <w:right w:w="28" w:type="dxa"/>
        </w:tblCellMar>
      </w:tblPr>
      <w:tblGrid>
        <w:gridCol w:w="1106"/>
        <w:gridCol w:w="975"/>
        <w:gridCol w:w="979"/>
        <w:gridCol w:w="250"/>
        <w:gridCol w:w="826"/>
        <w:gridCol w:w="139"/>
        <w:gridCol w:w="109"/>
        <w:gridCol w:w="109"/>
        <w:gridCol w:w="109"/>
        <w:gridCol w:w="316"/>
        <w:gridCol w:w="1190"/>
        <w:gridCol w:w="249"/>
      </w:tblGrid>
      <w:tr>
        <w:trPr/>
        <w:tc>
          <w:tcPr>
            <w:tcW w:w="1106"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w:t>
            </w:r>
          </w:p>
        </w:tc>
        <w:tc>
          <w:tcPr>
            <w:tcW w:w="25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20,724 </w:t>
            </w:r>
          </w:p>
        </w:tc>
        <w:tc>
          <w:tcPr>
            <w:tcW w:w="13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104,786 </w:t>
            </w:r>
          </w:p>
        </w:tc>
        <w:tc>
          <w:tcPr>
            <w:tcW w:w="24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unamortized debt issuance costs (1)</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(1,138)</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carrying amount</w:t>
            </w:r>
          </w:p>
        </w:tc>
        <w:tc>
          <w:tcPr>
            <w:tcW w:w="25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20,586 </w:t>
            </w:r>
          </w:p>
        </w:tc>
        <w:tc>
          <w:tcPr>
            <w:tcW w:w="13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103,648 </w:t>
            </w:r>
          </w:p>
        </w:tc>
        <w:tc>
          <w:tcPr>
            <w:tcW w:w="24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88" w:before="0" w:after="0"/>
        <w:ind w:left="0" w:right="0" w:hanging="720"/>
        <w:jc w:val="both"/>
        <w:rPr/>
      </w:pPr>
      <w:r>
        <w:rPr>
          <w:rFonts w:ascii="Times New Roman;sans-serif" w:hAnsi="Times New Roman;sans-serif"/>
          <w:b w:val="false"/>
          <w:color w:val="252525"/>
          <w:sz w:val="18"/>
        </w:rPr>
        <w:t>(1)</w:t>
      </w:r>
      <w:r>
        <w:rPr>
          <w:rFonts w:ascii="Times New Roman;sans-serif" w:hAnsi="Times New Roman;sans-serif"/>
          <w:b w:val="false"/>
          <w:color w:val="000000"/>
          <w:sz w:val="18"/>
        </w:rPr>
        <w:t>During the twenty-six weeks ended June 30, 2024, the Company wrote off $0.8 million of debt issuance costs as a result of the 2025 Notes Partial Repurchase.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Following is a summary of interest expense for the 2025 Notes by component for the periods indicated:</w:t>
      </w:r>
    </w:p>
    <w:tbl>
      <w:tblPr>
        <w:tblW w:w="8345" w:type="dxa"/>
        <w:jc w:val="left"/>
        <w:tblInd w:w="0" w:type="dxa"/>
        <w:tblLayout w:type="fixed"/>
        <w:tblCellMar>
          <w:top w:w="28" w:type="dxa"/>
          <w:left w:w="28" w:type="dxa"/>
          <w:bottom w:w="28" w:type="dxa"/>
          <w:right w:w="28" w:type="dxa"/>
        </w:tblCellMar>
      </w:tblPr>
      <w:tblGrid>
        <w:gridCol w:w="851"/>
        <w:gridCol w:w="750"/>
        <w:gridCol w:w="753"/>
        <w:gridCol w:w="328"/>
        <w:gridCol w:w="705"/>
        <w:gridCol w:w="182"/>
        <w:gridCol w:w="126"/>
        <w:gridCol w:w="126"/>
        <w:gridCol w:w="126"/>
        <w:gridCol w:w="276"/>
        <w:gridCol w:w="785"/>
        <w:gridCol w:w="153"/>
        <w:gridCol w:w="109"/>
        <w:gridCol w:w="109"/>
        <w:gridCol w:w="109"/>
        <w:gridCol w:w="276"/>
        <w:gridCol w:w="785"/>
        <w:gridCol w:w="153"/>
        <w:gridCol w:w="128"/>
        <w:gridCol w:w="128"/>
        <w:gridCol w:w="128"/>
        <w:gridCol w:w="272"/>
        <w:gridCol w:w="774"/>
        <w:gridCol w:w="213"/>
      </w:tblGrid>
      <w:tr>
        <w:trPr/>
        <w:tc>
          <w:tcPr>
            <w:tcW w:w="85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7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8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Coupon interest</w:t>
            </w:r>
          </w:p>
        </w:tc>
        <w:tc>
          <w:tcPr>
            <w:tcW w:w="32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259 </w:t>
            </w:r>
          </w:p>
        </w:tc>
        <w:tc>
          <w:tcPr>
            <w:tcW w:w="18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1,310 </w:t>
            </w:r>
          </w:p>
        </w:tc>
        <w:tc>
          <w:tcPr>
            <w:tcW w:w="15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1,265 </w:t>
            </w:r>
          </w:p>
        </w:tc>
        <w:tc>
          <w:tcPr>
            <w:tcW w:w="15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2,622 </w:t>
            </w:r>
          </w:p>
        </w:tc>
        <w:tc>
          <w:tcPr>
            <w:tcW w:w="21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issuance cost amortization</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interest expense (1)</w:t>
            </w:r>
          </w:p>
        </w:tc>
        <w:tc>
          <w:tcPr>
            <w:tcW w:w="32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299 </w:t>
            </w:r>
          </w:p>
        </w:tc>
        <w:tc>
          <w:tcPr>
            <w:tcW w:w="18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1,508 </w:t>
            </w:r>
          </w:p>
        </w:tc>
        <w:tc>
          <w:tcPr>
            <w:tcW w:w="15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1,463 </w:t>
            </w:r>
          </w:p>
        </w:tc>
        <w:tc>
          <w:tcPr>
            <w:tcW w:w="15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3,016 </w:t>
            </w:r>
          </w:p>
        </w:tc>
        <w:tc>
          <w:tcPr>
            <w:tcW w:w="21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88" w:before="0" w:after="0"/>
        <w:ind w:left="0" w:right="0" w:hanging="720"/>
        <w:jc w:val="both"/>
        <w:rPr/>
      </w:pPr>
      <w:r>
        <w:rPr>
          <w:rFonts w:ascii="Times New Roman;sans-serif" w:hAnsi="Times New Roman;sans-serif"/>
          <w:b w:val="false"/>
          <w:color w:val="252525"/>
          <w:sz w:val="18"/>
        </w:rPr>
        <w:t>(1)</w:t>
      </w:r>
      <w:r>
        <w:rPr>
          <w:rFonts w:ascii="Times New Roman;sans-serif" w:hAnsi="Times New Roman;sans-serif"/>
          <w:b w:val="false"/>
          <w:color w:val="000000"/>
          <w:sz w:val="18"/>
        </w:rPr>
        <w:t>The effective rate of the 2025 Notes over their expected life is 5.85%. The decrease in interest expense during the thirteen and twenty-six weeks ended June 30, 2024 relates to the 2025 Notes Partial Repurchase in February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Based on the daily closing prices of the Company’s stock during the quarter ended June 30, 2024, the remaining holders of the 2025 Notes are eligible to convert their notes during the third quarter of 2024.</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Convertible Note Hedge and Warrant Transactions - </w:t>
      </w:r>
      <w:r>
        <w:rPr>
          <w:rFonts w:ascii="Times New Roman;sans-serif" w:hAnsi="Times New Roman;sans-serif"/>
          <w:b w:val="false"/>
          <w:color w:val="000000"/>
          <w:sz w:val="22"/>
        </w:rPr>
        <w:t>In connection with the 2025 Notes Partial Repurchase, on February 29, 2024, the Company entered into partial unwind agreements with certain financial institutions (the “Derivative Counterparties”) relating to a portion of the convertible note hedge transactions (the “Note Hedge Early Termination Agreements”) and a portion of the warrant transactions (the “Warrant Early Termination Agreements” and together with the Note Hedge Early Termination Agreements, the “Early Termination Agreements”) that were previously entered into by the Company in connection with the issuance of the 2025 Notes. Pursuant to the Early Termination Agreements, the Derivative Counterparties made a termination payment to the Company which consisted of approximately $118.2 million in cash and 0.3 million shares of common stock, and the Company made a termination payment to the Derivative Counterparties in an aggregate amount of approximately $102.2 million in cash. In connection with the Note Hedge Early Termination Agreements and the Warrant Early Termination Agreements, the Company recorded a $126.5 million increase and a $102.2 million decrease, respectively, to Additional paid-in capital during the twenty-six weeks ended June 30, 2024. The Company also recorded an $8.3 million increase to Accumulated deficit in connection with the Note Hedge Early Termination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0aee04ce58ba4067b6daada9a9c52dcb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 Continued</w:t>
      </w:r>
    </w:p>
    <w:p>
      <w:pPr>
        <w:pStyle w:val="TextBody"/>
        <w:bidi w:val="0"/>
        <w:spacing w:lineRule="auto" w:line="288" w:before="0" w:after="0"/>
        <w:jc w:val="both"/>
        <w:rPr>
          <w:rFonts w:ascii="Times New Roman;sans-serif" w:hAnsi="Times New Roman;sans-serif"/>
          <w:b w:val="false"/>
          <w:color w:val="000000"/>
          <w:sz w:val="22"/>
        </w:rPr>
      </w:pPr>
      <w:bookmarkStart w:id="8" w:name="if3f918227b3f4db4ba972f234c3d7d23_2944"/>
      <w:bookmarkEnd w:id="8"/>
      <w:r>
        <w:rPr>
          <w:rFonts w:ascii="Times New Roman;sans-serif" w:hAnsi="Times New Roman;sans-serif"/>
          <w:b w:val="false"/>
          <w:color w:val="000000"/>
          <w:sz w:val="22"/>
        </w:rPr>
        <w:t>The remaining warrants have a dilutive effect on the Company’s common stock to the extent that the price of its common stock exceeds the strike price of the warrants. In connection with dividends paid during twenty-six weeks ended June 30, 2024, the strike price for the remaining warrants decreased to $15.32.</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11.    </w:t>
      </w:r>
      <w:bookmarkStart w:id="9" w:name="id0129c243f514b069642251bf9b8977a_2480"/>
      <w:bookmarkEnd w:id="9"/>
      <w:r>
        <w:rPr>
          <w:rFonts w:ascii="Times New Roman;sans-serif" w:hAnsi="Times New Roman;sans-serif"/>
          <w:b w:val="false"/>
          <w:color w:val="000000"/>
          <w:sz w:val="22"/>
        </w:rPr>
        <w:t xml:space="preserve">Stockholders’ Equity </w:t>
      </w:r>
    </w:p>
    <w:p>
      <w:pPr>
        <w:pStyle w:val="TextBody"/>
        <w:bidi w:val="0"/>
        <w:spacing w:before="0" w:after="0"/>
        <w:ind w:left="0" w:right="0" w:hanging="90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Share Repurchases</w:t>
      </w:r>
      <w:r>
        <w:rPr>
          <w:color w:val="000000"/>
        </w:rPr>
        <w:t xml:space="preserve"> </w:t>
      </w:r>
      <w:r>
        <w:rPr>
          <w:rFonts w:ascii="Times New Roman;sans-serif" w:hAnsi="Times New Roman;sans-serif"/>
          <w:b w:val="false"/>
          <w:color w:val="000000"/>
          <w:sz w:val="22"/>
        </w:rPr>
        <w:t>- In February 2024, the Company’s Board of Directors (the “Board”) canceled the remaining $57.5 million under the Company’s former share repurchase authorization and approved a new $350.0 million share repurchase authorization (the “2024 Share Repurchase Program”). The 2024 Share Repurchase Program includes capacity above the Company’s normal repurchase activity to provide flexibility in retiring the 2025 Notes at or prior to their May 2025 maturity. The 2024 Share Repurchase Program will expire on August 13, 2025.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bookmarkStart w:id="10" w:name="id0129c243f514b069642251bf9b8977a_2484"/>
      <w:bookmarkEnd w:id="10"/>
      <w:r>
        <w:rPr>
          <w:rFonts w:ascii="Times New Roman;sans-serif" w:hAnsi="Times New Roman;sans-serif"/>
          <w:b w:val="false"/>
          <w:color w:val="000000"/>
          <w:sz w:val="22"/>
        </w:rPr>
        <w:t xml:space="preserve">On March 1, 2024, the Company entered into an accelerated share repurchase agreement (the “ASR Agreement”), in connection with the 2024 Share Repurchase Program, with Wells Fargo Bank, National Association (“Wells Fargo”) to repurchase $220.0 million of the Company’s common stock.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Under the ASR Agreement, the Company made an aggregate payment of $220.0 million to Wells Fargo and received an aggregate initial delivery of approximately 6.5 million shares of common stock on March 4, 2024, representing approximately 80% of the total shares that were estimated to be repurchased under the ASR Agreement based on the price per share of common stock as of that date. The $176.0 million fair value of the initial shares received was recorded as a reduction to Accumulated deficit and the par value from Common stock, with the remaining $44.0 million recorded within Additional paid-in capital during the thirteen weeks ended March 31, 2024. The exact number of shares the Company repurchased under the ASR Agreement was based generally on the average of the daily volume-weighted average price per share of common stock during the repurchase period, less a discount and subject to adjustments pursuant to the terms and conditions of the ASR Agreement. On April 23, 2024, the Company received 1.4 million additional shares of common stock from Wells Fargo in connection with the final settlement of the ASR Agreement. In connection with the settlement, the Company reduced Accumulated deficit and the par value from Common stock by an aggregate of $38.3 million based on the fair value of the shares delivered on the date of settlement, with an offset of $38.3 million within Additional paid-in capital during the thirteen weeks ended June 30,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funded the payment under the ASR Agreement, together with the cash portion of the amounts payable under the Exchange Agreements, primarily with borrowings under the revolving credit facility and net proceeds from the Early Termination Agreements.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As of June 30, 2024, $115.0 million</w:t>
      </w:r>
      <w:r>
        <w:rPr>
          <w:color w:val="000000"/>
        </w:rPr>
        <w:t xml:space="preserve"> </w:t>
      </w:r>
      <w:r>
        <w:rPr>
          <w:rFonts w:ascii="Times New Roman;sans-serif" w:hAnsi="Times New Roman;sans-serif"/>
          <w:b w:val="false"/>
          <w:color w:val="000000"/>
          <w:sz w:val="22"/>
        </w:rPr>
        <w:t>remained available for repurchase under the 2024 Share Repurchase Program. Following is a summary of the shares repurchased during fiscal year 2024:</w:t>
      </w:r>
    </w:p>
    <w:tbl>
      <w:tblPr>
        <w:tblW w:w="10049" w:type="dxa"/>
        <w:jc w:val="left"/>
        <w:tblInd w:w="0" w:type="dxa"/>
        <w:tblLayout w:type="fixed"/>
        <w:tblCellMar>
          <w:top w:w="28" w:type="dxa"/>
          <w:left w:w="28" w:type="dxa"/>
          <w:bottom w:w="28" w:type="dxa"/>
          <w:right w:w="28" w:type="dxa"/>
        </w:tblCellMar>
      </w:tblPr>
      <w:tblGrid>
        <w:gridCol w:w="1011"/>
        <w:gridCol w:w="888"/>
        <w:gridCol w:w="891"/>
        <w:gridCol w:w="619"/>
        <w:gridCol w:w="619"/>
        <w:gridCol w:w="621"/>
        <w:gridCol w:w="109"/>
        <w:gridCol w:w="109"/>
        <w:gridCol w:w="109"/>
        <w:gridCol w:w="831"/>
        <w:gridCol w:w="2362"/>
        <w:gridCol w:w="467"/>
        <w:gridCol w:w="109"/>
        <w:gridCol w:w="109"/>
        <w:gridCol w:w="109"/>
        <w:gridCol w:w="196"/>
        <w:gridCol w:w="736"/>
        <w:gridCol w:w="154"/>
      </w:tblGrid>
      <w:tr>
        <w:trPr/>
        <w:tc>
          <w:tcPr>
            <w:tcW w:w="10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NUMBER OF 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REPURCHASE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First fiscal quarter</w:t>
            </w:r>
          </w:p>
        </w:tc>
        <w:tc>
          <w:tcPr>
            <w:tcW w:w="123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6,948 </w:t>
            </w:r>
          </w:p>
        </w:tc>
        <w:tc>
          <w:tcPr>
            <w:tcW w:w="62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36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27.13 </w:t>
            </w:r>
          </w:p>
        </w:tc>
        <w:tc>
          <w:tcPr>
            <w:tcW w:w="46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188,500 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Second fiscal quarter (1)</w:t>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2,156 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3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27.36 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common stock repurchases (2)</w:t>
            </w:r>
          </w:p>
        </w:tc>
        <w:tc>
          <w:tcPr>
            <w:tcW w:w="1238"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9,104 </w:t>
            </w:r>
          </w:p>
        </w:tc>
        <w:tc>
          <w:tcPr>
            <w:tcW w:w="6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3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27.18 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247,500 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(1)Includes $44.0 million of share repurchases in connection with the ASR Agreement that settled during the thirteen weeks ended June 30, 2024.</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(2)Excludes $0.4 million of fees recorded in Accumulated deficit related to repurchases under the ASR Agreement. Subsequent to June 30, 2024, the Company repurchased 823 thousand shares of its common stock for $15.6 million under the 2024 Share Repurchase Program through August 2, 2024 under a Rule 10b5-1 plan.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0aee04ce58ba4067b6daada9a9c52dcb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 Continued</w:t>
      </w:r>
    </w:p>
    <w:p>
      <w:pPr>
        <w:pStyle w:val="TextBody"/>
        <w:bidi w:val="0"/>
        <w:spacing w:lineRule="auto" w:line="288" w:before="0" w:after="0"/>
        <w:jc w:val="both"/>
        <w:rPr/>
      </w:pPr>
      <w:r>
        <w:rPr>
          <w:rFonts w:ascii="Times New Roman;sans-serif" w:hAnsi="Times New Roman;sans-serif"/>
          <w:b w:val="false"/>
          <w:i/>
          <w:color w:val="000000"/>
          <w:sz w:val="22"/>
        </w:rPr>
        <w:t>Dividends</w:t>
      </w:r>
      <w:r>
        <w:rPr>
          <w:color w:val="000000"/>
        </w:rPr>
        <w:t xml:space="preserve"> </w:t>
      </w:r>
      <w:r>
        <w:rPr>
          <w:rFonts w:ascii="Times New Roman;sans-serif" w:hAnsi="Times New Roman;sans-serif"/>
          <w:b w:val="false"/>
          <w:color w:val="000000"/>
          <w:sz w:val="22"/>
        </w:rPr>
        <w:t>- The Company declared and paid dividends per share during fiscal year 2024 as follows:</w:t>
      </w:r>
    </w:p>
    <w:tbl>
      <w:tblPr>
        <w:tblW w:w="7098" w:type="dxa"/>
        <w:jc w:val="center"/>
        <w:tblInd w:w="0" w:type="dxa"/>
        <w:tblLayout w:type="fixed"/>
        <w:tblCellMar>
          <w:top w:w="28" w:type="dxa"/>
          <w:left w:w="28" w:type="dxa"/>
          <w:bottom w:w="28" w:type="dxa"/>
          <w:right w:w="28" w:type="dxa"/>
        </w:tblCellMar>
      </w:tblPr>
      <w:tblGrid>
        <w:gridCol w:w="1206"/>
        <w:gridCol w:w="1060"/>
        <w:gridCol w:w="1063"/>
        <w:gridCol w:w="109"/>
        <w:gridCol w:w="109"/>
        <w:gridCol w:w="510"/>
        <w:gridCol w:w="1215"/>
        <w:gridCol w:w="285"/>
        <w:gridCol w:w="109"/>
        <w:gridCol w:w="109"/>
        <w:gridCol w:w="109"/>
        <w:gridCol w:w="109"/>
        <w:gridCol w:w="109"/>
        <w:gridCol w:w="196"/>
        <w:gridCol w:w="646"/>
        <w:gridCol w:w="154"/>
      </w:tblGrid>
      <w:tr>
        <w:trPr/>
        <w:tc>
          <w:tcPr>
            <w:tcW w:w="120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1541" w:type="dxa"/>
            <w:gridSpan w:val="8"/>
            <w:tcBorders/>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1541" w:type="dxa"/>
            <w:gridSpan w:val="8"/>
            <w:tcBorders/>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 except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DIVIDENDS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First fiscal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0.24 </w:t>
            </w:r>
          </w:p>
        </w:tc>
        <w:tc>
          <w:tcPr>
            <w:tcW w:w="28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21,075 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Second fiscal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0.24 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dividends declared and 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0.48 </w:t>
            </w:r>
          </w:p>
        </w:tc>
        <w:tc>
          <w:tcPr>
            <w:tcW w:w="28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41,837 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July 2024, the Board declared a quarterly cash dividend of $0.24 per share, payable on September 4, 2024 to shareholders of record at the close of business on August 20, 2024.</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Accumulated Other Comprehensive Loss (“AOCL”) -</w:t>
      </w:r>
      <w:r>
        <w:rPr>
          <w:color w:val="000000"/>
        </w:rPr>
        <w:t xml:space="preserve"> </w:t>
      </w:r>
      <w:r>
        <w:rPr>
          <w:rFonts w:ascii="Times New Roman;sans-serif" w:hAnsi="Times New Roman;sans-serif"/>
          <w:b w:val="false"/>
          <w:color w:val="000000"/>
          <w:sz w:val="22"/>
        </w:rPr>
        <w:t>Following are the components of AOCL as of the periods indicated:</w:t>
      </w:r>
    </w:p>
    <w:tbl>
      <w:tblPr>
        <w:tblW w:w="6759" w:type="dxa"/>
        <w:jc w:val="left"/>
        <w:tblInd w:w="0" w:type="dxa"/>
        <w:tblLayout w:type="fixed"/>
        <w:tblCellMar>
          <w:top w:w="28" w:type="dxa"/>
          <w:left w:w="28" w:type="dxa"/>
          <w:bottom w:w="28" w:type="dxa"/>
          <w:right w:w="28" w:type="dxa"/>
        </w:tblCellMar>
      </w:tblPr>
      <w:tblGrid>
        <w:gridCol w:w="1252"/>
        <w:gridCol w:w="1104"/>
        <w:gridCol w:w="1108"/>
        <w:gridCol w:w="213"/>
        <w:gridCol w:w="883"/>
        <w:gridCol w:w="118"/>
        <w:gridCol w:w="109"/>
        <w:gridCol w:w="109"/>
        <w:gridCol w:w="109"/>
        <w:gridCol w:w="296"/>
        <w:gridCol w:w="1226"/>
        <w:gridCol w:w="232"/>
      </w:tblGrid>
      <w:tr>
        <w:trPr/>
        <w:tc>
          <w:tcPr>
            <w:tcW w:w="1252"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w:t>
            </w:r>
          </w:p>
        </w:tc>
        <w:tc>
          <w:tcPr>
            <w:tcW w:w="21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(189,478)</w:t>
            </w:r>
          </w:p>
        </w:tc>
        <w:tc>
          <w:tcPr>
            <w:tcW w:w="11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(177,689)</w:t>
            </w:r>
          </w:p>
        </w:tc>
        <w:tc>
          <w:tcPr>
            <w:tcW w:w="23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(loss) on derivatives, net of tax</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21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(188,606)</w:t>
            </w:r>
          </w:p>
        </w:tc>
        <w:tc>
          <w:tcPr>
            <w:tcW w:w="11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(178,304)</w:t>
            </w:r>
          </w:p>
        </w:tc>
        <w:tc>
          <w:tcPr>
            <w:tcW w:w="23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bookmarkStart w:id="11" w:name="id0129c243f514b069642251bf9b8977a_2486"/>
      <w:bookmarkEnd w:id="11"/>
      <w:r>
        <w:rPr>
          <w:rFonts w:ascii="Times New Roman;sans-serif" w:hAnsi="Times New Roman;sans-serif"/>
          <w:b w:val="false"/>
          <w:color w:val="000000"/>
          <w:sz w:val="22"/>
        </w:rPr>
        <w:t>Following are the components of Other comprehensive (loss) income attributable to Bloomin’ Brands for the periods indicated:</w:t>
      </w:r>
    </w:p>
    <w:tbl>
      <w:tblPr>
        <w:tblW w:w="10205" w:type="dxa"/>
        <w:jc w:val="center"/>
        <w:tblInd w:w="0" w:type="dxa"/>
        <w:tblLayout w:type="fixed"/>
        <w:tblCellMar>
          <w:top w:w="28" w:type="dxa"/>
          <w:left w:w="28" w:type="dxa"/>
          <w:bottom w:w="28" w:type="dxa"/>
          <w:right w:w="28" w:type="dxa"/>
        </w:tblCellMar>
      </w:tblPr>
      <w:tblGrid>
        <w:gridCol w:w="1640"/>
        <w:gridCol w:w="1402"/>
        <w:gridCol w:w="1407"/>
        <w:gridCol w:w="246"/>
        <w:gridCol w:w="789"/>
        <w:gridCol w:w="136"/>
        <w:gridCol w:w="112"/>
        <w:gridCol w:w="112"/>
        <w:gridCol w:w="112"/>
        <w:gridCol w:w="265"/>
        <w:gridCol w:w="756"/>
        <w:gridCol w:w="147"/>
        <w:gridCol w:w="109"/>
        <w:gridCol w:w="109"/>
        <w:gridCol w:w="109"/>
        <w:gridCol w:w="227"/>
        <w:gridCol w:w="830"/>
        <w:gridCol w:w="125"/>
        <w:gridCol w:w="116"/>
        <w:gridCol w:w="116"/>
        <w:gridCol w:w="116"/>
        <w:gridCol w:w="262"/>
        <w:gridCol w:w="746"/>
        <w:gridCol w:w="216"/>
      </w:tblGrid>
      <w:tr>
        <w:trPr/>
        <w:tc>
          <w:tcPr>
            <w:tcW w:w="1640"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r>
      <w:tr>
        <w:trPr/>
        <w:tc>
          <w:tcPr>
            <w:tcW w:w="4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17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4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r>
      <w:tr>
        <w:trPr/>
        <w:tc>
          <w:tcPr>
            <w:tcW w:w="4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w:t>
            </w:r>
          </w:p>
        </w:tc>
        <w:tc>
          <w:tcPr>
            <w:tcW w:w="24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(9,858)</w:t>
            </w:r>
          </w:p>
        </w:tc>
        <w:tc>
          <w:tcPr>
            <w:tcW w:w="13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4,502 </w:t>
            </w:r>
          </w:p>
        </w:tc>
        <w:tc>
          <w:tcPr>
            <w:tcW w:w="14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(11,789)</w:t>
            </w:r>
          </w:p>
        </w:tc>
        <w:tc>
          <w:tcPr>
            <w:tcW w:w="12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3,368 </w:t>
            </w:r>
          </w:p>
        </w:tc>
        <w:tc>
          <w:tcPr>
            <w:tcW w:w="21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derivatives, net of tax</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realized in Net income (loss), net of tax</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9"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derivatives, net of tax</w:t>
            </w:r>
          </w:p>
        </w:tc>
        <w:tc>
          <w:tcPr>
            <w:tcW w:w="1035"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330 </w:t>
            </w:r>
          </w:p>
        </w:tc>
        <w:tc>
          <w:tcPr>
            <w:tcW w:w="13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1,487 </w:t>
            </w:r>
          </w:p>
        </w:tc>
        <w:tc>
          <w:tcPr>
            <w:tcW w:w="12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9"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income attributable to Bloomin’ Brands</w:t>
            </w:r>
          </w:p>
        </w:tc>
        <w:tc>
          <w:tcPr>
            <w:tcW w:w="24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(9,528)</w:t>
            </w:r>
          </w:p>
        </w:tc>
        <w:tc>
          <w:tcPr>
            <w:tcW w:w="13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4,502 </w:t>
            </w:r>
          </w:p>
        </w:tc>
        <w:tc>
          <w:tcPr>
            <w:tcW w:w="14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(10,302)</w:t>
            </w:r>
          </w:p>
        </w:tc>
        <w:tc>
          <w:tcPr>
            <w:tcW w:w="12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3,368 </w:t>
            </w:r>
          </w:p>
        </w:tc>
        <w:tc>
          <w:tcPr>
            <w:tcW w:w="21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449"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449"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449"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449"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449"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449"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449"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449"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449"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449"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449"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449"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449"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449"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449"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449"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449"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12.    </w:t>
      </w:r>
      <w:bookmarkStart w:id="12" w:name="i8704f8b3015a4fc8bafb8a6124a0a05b_2762"/>
      <w:bookmarkEnd w:id="12"/>
      <w:r>
        <w:rPr>
          <w:rFonts w:ascii="Times New Roman;sans-serif" w:hAnsi="Times New Roman;sans-serif"/>
          <w:b w:val="false"/>
          <w:color w:val="000000"/>
          <w:sz w:val="22"/>
        </w:rPr>
        <w:t xml:space="preserve">Derivative Instruments and Hedging Activities </w:t>
      </w:r>
    </w:p>
    <w:p>
      <w:pPr>
        <w:pStyle w:val="TextBody"/>
        <w:bidi w:val="0"/>
        <w:spacing w:before="0" w:after="0"/>
        <w:jc w:val="both"/>
        <w:rPr/>
      </w:pPr>
      <w:r>
        <w:rPr/>
      </w:r>
    </w:p>
    <w:p>
      <w:pPr>
        <w:pStyle w:val="TextBody"/>
        <w:bidi w:val="0"/>
        <w:spacing w:lineRule="auto" w:line="288" w:before="0" w:after="0"/>
        <w:jc w:val="both"/>
        <w:rPr/>
      </w:pPr>
      <w:bookmarkStart w:id="13" w:name="i8704f8b3015a4fc8bafb8a6124a0a05b_2752"/>
      <w:bookmarkEnd w:id="13"/>
      <w:r>
        <w:rPr>
          <w:rFonts w:ascii="Times New Roman;sans-serif" w:hAnsi="Times New Roman;sans-serif"/>
          <w:b w:val="false"/>
          <w:i/>
          <w:color w:val="000000"/>
          <w:sz w:val="22"/>
        </w:rPr>
        <w:t xml:space="preserve">Cash Flow Hedges of Interest Rate Risk - </w:t>
      </w:r>
      <w:r>
        <w:rPr>
          <w:rFonts w:ascii="Times New Roman;sans-serif" w:hAnsi="Times New Roman;sans-serif"/>
          <w:b w:val="false"/>
          <w:color w:val="000000"/>
          <w:sz w:val="22"/>
        </w:rPr>
        <w:t>In March 2024 and December 2023, OSI entered into 11 interest rate swap agreements with ten counterparties (the “Swap Transactions”) to manage its exposure to fluctuations in variable interest rates. The Swap Transactions have an aggregate notional amount of $375.0 million and include one and two-year tenors with the following terms:</w:t>
      </w:r>
    </w:p>
    <w:tbl>
      <w:tblPr>
        <w:tblW w:w="10205" w:type="dxa"/>
        <w:jc w:val="center"/>
        <w:tblInd w:w="0" w:type="dxa"/>
        <w:tblLayout w:type="fixed"/>
        <w:tblCellMar>
          <w:top w:w="28" w:type="dxa"/>
          <w:left w:w="28" w:type="dxa"/>
          <w:bottom w:w="28" w:type="dxa"/>
          <w:right w:w="28" w:type="dxa"/>
        </w:tblCellMar>
      </w:tblPr>
      <w:tblGrid>
        <w:gridCol w:w="278"/>
        <w:gridCol w:w="1389"/>
        <w:gridCol w:w="143"/>
        <w:gridCol w:w="109"/>
        <w:gridCol w:w="109"/>
        <w:gridCol w:w="109"/>
        <w:gridCol w:w="1347"/>
        <w:gridCol w:w="1347"/>
        <w:gridCol w:w="1350"/>
        <w:gridCol w:w="109"/>
        <w:gridCol w:w="109"/>
        <w:gridCol w:w="109"/>
        <w:gridCol w:w="507"/>
        <w:gridCol w:w="507"/>
        <w:gridCol w:w="509"/>
        <w:gridCol w:w="109"/>
        <w:gridCol w:w="109"/>
        <w:gridCol w:w="109"/>
        <w:gridCol w:w="538"/>
        <w:gridCol w:w="538"/>
        <w:gridCol w:w="771"/>
      </w:tblGrid>
      <w:tr>
        <w:trPr/>
        <w:tc>
          <w:tcPr>
            <w:tcW w:w="278"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1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FIXED INTEREST RATE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TERMINATION DATE</w:t>
            </w:r>
          </w:p>
        </w:tc>
      </w:tr>
      <w:tr>
        <w:trPr/>
        <w:tc>
          <w:tcPr>
            <w:tcW w:w="27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100,000,000 </w:t>
            </w:r>
          </w:p>
        </w:tc>
        <w:tc>
          <w:tcPr>
            <w:tcW w:w="14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4"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29,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 2024</w:t>
            </w:r>
          </w:p>
        </w:tc>
      </w:tr>
      <w:tr>
        <w:trPr/>
        <w:tc>
          <w:tcPr>
            <w:tcW w:w="1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100,000,000 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29,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 2025</w:t>
            </w:r>
          </w:p>
        </w:tc>
      </w:tr>
      <w:tr>
        <w:trPr/>
        <w:tc>
          <w:tcPr>
            <w:tcW w:w="1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175,000,000 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29,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2026</w:t>
            </w:r>
          </w:p>
        </w:tc>
      </w:tr>
      <w:tr>
        <w:trPr/>
        <w:tc>
          <w:tcPr>
            <w:tcW w:w="27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375,000,000 </w:t>
            </w:r>
          </w:p>
        </w:tc>
        <w:tc>
          <w:tcPr>
            <w:tcW w:w="14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4" w:type="dxa"/>
            <w:gridSpan w:val="3"/>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(1)The weighted average fixed interest rate excludes the term SOFR adjustment and interest rate spread described below.</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connection with the Swap Transactions, the Company effectively converted $375.0 million of its outstanding indebtedness from the Secured Overnight Financing Rate (“SOFR”), plus a term SOFR adjustment of 0.10% and a spread of 150 to 250 basis points, to the weighted average fixed interest rates within the table above, plus a term SOFR adjustment of 0.10% and a spread of 150 to 250 basis points. The Swap Transactions have an embedded floor of minus 0.10%.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0aee04ce58ba4067b6daada9a9c52dcb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 Continued</w:t>
      </w:r>
    </w:p>
    <w:p>
      <w:pPr>
        <w:pStyle w:val="TextBody"/>
        <w:bidi w:val="0"/>
        <w:spacing w:lineRule="auto" w:line="288" w:before="0" w:after="0"/>
        <w:jc w:val="both"/>
        <w:rPr/>
      </w:pPr>
      <w:r>
        <w:rPr>
          <w:rFonts w:ascii="Times New Roman;sans-serif" w:hAnsi="Times New Roman;sans-serif"/>
          <w:b w:val="false"/>
          <w:color w:val="000000"/>
          <w:sz w:val="22"/>
        </w:rPr>
        <w:t>The Swap Transactions have been designated and qualify as cash flow hedges, are recognized on the Company’s Consolidated Balance Sheets at fair value and are classified based on the instruments’</w:t>
      </w:r>
      <w:r>
        <w:rPr>
          <w:color w:val="000000"/>
        </w:rPr>
        <w:t xml:space="preserve"> </w:t>
      </w:r>
      <w:r>
        <w:rPr>
          <w:rFonts w:ascii="Times New Roman;sans-serif" w:hAnsi="Times New Roman;sans-serif"/>
          <w:b w:val="false"/>
          <w:color w:val="000000"/>
          <w:sz w:val="22"/>
        </w:rPr>
        <w:t>maturity dates. The Company estimates $1.6 million of interest income will be reclassified to Interest expense, net over the next 12 months related to the Company’s Swap Transactions.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presents the fair value and classification of the Company’s swap agreements as of the periods indicated:</w:t>
      </w:r>
    </w:p>
    <w:tbl>
      <w:tblPr>
        <w:tblW w:w="10205" w:type="dxa"/>
        <w:jc w:val="center"/>
        <w:tblInd w:w="0" w:type="dxa"/>
        <w:tblLayout w:type="fixed"/>
        <w:tblCellMar>
          <w:top w:w="28" w:type="dxa"/>
          <w:left w:w="28" w:type="dxa"/>
          <w:bottom w:w="28" w:type="dxa"/>
          <w:right w:w="28" w:type="dxa"/>
        </w:tblCellMar>
      </w:tblPr>
      <w:tblGrid>
        <w:gridCol w:w="1187"/>
        <w:gridCol w:w="1023"/>
        <w:gridCol w:w="1026"/>
        <w:gridCol w:w="255"/>
        <w:gridCol w:w="726"/>
        <w:gridCol w:w="141"/>
        <w:gridCol w:w="109"/>
        <w:gridCol w:w="109"/>
        <w:gridCol w:w="109"/>
        <w:gridCol w:w="349"/>
        <w:gridCol w:w="993"/>
        <w:gridCol w:w="196"/>
        <w:gridCol w:w="109"/>
        <w:gridCol w:w="109"/>
        <w:gridCol w:w="109"/>
        <w:gridCol w:w="1068"/>
        <w:gridCol w:w="1068"/>
        <w:gridCol w:w="1519"/>
      </w:tblGrid>
      <w:tr>
        <w:trPr/>
        <w:tc>
          <w:tcPr>
            <w:tcW w:w="1187"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32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 BALANCE SHEET CLASSIFICATION</w:t>
            </w:r>
          </w:p>
        </w:tc>
      </w:tr>
      <w:tr>
        <w:trPr/>
        <w:tc>
          <w:tcPr>
            <w:tcW w:w="3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 - asset (1)</w:t>
            </w:r>
          </w:p>
        </w:tc>
        <w:tc>
          <w:tcPr>
            <w:tcW w:w="25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1,591 </w:t>
            </w:r>
          </w:p>
        </w:tc>
        <w:tc>
          <w:tcPr>
            <w:tcW w:w="14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320 </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5"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 net</w:t>
            </w:r>
          </w:p>
        </w:tc>
      </w:tr>
      <w:tr>
        <w:trPr/>
        <w:tc>
          <w:tcPr>
            <w:tcW w:w="3236"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55" w:type="dxa"/>
            <w:gridSpan w:val="3"/>
            <w:tcBorders/>
            <w:vAlign w:val="center"/>
          </w:tcPr>
          <w:p>
            <w:pPr>
              <w:pStyle w:val="TableContents"/>
              <w:bidi w:val="0"/>
              <w:spacing w:before="0" w:after="283"/>
              <w:jc w:val="left"/>
              <w:rPr>
                <w:sz w:val="4"/>
                <w:szCs w:val="4"/>
              </w:rPr>
            </w:pPr>
            <w:r>
              <w:rPr>
                <w:sz w:val="4"/>
                <w:szCs w:val="4"/>
              </w:rPr>
            </w:r>
          </w:p>
        </w:tc>
      </w:tr>
      <w:tr>
        <w:trPr/>
        <w:tc>
          <w:tcPr>
            <w:tcW w:w="3236"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55" w:type="dxa"/>
            <w:gridSpan w:val="3"/>
            <w:tcBorders/>
            <w:vAlign w:val="center"/>
          </w:tcPr>
          <w:p>
            <w:pPr>
              <w:pStyle w:val="TableContents"/>
              <w:bidi w:val="0"/>
              <w:spacing w:before="0" w:after="283"/>
              <w:jc w:val="left"/>
              <w:rPr>
                <w:sz w:val="4"/>
                <w:szCs w:val="4"/>
              </w:rPr>
            </w:pPr>
            <w:r>
              <w:rPr>
                <w:sz w:val="4"/>
                <w:szCs w:val="4"/>
              </w:rPr>
            </w:r>
          </w:p>
        </w:tc>
      </w:tr>
      <w:tr>
        <w:trPr/>
        <w:tc>
          <w:tcPr>
            <w:tcW w:w="3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 - liability</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and other current liabilities</w:t>
            </w:r>
          </w:p>
        </w:tc>
      </w:tr>
      <w:tr>
        <w:trPr/>
        <w:tc>
          <w:tcPr>
            <w:tcW w:w="3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 - liability</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 net</w:t>
            </w:r>
          </w:p>
        </w:tc>
      </w:tr>
      <w:tr>
        <w:trPr/>
        <w:tc>
          <w:tcPr>
            <w:tcW w:w="3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fair value of derivative instruments - liabilities (1)</w:t>
            </w:r>
          </w:p>
        </w:tc>
        <w:tc>
          <w:tcPr>
            <w:tcW w:w="25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420 </w:t>
            </w:r>
          </w:p>
        </w:tc>
        <w:tc>
          <w:tcPr>
            <w:tcW w:w="14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1,146 </w:t>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6"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5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____________________</w:t>
      </w:r>
    </w:p>
    <w:p>
      <w:pPr>
        <w:pStyle w:val="TextBody"/>
        <w:bidi w:val="0"/>
        <w:spacing w:lineRule="auto" w:line="288" w:before="0" w:after="0"/>
        <w:jc w:val="both"/>
        <w:rPr/>
      </w:pPr>
      <w:r>
        <w:rPr>
          <w:rFonts w:ascii="Times New Roman;sans-serif" w:hAnsi="Times New Roman;sans-serif"/>
          <w:b w:val="false"/>
          <w:color w:val="000000"/>
          <w:sz w:val="18"/>
        </w:rPr>
        <w:t xml:space="preserve">(1)    See Note 14 - </w:t>
      </w:r>
      <w:r>
        <w:rPr>
          <w:rFonts w:ascii="Times New Roman;sans-serif" w:hAnsi="Times New Roman;sans-serif"/>
          <w:b w:val="false"/>
          <w:i/>
          <w:color w:val="000000"/>
          <w:sz w:val="18"/>
        </w:rPr>
        <w:t>Fair Value Measurements</w:t>
      </w:r>
      <w:r>
        <w:rPr>
          <w:color w:val="000000"/>
        </w:rPr>
        <w:t xml:space="preserve"> </w:t>
      </w:r>
      <w:r>
        <w:rPr>
          <w:rFonts w:ascii="Times New Roman;sans-serif" w:hAnsi="Times New Roman;sans-serif"/>
          <w:b w:val="false"/>
          <w:color w:val="000000"/>
          <w:sz w:val="18"/>
        </w:rPr>
        <w:t>for fair value discussion of the interest rate swaps.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By utilizing the interest rate swaps, the Company is exposed to credit-related losses in the event that the counterparty fails to perform under the terms of the derivative contract. To mitigate this risk, the Company enters into derivative contracts with major financial institutions based upon credit ratings and other factors. The Company continually assesses the creditworthiness of its counterparties. As of June 30, 2024, all counterparties to the Swap Transactions performed in accordance with their contractual obligations.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Swap Transactions contain provisions whereby the Company could be declared in default on its derivative obligations if the repayment of the underlying indebtedness is accelerated by the lender due to the Company’s default on indebtedness.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bookmarkStart w:id="14" w:name="i8704f8b3015a4fc8bafb8a6124a0a05b_2760"/>
      <w:bookmarkEnd w:id="14"/>
      <w:r>
        <w:rPr>
          <w:rFonts w:ascii="Times New Roman;sans-serif" w:hAnsi="Times New Roman;sans-serif"/>
          <w:b w:val="false"/>
          <w:color w:val="000000"/>
          <w:sz w:val="22"/>
        </w:rPr>
        <w:t>As of December 31, 2023, the fair value of the Swap Transactions was in a net liability position, including accrued interest but excluding any adjustment for nonperformance risk, of $0.8 million. As of December 31, 2023, the Company has not posted any collateral related to the Swap Transactions. If the Company had breached any of these provisions as of December 31, 2023, it could have been required to settle its obligations under the Swap Transactions at their termination value of $0.8 million.</w:t>
      </w:r>
    </w:p>
    <w:p>
      <w:pPr>
        <w:pStyle w:val="TextBody"/>
        <w:bidi w:val="0"/>
        <w:spacing w:before="0" w:after="0"/>
        <w:ind w:left="0" w:right="0" w:hanging="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13.    Leases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includes a detail of lease assets and liabilities included on the Company’s Consolidated Balance Sheets as of the periods indicated:</w:t>
      </w:r>
    </w:p>
    <w:tbl>
      <w:tblPr>
        <w:tblW w:w="10205" w:type="dxa"/>
        <w:jc w:val="center"/>
        <w:tblInd w:w="0" w:type="dxa"/>
        <w:tblLayout w:type="fixed"/>
        <w:tblCellMar>
          <w:top w:w="28" w:type="dxa"/>
          <w:left w:w="28" w:type="dxa"/>
          <w:bottom w:w="28" w:type="dxa"/>
          <w:right w:w="28" w:type="dxa"/>
        </w:tblCellMar>
      </w:tblPr>
      <w:tblGrid>
        <w:gridCol w:w="944"/>
        <w:gridCol w:w="820"/>
        <w:gridCol w:w="823"/>
        <w:gridCol w:w="1348"/>
        <w:gridCol w:w="1348"/>
        <w:gridCol w:w="1351"/>
        <w:gridCol w:w="109"/>
        <w:gridCol w:w="109"/>
        <w:gridCol w:w="109"/>
        <w:gridCol w:w="201"/>
        <w:gridCol w:w="897"/>
        <w:gridCol w:w="111"/>
        <w:gridCol w:w="109"/>
        <w:gridCol w:w="109"/>
        <w:gridCol w:w="109"/>
        <w:gridCol w:w="272"/>
        <w:gridCol w:w="1215"/>
        <w:gridCol w:w="221"/>
      </w:tblGrid>
      <w:tr>
        <w:trPr/>
        <w:tc>
          <w:tcPr>
            <w:tcW w:w="944"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5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40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 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4047"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1,074,261 </w:t>
            </w:r>
          </w:p>
        </w:tc>
        <w:tc>
          <w:tcPr>
            <w:tcW w:w="11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1,084,951 </w:t>
            </w:r>
          </w:p>
        </w:tc>
        <w:tc>
          <w:tcPr>
            <w:tcW w:w="22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right-of-use assets (1)</w:t>
            </w:r>
          </w:p>
        </w:tc>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fixtures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9,941 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lease assets, net</w:t>
            </w:r>
          </w:p>
        </w:tc>
        <w:tc>
          <w:tcPr>
            <w:tcW w:w="4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1,082,599 </w:t>
            </w:r>
          </w:p>
        </w:tc>
        <w:tc>
          <w:tcPr>
            <w:tcW w:w="11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1,094,892 </w:t>
            </w:r>
          </w:p>
        </w:tc>
        <w:tc>
          <w:tcPr>
            <w:tcW w:w="22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operating lease liabilities</w:t>
            </w:r>
          </w:p>
        </w:tc>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169,397 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175,442 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finance lease liabilities</w:t>
            </w:r>
          </w:p>
        </w:tc>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operating lease liabilities</w:t>
            </w:r>
          </w:p>
        </w:tc>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1,134,464 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1,131,639 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finance lease liabilities</w:t>
            </w:r>
          </w:p>
        </w:tc>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lease liabilities</w:t>
            </w:r>
          </w:p>
        </w:tc>
        <w:tc>
          <w:tcPr>
            <w:tcW w:w="4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1,313,023 </w:t>
            </w:r>
          </w:p>
        </w:tc>
        <w:tc>
          <w:tcPr>
            <w:tcW w:w="1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1,317,692 </w:t>
            </w:r>
          </w:p>
        </w:tc>
        <w:tc>
          <w:tcPr>
            <w:tcW w:w="2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(1)Net of accumulated amortization of $6.1 million and $4.7 million as of June 30, 2024 and December 31,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4605" cy="14605"/>
                <wp:effectExtent l="0" t="0" r="0" b="0"/>
                <wp:wrapNone/>
                <wp:docPr id="19" name="Frame18"/>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0aee04ce58ba4067b6daada9a9c52dcb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 Continued</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Following is a summary of expenses and income related to leases recognized in the Company’s Consolidated Statements of Operations and Comprehensive Income (Loss) for the periods indicated:</w:t>
      </w:r>
    </w:p>
    <w:tbl>
      <w:tblPr>
        <w:tblW w:w="10205" w:type="dxa"/>
        <w:jc w:val="center"/>
        <w:tblInd w:w="0" w:type="dxa"/>
        <w:tblLayout w:type="fixed"/>
        <w:tblCellMar>
          <w:top w:w="28" w:type="dxa"/>
          <w:left w:w="28" w:type="dxa"/>
          <w:bottom w:w="28" w:type="dxa"/>
          <w:right w:w="28" w:type="dxa"/>
        </w:tblCellMar>
      </w:tblPr>
      <w:tblGrid>
        <w:gridCol w:w="586"/>
        <w:gridCol w:w="379"/>
        <w:gridCol w:w="380"/>
        <w:gridCol w:w="1139"/>
        <w:gridCol w:w="1139"/>
        <w:gridCol w:w="1142"/>
        <w:gridCol w:w="109"/>
        <w:gridCol w:w="109"/>
        <w:gridCol w:w="109"/>
        <w:gridCol w:w="209"/>
        <w:gridCol w:w="692"/>
        <w:gridCol w:w="116"/>
        <w:gridCol w:w="109"/>
        <w:gridCol w:w="109"/>
        <w:gridCol w:w="109"/>
        <w:gridCol w:w="209"/>
        <w:gridCol w:w="692"/>
        <w:gridCol w:w="116"/>
        <w:gridCol w:w="109"/>
        <w:gridCol w:w="109"/>
        <w:gridCol w:w="109"/>
        <w:gridCol w:w="209"/>
        <w:gridCol w:w="692"/>
        <w:gridCol w:w="116"/>
        <w:gridCol w:w="111"/>
        <w:gridCol w:w="111"/>
        <w:gridCol w:w="111"/>
        <w:gridCol w:w="209"/>
        <w:gridCol w:w="690"/>
        <w:gridCol w:w="176"/>
      </w:tblGrid>
      <w:tr>
        <w:trPr/>
        <w:tc>
          <w:tcPr>
            <w:tcW w:w="58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 STATEMENTS OF OPERATIONS AND COMPREHENSIVE INCOME (LOSS)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r>
      <w:tr>
        <w:trPr/>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42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3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r>
      <w:tr>
        <w:trPr/>
        <w:tc>
          <w:tcPr>
            <w:tcW w:w="1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cost (1)</w:t>
            </w:r>
          </w:p>
        </w:tc>
        <w:tc>
          <w:tcPr>
            <w:tcW w:w="3420"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restaurant operating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45,131 </w:t>
            </w:r>
          </w:p>
        </w:tc>
        <w:tc>
          <w:tcPr>
            <w:tcW w:w="11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46,237 </w:t>
            </w:r>
          </w:p>
        </w:tc>
        <w:tc>
          <w:tcPr>
            <w:tcW w:w="11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90,935 </w:t>
            </w:r>
          </w:p>
        </w:tc>
        <w:tc>
          <w:tcPr>
            <w:tcW w:w="11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91,984 </w:t>
            </w:r>
          </w:p>
        </w:tc>
        <w:tc>
          <w:tcPr>
            <w:tcW w:w="17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Variable lease cost</w:t>
            </w:r>
          </w:p>
        </w:tc>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restaurant 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costs:</w:t>
            </w:r>
          </w:p>
        </w:tc>
        <w:tc>
          <w:tcPr>
            <w:tcW w:w="3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leased assets</w:t>
            </w:r>
          </w:p>
        </w:tc>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on lease liabilities</w:t>
            </w:r>
          </w:p>
        </w:tc>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Sublease revenue</w:t>
            </w:r>
          </w:p>
        </w:tc>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 and 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costs, net</w:t>
            </w:r>
          </w:p>
        </w:tc>
        <w:tc>
          <w:tcPr>
            <w:tcW w:w="3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46,475 </w:t>
            </w:r>
          </w:p>
        </w:tc>
        <w:tc>
          <w:tcPr>
            <w:tcW w:w="11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46,954 </w:t>
            </w:r>
          </w:p>
        </w:tc>
        <w:tc>
          <w:tcPr>
            <w:tcW w:w="11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94,081 </w:t>
            </w:r>
          </w:p>
        </w:tc>
        <w:tc>
          <w:tcPr>
            <w:tcW w:w="11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93,341 </w:t>
            </w:r>
          </w:p>
        </w:tc>
        <w:tc>
          <w:tcPr>
            <w:tcW w:w="17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(1)Excludes rent expense for office facilities and Company-owned closed or subleased properties of $3.7 million and $3.0 million for the thirteen weeks ended June 30, 2024 and June 25, 2023, respectively, and $7.2 million and $6.0 million for the twenty-six weeks ended June 30, 2024 and June 25, 2023, respectively, which is included in General and administrative expense.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is a summary of cash flow impacts to the Company’s Consolidated Financial Statements related to its leases for the periods indicated:</w:t>
      </w:r>
    </w:p>
    <w:tbl>
      <w:tblPr>
        <w:tblW w:w="8570" w:type="dxa"/>
        <w:jc w:val="center"/>
        <w:tblInd w:w="0" w:type="dxa"/>
        <w:tblLayout w:type="fixed"/>
        <w:tblCellMar>
          <w:top w:w="28" w:type="dxa"/>
          <w:left w:w="28" w:type="dxa"/>
          <w:bottom w:w="28" w:type="dxa"/>
          <w:right w:w="28" w:type="dxa"/>
        </w:tblCellMar>
      </w:tblPr>
      <w:tblGrid>
        <w:gridCol w:w="2077"/>
        <w:gridCol w:w="1831"/>
        <w:gridCol w:w="1837"/>
        <w:gridCol w:w="250"/>
        <w:gridCol w:w="826"/>
        <w:gridCol w:w="138"/>
        <w:gridCol w:w="117"/>
        <w:gridCol w:w="117"/>
        <w:gridCol w:w="117"/>
        <w:gridCol w:w="248"/>
        <w:gridCol w:w="818"/>
        <w:gridCol w:w="194"/>
      </w:tblGrid>
      <w:tr>
        <w:trPr/>
        <w:tc>
          <w:tcPr>
            <w:tcW w:w="2077"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r>
      <w:tr>
        <w:trPr/>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amounts included in the measurement of operating lease liabilities</w:t>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99,566 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97,804 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14.    Fair Value Measurements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Fair value is the price that would be received for an asset or paid to transfer a liability, or the exit price, in an orderly transaction between market participants on the measurement date. Fair value is categorized into one of the following three levels based on the lowest level of significant input:</w:t>
      </w:r>
    </w:p>
    <w:tbl>
      <w:tblPr>
        <w:tblW w:w="7675" w:type="dxa"/>
        <w:jc w:val="center"/>
        <w:tblInd w:w="0" w:type="dxa"/>
        <w:tblLayout w:type="fixed"/>
        <w:tblCellMar>
          <w:top w:w="28" w:type="dxa"/>
          <w:left w:w="28" w:type="dxa"/>
          <w:bottom w:w="28" w:type="dxa"/>
          <w:right w:w="28" w:type="dxa"/>
        </w:tblCellMar>
      </w:tblPr>
      <w:tblGrid>
        <w:gridCol w:w="234"/>
        <w:gridCol w:w="205"/>
        <w:gridCol w:w="205"/>
        <w:gridCol w:w="109"/>
        <w:gridCol w:w="109"/>
        <w:gridCol w:w="109"/>
        <w:gridCol w:w="1964"/>
        <w:gridCol w:w="1964"/>
        <w:gridCol w:w="2776"/>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r>
      <w:tr>
        <w:trPr/>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Unadjusted quoted market prices in active markets for identical assets or liabilities</w:t>
            </w:r>
          </w:p>
        </w:tc>
      </w:tr>
      <w:tr>
        <w:trPr/>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Observable inputs available at measurement date other than quoted prices included in Level 1</w:t>
            </w:r>
          </w:p>
        </w:tc>
      </w:tr>
      <w:tr>
        <w:trPr/>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Unobservable inputs that cannot be corroborated by observable market data</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0aee04ce58ba4067b6daada9a9c52dcb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 Continued</w:t>
      </w:r>
    </w:p>
    <w:p>
      <w:pPr>
        <w:pStyle w:val="TextBody"/>
        <w:bidi w:val="0"/>
        <w:spacing w:lineRule="auto" w:line="288" w:before="0" w:after="0"/>
        <w:jc w:val="both"/>
        <w:rPr/>
      </w:pPr>
      <w:r>
        <w:rPr>
          <w:rFonts w:ascii="Times New Roman;sans-serif" w:hAnsi="Times New Roman;sans-serif"/>
          <w:b w:val="false"/>
          <w:i/>
          <w:color w:val="000000"/>
          <w:sz w:val="22"/>
        </w:rPr>
        <w:t xml:space="preserve">Fair Value Measurements on a Recurring Basis - </w:t>
      </w:r>
      <w:r>
        <w:rPr>
          <w:rFonts w:ascii="Times New Roman;sans-serif" w:hAnsi="Times New Roman;sans-serif"/>
          <w:b w:val="false"/>
          <w:color w:val="000000"/>
          <w:sz w:val="22"/>
        </w:rPr>
        <w:t>The following table summarizes the Company’s financial assets and liabilities measured at fair value by hierarchy level on a recurring basis as of the periods indicated:</w:t>
      </w:r>
    </w:p>
    <w:tbl>
      <w:tblPr>
        <w:tblW w:w="10205" w:type="dxa"/>
        <w:jc w:val="left"/>
        <w:tblInd w:w="0" w:type="dxa"/>
        <w:tblLayout w:type="fixed"/>
        <w:tblCellMar>
          <w:top w:w="28" w:type="dxa"/>
          <w:left w:w="28" w:type="dxa"/>
          <w:bottom w:w="28" w:type="dxa"/>
          <w:right w:w="28" w:type="dxa"/>
        </w:tblCellMar>
      </w:tblPr>
      <w:tblGrid>
        <w:gridCol w:w="998"/>
        <w:gridCol w:w="780"/>
        <w:gridCol w:w="783"/>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09"/>
        <w:gridCol w:w="109"/>
        <w:gridCol w:w="196"/>
        <w:gridCol w:w="646"/>
        <w:gridCol w:w="109"/>
        <w:gridCol w:w="109"/>
        <w:gridCol w:w="109"/>
        <w:gridCol w:w="109"/>
        <w:gridCol w:w="196"/>
        <w:gridCol w:w="646"/>
        <w:gridCol w:w="109"/>
        <w:gridCol w:w="109"/>
        <w:gridCol w:w="109"/>
        <w:gridCol w:w="109"/>
        <w:gridCol w:w="196"/>
        <w:gridCol w:w="556"/>
        <w:gridCol w:w="109"/>
        <w:gridCol w:w="109"/>
        <w:gridCol w:w="156"/>
      </w:tblGrid>
      <w:tr>
        <w:trPr/>
        <w:tc>
          <w:tcPr>
            <w:tcW w:w="99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951" w:type="dxa"/>
            <w:gridSpan w:val="3"/>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95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equivalents: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income funds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funds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equivalents: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6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funds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 net:</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instruments - interest rate swaps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6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6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 recurring fair value measurements</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39,888 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38,297 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1,591 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27,094 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26,774 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and other current liabilities: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instruments - interest rate swaps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6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instruments - interest rate swaps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liability recurring fair value measurements</w:t>
            </w:r>
          </w:p>
        </w:tc>
        <w:tc>
          <w:tcPr>
            <w:tcW w:w="1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1,146 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1,146 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6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6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6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6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6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6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6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6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6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6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6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6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Fair value of each class of financial instruments is determined based on the following:</w:t>
      </w:r>
    </w:p>
    <w:tbl>
      <w:tblPr>
        <w:tblW w:w="10205" w:type="dxa"/>
        <w:jc w:val="left"/>
        <w:tblInd w:w="0" w:type="dxa"/>
        <w:tblLayout w:type="fixed"/>
        <w:tblCellMar>
          <w:top w:w="28" w:type="dxa"/>
          <w:left w:w="28" w:type="dxa"/>
          <w:bottom w:w="28" w:type="dxa"/>
          <w:right w:w="28" w:type="dxa"/>
        </w:tblCellMar>
      </w:tblPr>
      <w:tblGrid>
        <w:gridCol w:w="554"/>
        <w:gridCol w:w="487"/>
        <w:gridCol w:w="490"/>
        <w:gridCol w:w="109"/>
        <w:gridCol w:w="109"/>
        <w:gridCol w:w="109"/>
        <w:gridCol w:w="2442"/>
        <w:gridCol w:w="2442"/>
        <w:gridCol w:w="3463"/>
      </w:tblGrid>
      <w:tr>
        <w:trPr/>
        <w:tc>
          <w:tcPr>
            <w:tcW w:w="55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2" w:type="dxa"/>
            <w:tcBorders/>
            <w:vAlign w:val="center"/>
          </w:tcPr>
          <w:p>
            <w:pPr>
              <w:pStyle w:val="TableContents"/>
              <w:bidi w:val="0"/>
              <w:spacing w:before="0" w:after="283"/>
              <w:jc w:val="left"/>
              <w:rPr>
                <w:sz w:val="4"/>
                <w:szCs w:val="4"/>
              </w:rPr>
            </w:pPr>
            <w:r>
              <w:rPr>
                <w:sz w:val="4"/>
                <w:szCs w:val="4"/>
              </w:rPr>
            </w:r>
          </w:p>
        </w:tc>
        <w:tc>
          <w:tcPr>
            <w:tcW w:w="2442" w:type="dxa"/>
            <w:tcBorders/>
            <w:vAlign w:val="center"/>
          </w:tcPr>
          <w:p>
            <w:pPr>
              <w:pStyle w:val="TableContents"/>
              <w:bidi w:val="0"/>
              <w:spacing w:before="0" w:after="283"/>
              <w:jc w:val="left"/>
              <w:rPr>
                <w:sz w:val="4"/>
                <w:szCs w:val="4"/>
              </w:rPr>
            </w:pPr>
            <w:r>
              <w:rPr>
                <w:sz w:val="4"/>
                <w:szCs w:val="4"/>
              </w:rPr>
            </w:r>
          </w:p>
        </w:tc>
        <w:tc>
          <w:tcPr>
            <w:tcW w:w="3463"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FINANCIAL 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METHODS AND ASSUMPTIONS</w:t>
            </w:r>
          </w:p>
        </w:tc>
      </w:tr>
      <w:tr>
        <w:trPr/>
        <w:tc>
          <w:tcPr>
            <w:tcW w:w="153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income funds and 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7"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Carrying value approximates fair value because maturities are less than three months.</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7" w:type="dxa"/>
            <w:gridSpan w:val="3"/>
            <w:tcBorders/>
            <w:tcMar>
              <w:top w:w="0" w:type="dxa"/>
              <w:left w:w="0" w:type="dxa"/>
              <w:bottom w:w="0" w:type="dxa"/>
              <w:right w:w="0" w:type="dxa"/>
            </w:tcMar>
            <w:vAlign w:val="center"/>
          </w:tcPr>
          <w:p>
            <w:pPr>
              <w:pStyle w:val="TableContents"/>
              <w:bidi w:val="0"/>
              <w:spacing w:lineRule="auto" w:line="240" w:before="0" w:after="20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Company’s derivative instruments include interest rate swaps. Fair value measurements are based on the contractual terms of the derivatives and observable market-based inputs. The interest rate swaps are valued using a discounted cash flow analysis on the expected cash flows of each derivative using observable inputs including interest rate curves and credit spreads. The Company also considers its own nonperformance risk and the respective counterparty’s nonperformance risk in the fair value measurements. As of June 30, 2024 and December 31, 2023, the Company determined that the credit valuation adjustments were not significant to the overall valuation of its derivatives.</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Interim Disclosures about Fair Value of Financial Instruments - </w:t>
      </w:r>
      <w:r>
        <w:rPr>
          <w:rFonts w:ascii="Times New Roman;sans-serif" w:hAnsi="Times New Roman;sans-serif"/>
          <w:b w:val="false"/>
          <w:color w:val="000000"/>
          <w:sz w:val="22"/>
        </w:rPr>
        <w:t>The Company’s non-derivative financial instruments consist of cash equivalents, accounts receivable, accounts payable and long-term debt. The fair values of cash equivalents, accounts receivable and accounts payable approximate their carrying amounts reported on its Consolidated Balance Sheets due to their short duration.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Debt is carried at amortized cost; however, the Company estimates the fair value of debt for disclosure purposes. The following table includes the carrying value and fair value of the Company’s debt by hierarchy level as of the periods indicated:</w:t>
      </w:r>
    </w:p>
    <w:tbl>
      <w:tblPr>
        <w:tblW w:w="10205" w:type="dxa"/>
        <w:jc w:val="left"/>
        <w:tblInd w:w="0" w:type="dxa"/>
        <w:tblLayout w:type="fixed"/>
        <w:tblCellMar>
          <w:top w:w="28" w:type="dxa"/>
          <w:left w:w="28" w:type="dxa"/>
          <w:bottom w:w="28" w:type="dxa"/>
          <w:right w:w="28" w:type="dxa"/>
        </w:tblCellMar>
      </w:tblPr>
      <w:tblGrid>
        <w:gridCol w:w="1021"/>
        <w:gridCol w:w="880"/>
        <w:gridCol w:w="884"/>
        <w:gridCol w:w="266"/>
        <w:gridCol w:w="998"/>
        <w:gridCol w:w="147"/>
        <w:gridCol w:w="109"/>
        <w:gridCol w:w="109"/>
        <w:gridCol w:w="109"/>
        <w:gridCol w:w="290"/>
        <w:gridCol w:w="1092"/>
        <w:gridCol w:w="161"/>
        <w:gridCol w:w="109"/>
        <w:gridCol w:w="119"/>
        <w:gridCol w:w="119"/>
        <w:gridCol w:w="119"/>
        <w:gridCol w:w="119"/>
        <w:gridCol w:w="266"/>
        <w:gridCol w:w="998"/>
        <w:gridCol w:w="147"/>
        <w:gridCol w:w="109"/>
        <w:gridCol w:w="109"/>
        <w:gridCol w:w="109"/>
        <w:gridCol w:w="290"/>
        <w:gridCol w:w="1092"/>
        <w:gridCol w:w="161"/>
        <w:gridCol w:w="109"/>
        <w:gridCol w:w="164"/>
      </w:tblGrid>
      <w:tr>
        <w:trPr/>
        <w:tc>
          <w:tcPr>
            <w:tcW w:w="1021"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2143" w:type="dxa"/>
            <w:gridSpan w:val="8"/>
            <w:tcBorders/>
          </w:tcPr>
          <w:p>
            <w:pPr>
              <w:pStyle w:val="TableContents"/>
              <w:bidi w:val="0"/>
              <w:spacing w:before="0" w:after="283"/>
              <w:jc w:val="left"/>
              <w:rPr>
                <w:sz w:val="4"/>
                <w:szCs w:val="4"/>
              </w:rPr>
            </w:pPr>
            <w:r>
              <w:rPr>
                <w:sz w:val="4"/>
                <w:szCs w:val="4"/>
              </w:rPr>
            </w:r>
          </w:p>
        </w:tc>
      </w:tr>
      <w:tr>
        <w:trPr/>
        <w:tc>
          <w:tcPr>
            <w:tcW w:w="2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41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LEVEL 2</w:t>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LEVEL 2</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secured credit facility - revolving credit facility</w:t>
            </w:r>
          </w:p>
        </w:tc>
        <w:tc>
          <w:tcPr>
            <w:tcW w:w="26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685,000 </w:t>
            </w:r>
          </w:p>
        </w:tc>
        <w:tc>
          <w:tcPr>
            <w:tcW w:w="14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685,000 </w:t>
            </w:r>
          </w:p>
        </w:tc>
        <w:tc>
          <w:tcPr>
            <w:tcW w:w="16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381,000 </w:t>
            </w:r>
          </w:p>
        </w:tc>
        <w:tc>
          <w:tcPr>
            <w:tcW w:w="14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381,000 </w:t>
            </w:r>
          </w:p>
        </w:tc>
        <w:tc>
          <w:tcPr>
            <w:tcW w:w="16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 Notes</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20,724 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35,958 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104,786 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265,896 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2029 Notes</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270,342 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277,809 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0aee04ce58ba4067b6daada9a9c52dcb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 Continued</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15.    </w:t>
      </w:r>
      <w:bookmarkStart w:id="15" w:name="i2dbd08a7ef714d028109b81698054b90_1852"/>
      <w:bookmarkEnd w:id="15"/>
      <w:r>
        <w:rPr>
          <w:rFonts w:ascii="Times New Roman;sans-serif" w:hAnsi="Times New Roman;sans-serif"/>
          <w:b w:val="false"/>
          <w:color w:val="000000"/>
          <w:sz w:val="22"/>
        </w:rPr>
        <w:t xml:space="preserve">Income Taxes </w:t>
      </w:r>
    </w:p>
    <w:tbl>
      <w:tblPr>
        <w:tblW w:w="9409" w:type="dxa"/>
        <w:jc w:val="center"/>
        <w:tblInd w:w="0" w:type="dxa"/>
        <w:tblLayout w:type="fixed"/>
        <w:tblCellMar>
          <w:top w:w="28" w:type="dxa"/>
          <w:left w:w="28" w:type="dxa"/>
          <w:bottom w:w="28" w:type="dxa"/>
          <w:right w:w="28" w:type="dxa"/>
        </w:tblCellMar>
      </w:tblPr>
      <w:tblGrid>
        <w:gridCol w:w="1274"/>
        <w:gridCol w:w="1123"/>
        <w:gridCol w:w="1127"/>
        <w:gridCol w:w="217"/>
        <w:gridCol w:w="715"/>
        <w:gridCol w:w="283"/>
        <w:gridCol w:w="109"/>
        <w:gridCol w:w="109"/>
        <w:gridCol w:w="109"/>
        <w:gridCol w:w="217"/>
        <w:gridCol w:w="715"/>
        <w:gridCol w:w="283"/>
        <w:gridCol w:w="109"/>
        <w:gridCol w:w="109"/>
        <w:gridCol w:w="109"/>
        <w:gridCol w:w="203"/>
        <w:gridCol w:w="747"/>
        <w:gridCol w:w="265"/>
        <w:gridCol w:w="109"/>
        <w:gridCol w:w="109"/>
        <w:gridCol w:w="109"/>
        <w:gridCol w:w="200"/>
        <w:gridCol w:w="752"/>
        <w:gridCol w:w="307"/>
      </w:tblGrid>
      <w:tr>
        <w:trPr/>
        <w:tc>
          <w:tcPr>
            <w:tcW w:w="1274"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provision for income taxes</w:t>
            </w:r>
          </w:p>
        </w:tc>
        <w:tc>
          <w:tcPr>
            <w:tcW w:w="21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31,329 </w:t>
            </w:r>
          </w:p>
        </w:tc>
        <w:tc>
          <w:tcPr>
            <w:tcW w:w="28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76,485 </w:t>
            </w:r>
          </w:p>
        </w:tc>
        <w:tc>
          <w:tcPr>
            <w:tcW w:w="28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(40,991)</w:t>
            </w:r>
          </w:p>
        </w:tc>
        <w:tc>
          <w:tcPr>
            <w:tcW w:w="26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184,674 </w:t>
            </w:r>
          </w:p>
        </w:tc>
        <w:tc>
          <w:tcPr>
            <w:tcW w:w="30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1,698 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6,483 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11,668 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21,244 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Effective income tax rate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effective income tax rate for the thirteen weeks ended June 30, 2024 decreased by 3.1 percentage points as compared to the thirteen weeks ended June 25, 2023 as a result of lower forecasted annual pre-tax book income for the thirteen weeks ended June 30, 2024 relative to the prior quarter in 2024.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effective income tax rate for the twenty-six weeks ended June 30, 2024 includes the impact of nondeductible losses associated with the 2025 Notes Partial Repurchase which, relative to a pre-tax book loss during the period, resulted in a negative effective income tax rate.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bookmarkStart w:id="16" w:name="i2dbd08a7ef714d028109b81698054b90_15231"/>
      <w:bookmarkEnd w:id="16"/>
      <w:r>
        <w:rPr>
          <w:rFonts w:ascii="Times New Roman;sans-serif" w:hAnsi="Times New Roman;sans-serif"/>
          <w:b w:val="false"/>
          <w:color w:val="000000"/>
          <w:sz w:val="22"/>
        </w:rPr>
        <w:t>On January 24, 2024, the Company’s Brazilian subsidiary received an unfavorable second level court ruling related to its ongoing litigation regarding its eligibility for tax exemptions under the Brazil tax legislation. This legislation temporarily granted certain industries a 100% exemption from income tax (IRPJ and CSLL) and federal value added taxes (PIS and COFINS). The Company claimed this benefit for the periods between September 2022 and December 2023. The Company is appealing this ruling and in connection with the appeal made a cash judicial deposit of $42.9 million in July 2024 which was recorded in Other assets, net, on the Company’s Consolidated Balance Sheet. The Company believes that it will more likely than not prevail in this appeal and, accordingly, has not recorded any expense or liability for the disputed amounts.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bookmarkStart w:id="17" w:name="i2dbd08a7ef714d028109b81698054b90_15230"/>
      <w:bookmarkEnd w:id="17"/>
      <w:r>
        <w:rPr>
          <w:rFonts w:ascii="Times New Roman;sans-serif" w:hAnsi="Times New Roman;sans-serif"/>
          <w:b w:val="false"/>
          <w:color w:val="000000"/>
          <w:sz w:val="22"/>
        </w:rPr>
        <w:t xml:space="preserve">During the second quarter of 2024, Brazil enacted new tax legislation that temporarily grants certain industries a 100% exemption from income tax (IRPJ and CSLL) for the periods between May 23, 2024 and December 2024 and 100% exemption from federal value added taxes (PIS and COFINS) for the periods between May 23, 2024 and December 2026. The Company applied for this exemption and was approved by the Brazilian tax authorities. The Company’s estimated annual effective income tax rate for the thirteen and twenty-six weeks ended June 30, 2024 includes the benefit expected from this legislation. The new Brazil tax legislation also established a country-wide limitation to the total benefits that will be granted under this law. The exemption from value added taxes could end before December 2026 due to this country-wide limitation.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the U.S., a restaurant company employer may claim a credit against its federal income taxes for FICA taxes paid on certain tipped wages (the “FICA tax credit”). The level of FICA tax credits is primarily driven by U.S. Restaurant sales and is not impacted by costs incurred that may reduce Income before provision for income taxes.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effective income tax rate for the thirteen weeks ended June 30, 2024 was lower than the Company’s blended federal and state statutory rate of approximately 26% primarily due to the benefit of FICA tax credits on certain tipped wages and the temporary reduction in the Brazilian income tax rate from 34% to 0% under the new Brazil tax legislation.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effective income tax rate for the twenty-six weeks ended June 30, 2024 was lower than the Company’s blended federal and state statutory rate of approximately 26% primarily due to the impact of nondeductible losses associated with the 2025 Notes Partial Repurchase which, relative to a pre-tax book loss during the period, resulted in a negative effective income tax rate.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effective income tax rates for the thirteen and twenty-six weeks ended June 25, 2023 were lower than the Company’s blended federal and state statutory rate of approximately 26% primarily due to the benefit of FICA tax credits on certain tipped wages, benefits of Brazil tax legislation that include a temporary reduction in the Brazilian income tax rate from 34% to 0%, and the revaluation of Brazilian deferred tax assets and l</w:t>
      </w:r>
      <w:bookmarkStart w:id="18" w:name="i2dbd08a7ef714d028109b81698054b90_15548"/>
      <w:bookmarkEnd w:id="18"/>
      <w:r>
        <w:rPr>
          <w:rFonts w:ascii="Times New Roman;sans-serif" w:hAnsi="Times New Roman;sans-serif"/>
          <w:b w:val="false"/>
          <w:color w:val="000000"/>
          <w:sz w:val="22"/>
        </w:rPr>
        <w:t>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0aee04ce58ba4067b6daada9a9c52dcb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 Continued</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16.    Commitments and Contingencies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Litigation and Other Matters</w:t>
      </w:r>
      <w:r>
        <w:rPr>
          <w:color w:val="000000"/>
        </w:rPr>
        <w:t xml:space="preserve"> </w:t>
      </w:r>
      <w:r>
        <w:rPr>
          <w:rFonts w:ascii="Times New Roman;sans-serif" w:hAnsi="Times New Roman;sans-serif"/>
          <w:b w:val="false"/>
          <w:color w:val="000000"/>
          <w:sz w:val="22"/>
        </w:rPr>
        <w:t>- The Company recorded reserves of $5.4 million and $13.3 million for certain of its outstanding legal proceedings as of June 30, 2024 and December 31, 2023, respectively, within Accrued and other current liabilities on its Consolidated Balance Sheets. While the Company believes that additional losses beyond these accruals are reasonably possible, it cannot estimate a possible loss contingency or range of reasonably possible loss contingencies beyond these accruals.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Lease Guarantees</w:t>
      </w:r>
      <w:r>
        <w:rPr>
          <w:color w:val="000000"/>
        </w:rPr>
        <w:t xml:space="preserve"> </w:t>
      </w:r>
      <w:r>
        <w:rPr>
          <w:rFonts w:ascii="Times New Roman;sans-serif" w:hAnsi="Times New Roman;sans-serif"/>
          <w:b w:val="false"/>
          <w:color w:val="000000"/>
          <w:sz w:val="22"/>
        </w:rPr>
        <w:t>- The Company assigned its interest, and is contingently liable, under certain real estate leases. These leases have varying terms, the latest of which expires in 2032. As of June 30, 2024, the undiscounted payments that the Company could be required to make in the event of non-payment by the primary lessees was $12.3 million. The present value of these potential payments discounted at the Company’s incremental borrowing rate as of June 30, 2024 was $9.8 million. In the event of default, the indemnity clauses in the Company’s purchase and sale agreements generally govern its ability to pursue and recover damages incurred. As of June 30, 2024 and December 31, 2023, the Company’s recorded contingent lease liability was $2.3 million and $5.3 million,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17.    </w:t>
      </w:r>
      <w:bookmarkStart w:id="19" w:name="i95a9dfb37def4990983291f8c7887786_883"/>
      <w:bookmarkEnd w:id="19"/>
      <w:r>
        <w:rPr>
          <w:rFonts w:ascii="Times New Roman;sans-serif" w:hAnsi="Times New Roman;sans-serif"/>
          <w:b w:val="false"/>
          <w:color w:val="000000"/>
          <w:sz w:val="22"/>
        </w:rPr>
        <w:t>Segment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is a summary of reporting segments:</w:t>
      </w:r>
    </w:p>
    <w:tbl>
      <w:tblPr>
        <w:tblW w:w="8317" w:type="dxa"/>
        <w:jc w:val="left"/>
        <w:tblInd w:w="0" w:type="dxa"/>
        <w:tblLayout w:type="fixed"/>
        <w:tblCellMar>
          <w:top w:w="28" w:type="dxa"/>
          <w:left w:w="28" w:type="dxa"/>
          <w:bottom w:w="28" w:type="dxa"/>
          <w:right w:w="28" w:type="dxa"/>
        </w:tblCellMar>
      </w:tblPr>
      <w:tblGrid>
        <w:gridCol w:w="852"/>
        <w:gridCol w:w="750"/>
        <w:gridCol w:w="752"/>
        <w:gridCol w:w="109"/>
        <w:gridCol w:w="109"/>
        <w:gridCol w:w="109"/>
        <w:gridCol w:w="1014"/>
        <w:gridCol w:w="1014"/>
        <w:gridCol w:w="1017"/>
        <w:gridCol w:w="109"/>
        <w:gridCol w:w="109"/>
        <w:gridCol w:w="109"/>
        <w:gridCol w:w="663"/>
        <w:gridCol w:w="663"/>
        <w:gridCol w:w="938"/>
      </w:tblGrid>
      <w:tr>
        <w:trPr/>
        <w:tc>
          <w:tcPr>
            <w:tcW w:w="85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REPORTABLE SEGMENT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CONCEPT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GEOGRAPHIC LOCATION</w:t>
            </w:r>
          </w:p>
        </w:tc>
      </w:tr>
      <w:tr>
        <w:trPr/>
        <w:tc>
          <w:tcPr>
            <w:tcW w:w="2354" w:type="dxa"/>
            <w:gridSpan w:val="3"/>
            <w:vMerge w:val="restart"/>
            <w:tcBorders>
              <w:top w:val="single" w:sz="16"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op w:val="single" w:sz="16"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vMerge w:val="restart"/>
            <w:tcBorders>
              <w:top w:val="single" w:sz="16"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United States of America</w:t>
            </w:r>
          </w:p>
        </w:tc>
      </w:tr>
      <w:tr>
        <w:trPr/>
        <w:tc>
          <w:tcPr>
            <w:tcW w:w="2354" w:type="dxa"/>
            <w:gridSpan w:val="3"/>
            <w:vMerge w:val="continue"/>
            <w:tcBorders>
              <w:top w:val="single" w:sz="16" w:space="0" w:color="000000"/>
              <w:left w:val="single" w:sz="8" w:space="0" w:color="000000"/>
            </w:tcBorders>
            <w:shd w:fill="CCEEFF" w:val="clear"/>
            <w:tcMar>
              <w:top w:w="30" w:type="dxa"/>
              <w:bottom w:w="0" w:type="dxa"/>
              <w:right w:w="0" w:type="dxa"/>
            </w:tcMar>
            <w:vAlign w:val="center"/>
          </w:tcPr>
          <w:p>
            <w:pPr>
              <w:pStyle w:val="Normal"/>
              <w:bidi w:val="0"/>
              <w:jc w:val="left"/>
              <w:rPr/>
            </w:pPr>
            <w:r>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w:t>
            </w:r>
          </w:p>
        </w:tc>
        <w:tc>
          <w:tcPr>
            <w:tcW w:w="327"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c>
          <w:tcPr>
            <w:tcW w:w="2264" w:type="dxa"/>
            <w:gridSpan w:val="3"/>
            <w:vMerge w:val="continue"/>
            <w:tcBorders>
              <w:top w:val="single" w:sz="16" w:space="0" w:color="000000"/>
              <w:left w:val="single" w:sz="8" w:space="0" w:color="000000"/>
              <w:right w:val="single" w:sz="8" w:space="0" w:color="000000"/>
            </w:tcBorders>
            <w:shd w:fill="CCEEFF" w:val="clear"/>
            <w:tcMar>
              <w:top w:w="30" w:type="dxa"/>
              <w:bottom w:w="0" w:type="dxa"/>
            </w:tcMar>
            <w:vAlign w:val="center"/>
          </w:tcPr>
          <w:p>
            <w:pPr>
              <w:pStyle w:val="Normal"/>
              <w:bidi w:val="0"/>
              <w:jc w:val="left"/>
              <w:rPr/>
            </w:pPr>
            <w:r>
              <w:rPr/>
            </w:r>
          </w:p>
        </w:tc>
      </w:tr>
      <w:tr>
        <w:trPr/>
        <w:tc>
          <w:tcPr>
            <w:tcW w:w="2354" w:type="dxa"/>
            <w:gridSpan w:val="3"/>
            <w:vMerge w:val="continue"/>
            <w:tcBorders>
              <w:top w:val="single" w:sz="16" w:space="0" w:color="000000"/>
              <w:left w:val="single" w:sz="8" w:space="0" w:color="000000"/>
            </w:tcBorders>
            <w:shd w:fill="CCEEFF" w:val="clear"/>
            <w:tcMar>
              <w:top w:w="30" w:type="dxa"/>
              <w:bottom w:w="0" w:type="dxa"/>
              <w:right w:w="0" w:type="dxa"/>
            </w:tcMar>
            <w:vAlign w:val="center"/>
          </w:tcPr>
          <w:p>
            <w:pPr>
              <w:pStyle w:val="Normal"/>
              <w:bidi w:val="0"/>
              <w:jc w:val="left"/>
              <w:rPr/>
            </w:pPr>
            <w:r>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Bonefish Grill</w:t>
            </w:r>
          </w:p>
        </w:tc>
        <w:tc>
          <w:tcPr>
            <w:tcW w:w="327"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c>
          <w:tcPr>
            <w:tcW w:w="2264" w:type="dxa"/>
            <w:gridSpan w:val="3"/>
            <w:vMerge w:val="continue"/>
            <w:tcBorders>
              <w:top w:val="single" w:sz="16" w:space="0" w:color="000000"/>
              <w:left w:val="single" w:sz="8" w:space="0" w:color="000000"/>
              <w:right w:val="single" w:sz="8" w:space="0" w:color="000000"/>
            </w:tcBorders>
            <w:shd w:fill="CCEEFF" w:val="clear"/>
            <w:tcMar>
              <w:top w:w="30" w:type="dxa"/>
              <w:bottom w:w="0" w:type="dxa"/>
            </w:tcMar>
            <w:vAlign w:val="center"/>
          </w:tcPr>
          <w:p>
            <w:pPr>
              <w:pStyle w:val="Normal"/>
              <w:bidi w:val="0"/>
              <w:jc w:val="left"/>
              <w:rPr/>
            </w:pPr>
            <w:r>
              <w:rPr/>
            </w:r>
          </w:p>
        </w:tc>
      </w:tr>
      <w:tr>
        <w:trPr/>
        <w:tc>
          <w:tcPr>
            <w:tcW w:w="2354" w:type="dxa"/>
            <w:gridSpan w:val="3"/>
            <w:vMerge w:val="continue"/>
            <w:tcBorders>
              <w:top w:val="single" w:sz="16" w:space="0" w:color="000000"/>
              <w:left w:val="single" w:sz="8" w:space="0" w:color="000000"/>
            </w:tcBorders>
            <w:shd w:fill="CCEEFF" w:val="clear"/>
            <w:tcMar>
              <w:top w:w="30" w:type="dxa"/>
              <w:bottom w:w="0" w:type="dxa"/>
              <w:right w:w="0" w:type="dxa"/>
            </w:tcMar>
            <w:vAlign w:val="center"/>
          </w:tcPr>
          <w:p>
            <w:pPr>
              <w:pStyle w:val="Normal"/>
              <w:bidi w:val="0"/>
              <w:jc w:val="left"/>
              <w:rPr/>
            </w:pPr>
            <w:r>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Fleming’s Prime Steakhouse &amp; Wine Bar</w:t>
            </w:r>
          </w:p>
        </w:tc>
        <w:tc>
          <w:tcPr>
            <w:tcW w:w="327"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c>
          <w:tcPr>
            <w:tcW w:w="2264" w:type="dxa"/>
            <w:gridSpan w:val="3"/>
            <w:vMerge w:val="continue"/>
            <w:tcBorders>
              <w:top w:val="single" w:sz="16" w:space="0" w:color="000000"/>
              <w:left w:val="single" w:sz="8" w:space="0" w:color="000000"/>
              <w:right w:val="single" w:sz="8" w:space="0" w:color="000000"/>
            </w:tcBorders>
            <w:shd w:fill="CCEEFF" w:val="clear"/>
            <w:tcMar>
              <w:top w:w="30" w:type="dxa"/>
              <w:bottom w:w="0" w:type="dxa"/>
            </w:tcMar>
            <w:vAlign w:val="center"/>
          </w:tcPr>
          <w:p>
            <w:pPr>
              <w:pStyle w:val="Normal"/>
              <w:bidi w:val="0"/>
              <w:jc w:val="left"/>
              <w:rPr/>
            </w:pPr>
            <w:r>
              <w:rPr/>
            </w:r>
          </w:p>
        </w:tc>
      </w:tr>
      <w:tr>
        <w:trPr/>
        <w:tc>
          <w:tcPr>
            <w:tcW w:w="2354" w:type="dxa"/>
            <w:gridSpan w:val="3"/>
            <w:vMerge w:val="restart"/>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Brazil, Hong Kong/China</w:t>
            </w:r>
          </w:p>
        </w:tc>
      </w:tr>
      <w:tr>
        <w:trPr/>
        <w:tc>
          <w:tcPr>
            <w:tcW w:w="2354" w:type="dxa"/>
            <w:gridSpan w:val="3"/>
            <w:vMerge w:val="continue"/>
            <w:tcBorders>
              <w:top w:val="single" w:sz="8" w:space="0" w:color="000000"/>
              <w:left w:val="single" w:sz="8" w:space="0" w:color="000000"/>
              <w:bottom w:val="single" w:sz="8" w:space="0" w:color="000000"/>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 (Abbraccio)</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Brazil</w:t>
            </w:r>
          </w:p>
        </w:tc>
      </w:tr>
    </w:tbl>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(1)Includes franchise locations.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Segment accounting policies are the same as those described in Note 2 - </w:t>
      </w:r>
      <w:r>
        <w:rPr>
          <w:rFonts w:ascii="Times New Roman;sans-serif" w:hAnsi="Times New Roman;sans-serif"/>
          <w:b w:val="false"/>
          <w:i/>
          <w:color w:val="000000"/>
          <w:sz w:val="22"/>
        </w:rPr>
        <w:t xml:space="preserve">Summary of Significant Accounting Policies </w:t>
      </w:r>
      <w:r>
        <w:rPr>
          <w:rFonts w:ascii="Times New Roman;sans-serif" w:hAnsi="Times New Roman;sans-serif"/>
          <w:b w:val="false"/>
          <w:color w:val="000000"/>
          <w:sz w:val="22"/>
        </w:rPr>
        <w:t>in the Company’s Annual Report on Form 10-K for the year ended December 31, 2023. Revenues for all segments include only transactions with customers and exclude intersegment revenues. Excluded from Income from operations for U.S. and international are certain legal and corporate costs not directly related to the performance of the segments, most stock-based compensation expenses, a portion of insurance expenses and certain bonus expenses.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0aee04ce58ba4067b6daada9a9c52dcb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 Continued</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tables summarize Total revenues, Depreciation and amortization, and Income (loss) from operations by segment for the periods indicated: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579" w:type="dxa"/>
        <w:jc w:val="left"/>
        <w:tblInd w:w="0" w:type="dxa"/>
        <w:tblLayout w:type="fixed"/>
        <w:tblCellMar>
          <w:top w:w="28" w:type="dxa"/>
          <w:left w:w="28" w:type="dxa"/>
          <w:bottom w:w="28" w:type="dxa"/>
          <w:right w:w="28" w:type="dxa"/>
        </w:tblCellMar>
      </w:tblPr>
      <w:tblGrid>
        <w:gridCol w:w="819"/>
        <w:gridCol w:w="721"/>
        <w:gridCol w:w="724"/>
        <w:gridCol w:w="196"/>
        <w:gridCol w:w="871"/>
        <w:gridCol w:w="109"/>
        <w:gridCol w:w="109"/>
        <w:gridCol w:w="109"/>
        <w:gridCol w:w="109"/>
        <w:gridCol w:w="282"/>
        <w:gridCol w:w="1061"/>
        <w:gridCol w:w="158"/>
        <w:gridCol w:w="109"/>
        <w:gridCol w:w="109"/>
        <w:gridCol w:w="109"/>
        <w:gridCol w:w="237"/>
        <w:gridCol w:w="801"/>
        <w:gridCol w:w="133"/>
        <w:gridCol w:w="109"/>
        <w:gridCol w:w="109"/>
        <w:gridCol w:w="109"/>
        <w:gridCol w:w="238"/>
        <w:gridCol w:w="1060"/>
        <w:gridCol w:w="188"/>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 JUNE 30, 2024</w:t>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17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INTERNATIONAL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974,173 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144,693 </w:t>
            </w:r>
          </w:p>
        </w:tc>
        <w:tc>
          <w:tcPr>
            <w:tcW w:w="15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1,118,866 </w:t>
            </w:r>
          </w:p>
        </w:tc>
        <w:tc>
          <w:tcPr>
            <w:tcW w:w="18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49,525 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operations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(32,672)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46,131 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 JUNE 25, 2023</w:t>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17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INTERNATIONAL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1,005,229 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147,465 </w:t>
            </w:r>
          </w:p>
        </w:tc>
        <w:tc>
          <w:tcPr>
            <w:tcW w:w="15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1,152,694 </w:t>
            </w:r>
          </w:p>
        </w:tc>
        <w:tc>
          <w:tcPr>
            <w:tcW w:w="18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47,565 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operations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20,486 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(34,048)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89,446 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579" w:type="dxa"/>
        <w:jc w:val="left"/>
        <w:tblInd w:w="0" w:type="dxa"/>
        <w:tblLayout w:type="fixed"/>
        <w:tblCellMar>
          <w:top w:w="28" w:type="dxa"/>
          <w:left w:w="28" w:type="dxa"/>
          <w:bottom w:w="28" w:type="dxa"/>
          <w:right w:w="28" w:type="dxa"/>
        </w:tblCellMar>
      </w:tblPr>
      <w:tblGrid>
        <w:gridCol w:w="819"/>
        <w:gridCol w:w="721"/>
        <w:gridCol w:w="724"/>
        <w:gridCol w:w="196"/>
        <w:gridCol w:w="871"/>
        <w:gridCol w:w="109"/>
        <w:gridCol w:w="109"/>
        <w:gridCol w:w="109"/>
        <w:gridCol w:w="109"/>
        <w:gridCol w:w="282"/>
        <w:gridCol w:w="1061"/>
        <w:gridCol w:w="158"/>
        <w:gridCol w:w="109"/>
        <w:gridCol w:w="109"/>
        <w:gridCol w:w="109"/>
        <w:gridCol w:w="237"/>
        <w:gridCol w:w="801"/>
        <w:gridCol w:w="133"/>
        <w:gridCol w:w="109"/>
        <w:gridCol w:w="109"/>
        <w:gridCol w:w="109"/>
        <w:gridCol w:w="238"/>
        <w:gridCol w:w="1060"/>
        <w:gridCol w:w="188"/>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 JUNE 30, 2024</w:t>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17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INTERNATIONAL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2,017,277 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296,916 </w:t>
            </w:r>
          </w:p>
        </w:tc>
        <w:tc>
          <w:tcPr>
            <w:tcW w:w="15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2,314,193 </w:t>
            </w:r>
          </w:p>
        </w:tc>
        <w:tc>
          <w:tcPr>
            <w:tcW w:w="18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13,956 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98,807 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operations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14,888 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(68,825)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123,224 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 JUNE 25, 2023</w:t>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17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INTERNATIONAL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2,098,225 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299,215 </w:t>
            </w:r>
          </w:p>
        </w:tc>
        <w:tc>
          <w:tcPr>
            <w:tcW w:w="15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2,397,440 </w:t>
            </w:r>
          </w:p>
        </w:tc>
        <w:tc>
          <w:tcPr>
            <w:tcW w:w="18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12,045 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93,867 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operations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44,994 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(71,166)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210,079 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is a reconciliation of segment income from operations to Income (loss) before provision for income taxes for the periods indicated:</w:t>
      </w:r>
    </w:p>
    <w:tbl>
      <w:tblPr>
        <w:tblW w:w="9410" w:type="dxa"/>
        <w:jc w:val="center"/>
        <w:tblInd w:w="0" w:type="dxa"/>
        <w:tblLayout w:type="fixed"/>
        <w:tblCellMar>
          <w:top w:w="28" w:type="dxa"/>
          <w:left w:w="28" w:type="dxa"/>
          <w:bottom w:w="28" w:type="dxa"/>
          <w:right w:w="28" w:type="dxa"/>
        </w:tblCellMar>
      </w:tblPr>
      <w:tblGrid>
        <w:gridCol w:w="1275"/>
        <w:gridCol w:w="1122"/>
        <w:gridCol w:w="1127"/>
        <w:gridCol w:w="250"/>
        <w:gridCol w:w="826"/>
        <w:gridCol w:w="139"/>
        <w:gridCol w:w="109"/>
        <w:gridCol w:w="109"/>
        <w:gridCol w:w="109"/>
        <w:gridCol w:w="250"/>
        <w:gridCol w:w="826"/>
        <w:gridCol w:w="139"/>
        <w:gridCol w:w="109"/>
        <w:gridCol w:w="109"/>
        <w:gridCol w:w="109"/>
        <w:gridCol w:w="228"/>
        <w:gridCol w:w="860"/>
        <w:gridCol w:w="127"/>
        <w:gridCol w:w="109"/>
        <w:gridCol w:w="109"/>
        <w:gridCol w:w="109"/>
        <w:gridCol w:w="227"/>
        <w:gridCol w:w="855"/>
        <w:gridCol w:w="178"/>
      </w:tblGrid>
      <w:tr>
        <w:trPr/>
        <w:tc>
          <w:tcPr>
            <w:tcW w:w="1275"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w:t>
            </w:r>
          </w:p>
        </w:tc>
        <w:tc>
          <w:tcPr>
            <w:tcW w:w="25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46,131 </w:t>
            </w:r>
          </w:p>
        </w:tc>
        <w:tc>
          <w:tcPr>
            <w:tcW w:w="13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89,446 </w:t>
            </w:r>
          </w:p>
        </w:tc>
        <w:tc>
          <w:tcPr>
            <w:tcW w:w="13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123,224 </w:t>
            </w:r>
          </w:p>
        </w:tc>
        <w:tc>
          <w:tcPr>
            <w:tcW w:w="12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210,079 </w:t>
            </w:r>
          </w:p>
        </w:tc>
        <w:tc>
          <w:tcPr>
            <w:tcW w:w="17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of debt</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(135,797)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(14,802)</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(12,961)</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(28,418)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(25,405)</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provision for income taxes</w:t>
            </w:r>
          </w:p>
        </w:tc>
        <w:tc>
          <w:tcPr>
            <w:tcW w:w="25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31,329 </w:t>
            </w:r>
          </w:p>
        </w:tc>
        <w:tc>
          <w:tcPr>
            <w:tcW w:w="13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76,485 </w:t>
            </w:r>
          </w:p>
        </w:tc>
        <w:tc>
          <w:tcPr>
            <w:tcW w:w="13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(40,991)</w:t>
            </w:r>
          </w:p>
        </w:tc>
        <w:tc>
          <w:tcPr>
            <w:tcW w:w="12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184,674 </w:t>
            </w:r>
          </w:p>
        </w:tc>
        <w:tc>
          <w:tcPr>
            <w:tcW w:w="17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0aee04ce58ba4067b6daada9a9c52dcb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Item 2. 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Management’s discussion and analysis of financial condition and results of operations should be read in conjunction with our unaudited consolidated financial statements and the related notes. Unless the context otherwise indicates, as used in this report, the term the “Company,” “we,” “us,” “our” and other similar terms mean Bloomin’ Brands, Inc. and its subsidiaries.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Cautionary Statement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This Quarterly Report on Form 10-Q (the “Report”) includes statements that express our opinions, expectations, beliefs, plans, objectives, assumptions or projections regarding future events or future results and therefore are, or may be deemed to be, “forward-looking statements” within the meaning of Section 27A of the Securities Act of 1933, as amended (the “Securities Act”), and Section 21E of the Securities Exchange Act of 1934, as amended (the “Exchange Act”). These forward-looking statements can generally be identified by the use of forward-looking terminology, including the terms “believes,” “estimates,” “anticipates,” “expects,” “feels,” “seeks,” “forecasts,” “projects,” “intends,” “plans,” “may,” “will,” “should,” “could” or “would” or, in each case, their negative or other variations or comparable terminology, although not all forward-looking statements are accompanied by such terms. These forward-looking statements include all matters that are not historical facts.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By their nature, forward-looking statements involve risks and uncertainties because they relate to events and depend on circumstances that may or may not occur in the future. Although we base these forward-looking statements on assumptions that we believe are reasonable when made, we caution you that forward-looking statements are not guarantees of future performance and that our actual results of operations, financial condition and liquidity, and industry developments may differ materially from statements made in or suggested by the forward-looking statements contained in this Report. In addition, even if our results of operations, financial condition and liquidity, and industry developments are consistent with the forward-looking statements contained in this Report, those results or developments may not be indicative of results or developments in subsequent periods. Important factors that could cause actual results to differ materially from statements made or suggested by forward-looking statements include, but are not limited to, the following:</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(i)Consumer reactions to public health and food safety issues;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(ii)Minimum wage increases, additional mandated employee benefits and fluctuations in the cost and availability of employees;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(iii)Our ability to recruit and retain high-quality leadership, restaurant-level management and team members;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(iv)Economic and geopolitical conditions and their effects on consumer confidence and discretionary spending, consumer traffic, the cost and availability of credit and interest rates;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(v)Our ability to compete in the highly competitive restaurant industry with many well-established competitors and new market entrants;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(vi)Our ability to protect our information technology systems from interruption or security breach, including cybersecurity threats, and to protect consumer data and personal employee information;</w:t>
      </w:r>
    </w:p>
    <w:p>
      <w:pPr>
        <w:pStyle w:val="TextBody"/>
        <w:bidi w:val="0"/>
        <w:spacing w:before="0" w:after="0"/>
        <w:ind w:left="0" w:right="0" w:hanging="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0aee04ce58ba4067b6daada9a9c52dcb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(vii)Fluctuations in the price and availability of commodities, including supplier freight charges and restaurant distribution expenses, and other impacts of inflation and our dependence on a limited number of suppliers and distributors to meet our beef, pork, chicken and other major product supply needs;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(viii)Our ability to preserve and grow the reputation and value of our brands, particularly in light of changes in consumer engagement with social media platforms and limited control with respect to the operations of our franchisees;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(ix)The effects of international economic, political and social conditions and legal systems on our foreign operations and on foreign currency exchange rates;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(x)The impact of the strategic review process for our Brazil operations or any resulting action or inaction;</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(xi)Our ability to comply with new corporate citizenship and sustainability reporting requirements and investor expectations or our failure to achieve any goals, targets or objectives that we establish with respect to corporate citizenship and sustainability matters;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(xii)Our ability to effectively respond to changes in patterns of consumer traffic, including by maintaining relationships with third-party delivery apps and services, consumer tastes and dietary habits;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(xiii)Our ability to comply with governmental laws and regulations, the costs of compliance with such laws and regulations and the effects of changes to applicable laws and regulations, including tax laws and unanticipated liabilities, and the impact of any litigation;</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(xiv)Our ability to implement our remodeling, relocation and expansion plans, due to uncertainty in locating and acquiring attractive sites on acceptable terms, obtaining required permits and approvals, recruiting and training necessary personnel, obtaining adequate financing and estimating the performance of newly opened, remodeled or relocated restaurants, and our cost savings plans to enable reinvestment in our business, due to uncertainty with respect to macroeconomic conditions and the efficiency that may be added by the actions we take;</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(xv)Seasonal and periodic fluctuations in our results and the effects of significant adverse weather conditions and other disasters or unforeseen events;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(xvi)The effects of our leverage and restrictive covenants in our various credit facilities on our ability to raise additional capital to fund our operations, to make capital expenditures to invest in new or renovate restaurants and to react to changes in the economy or our industry;</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(xvii)Any impairment in the carrying value of our goodwill or other intangible or long-lived assets and its effect on our financial condition and results of operations; and</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(xviii)Such other factors as discussed in Part I, Item IA. Risk Factors of our Annual Report on Form 10-K for the year ended December 31, 2023.</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Given these risks and uncertainties, we caution you not to place undue reliance on these forward-looking statements. Any forward-looking statement that we make in this Report speaks only as of the date of such statement, and we undertake no obligation to update any forward-looking statement or to publicly announce the results of any revision to any of those statements to reflect future events or developments. Comparisons of results for current and any prior periods are not intended to express any future trends or indications of future performance, unless specifically expressed as such, and should only be viewed as historical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0aee04ce58ba4067b6daada9a9c52dcb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Overview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are one of the largest casual dining restaurant companies in the world with a portfolio of leading, differentiated restaurant concepts. As of June 30, 2024, we owned and operated 1,173 restaurants and franchised 292 restaurants across 46 states, Guam and 13 countries. We have four founder-inspired concepts: Outback Steakhouse, Carrabba’s Italian Grill, Bonefish Grill and Fleming’s Prime Steakhouse &amp; Wine Bar.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Financial Overview - </w:t>
      </w:r>
      <w:r>
        <w:rPr>
          <w:rFonts w:ascii="Times New Roman;sans-serif" w:hAnsi="Times New Roman;sans-serif"/>
          <w:b w:val="false"/>
          <w:color w:val="000000"/>
          <w:sz w:val="22"/>
        </w:rPr>
        <w:t>Our financial overview for the thirteen weeks ended June 30, 2024 includes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U.S. combined and Outback Steakhouse comparable restaurant sales of (0.1)%;</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Decrease in Total revenues of (2.9)% as compared to the second quarter of 2023;</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Operating income and restaurant-level operating margins of 4.1% and 14.3%, respectively, as compared to 7.8% and 16.4%, respectively, for the second quarter of 2023;</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Operating income of $46.1 million as compared to $89.4 million in the second quarter of 2023;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Diluted earnings per share of $0.32 as compared to $0.70 for the second quarter of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pPr>
      <w:r>
        <w:rPr>
          <w:rFonts w:ascii="Times New Roman;sans-serif" w:hAnsi="Times New Roman;sans-serif"/>
          <w:b w:val="false"/>
          <w:i/>
          <w:color w:val="000000"/>
          <w:sz w:val="22"/>
        </w:rPr>
        <w:t xml:space="preserve">Reviewing Strategic Alternatives for Brazil Operations - </w:t>
      </w:r>
      <w:r>
        <w:rPr>
          <w:rFonts w:ascii="Times New Roman;sans-serif" w:hAnsi="Times New Roman;sans-serif"/>
          <w:b w:val="false"/>
          <w:color w:val="000000"/>
          <w:sz w:val="22"/>
        </w:rPr>
        <w:t>In May 2024, we announced that we are exploring and evaluating strategic alternatives for our Brazil operations that have the potential to maximize value for our shareholders, including but not limited to, a possible sale of the operations. The Board has retained BofA Securities, Inc. as its financial advisor.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plan to proceed in a timely manner, but have not set a definitive timetable for completion of this process. There can be no assurance that this review will result in a transaction or other strategic alternative of any kind. We do not intend to make any further public comment regarding the review unless we determine that disclosure is appropriate or necessary.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Key Financial Performance Indicators</w:t>
      </w:r>
      <w:r>
        <w:rPr>
          <w:color w:val="000000"/>
        </w:rPr>
        <w:t xml:space="preserve"> </w:t>
      </w:r>
      <w:r>
        <w:rPr>
          <w:rFonts w:ascii="Times New Roman;sans-serif" w:hAnsi="Times New Roman;sans-serif"/>
          <w:b w:val="false"/>
          <w:color w:val="000000"/>
          <w:sz w:val="22"/>
        </w:rPr>
        <w:t>- Key measures that we use in evaluating our restaurants and assessing our business include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2"/>
        </w:rPr>
        <w:t>Average restaurant unit volumes</w:t>
      </w:r>
      <w:r>
        <w:rPr>
          <w:color w:val="000000"/>
        </w:rPr>
        <w:t>—</w:t>
      </w:r>
      <w:r>
        <w:rPr>
          <w:rFonts w:ascii="Times New Roman;sans-serif" w:hAnsi="Times New Roman;sans-serif"/>
          <w:b w:val="false"/>
          <w:color w:val="000000"/>
          <w:sz w:val="22"/>
        </w:rPr>
        <w:t>average sales (excluding gift card breakage and the benefit of value added tax exemptions in Brazil) per restaurant to measure changes in customer traffic, pricing and development of the brand.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2"/>
        </w:rPr>
        <w:t>Comparable restaurant sales</w:t>
      </w:r>
      <w:r>
        <w:rPr>
          <w:color w:val="000000"/>
        </w:rPr>
        <w:t>—</w:t>
      </w:r>
      <w:r>
        <w:rPr>
          <w:rFonts w:ascii="Times New Roman;sans-serif" w:hAnsi="Times New Roman;sans-serif"/>
          <w:b w:val="false"/>
          <w:color w:val="000000"/>
          <w:sz w:val="22"/>
        </w:rPr>
        <w:t>year-over-year comparison of the change in sales volumes (excluding gift card breakage and the benefit of value added tax exemptions in Brazil) for Company-owned restaurants that are open 18 months or more in order to remove the impact of new restaurant openings in comparing the operations of existing restaurants.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2"/>
        </w:rPr>
        <w:t>System-wide sales</w:t>
      </w:r>
      <w:r>
        <w:rPr>
          <w:color w:val="000000"/>
        </w:rPr>
        <w:t>—</w:t>
      </w:r>
      <w:r>
        <w:rPr>
          <w:rFonts w:ascii="Times New Roman;sans-serif" w:hAnsi="Times New Roman;sans-serif"/>
          <w:b w:val="false"/>
          <w:color w:val="000000"/>
          <w:sz w:val="22"/>
        </w:rPr>
        <w:t>total restaurant sales volume for all Company-owned and franchise restaurants, regardless of ownership, to interpret the overall health of our brands.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2"/>
        </w:rPr>
        <w:t>Restaurant-level operating margin, Income from operations, Net income (loss) and Diluted earnings (loss) per share</w:t>
      </w:r>
      <w:r>
        <w:rPr>
          <w:color w:val="000000"/>
        </w:rPr>
        <w:t>—</w:t>
      </w:r>
      <w:r>
        <w:rPr>
          <w:rFonts w:ascii="Times New Roman;sans-serif" w:hAnsi="Times New Roman;sans-serif"/>
          <w:b w:val="false"/>
          <w:color w:val="000000"/>
          <w:sz w:val="22"/>
        </w:rPr>
        <w:t xml:space="preserve">financial measures utilized to evaluate our operating performance.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Restaurant-level operating margin is a non-GAAP financial measure widely regarded in the industry as a useful metric to evaluate restaurant-level operating efficiency and performance of ongoing restaurant-level operations, and we use it for these purposes, overall and particularly within our two segments. Our restaurant-level operating margin is expressed as the percentage of our Restaurant sales that Food and beverage costs, Labor and other related expense and Other restaurant operating expense (including advertising expenses) represent, in each case as such items are reflected in our Consolidated Statements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0aee04ce58ba4067b6daada9a9c52dcb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Operations and Comprehensive Income (Loss). The following categories of revenue and operating expenses are not included in restaurant-level operating income and corresponding margin because we do not consider them reflective of operating performance at the restaurant-level within a period: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(i)Franchise and other revenues, which are earned primarily from franchise royalties and other non-food and beverage revenue streams, such as rental and sublease income;</w:t>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(ii)Depreciation and amortization, which, although substantially all of which is related to restaurant-level assets, represent historical sunk costs rather than cash outlays for the restaurants;</w:t>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(iii)General and administrative expense, which includes primarily non-restaurant-level costs associated with support of the restaurants and other activities at our corporate offices; and</w:t>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(iv)Asset impairment charges and restaurant closing costs, which are not reflective of ongoing restaurant performance in a period.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Restaurant-level operating margin excludes various expenses, as discussed above, that are essential to support the operations of our restaurants and may materially impact our Consolidated Statements of Operations and Comprehensive Income (Loss). As a result, restaurant-level operating margin is not indicative of our consolidated results of operations and is presented exclusively as a supplement to, and not a substitute for, Net income (loss) or Income from operations. In addition, our presentation of restaurant-level operating margin may not be comparable to similarly titled measures used by other companies in our industry.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2"/>
        </w:rPr>
        <w:t>Adjusted restaurant-level operating margin, Adjusted income from operations, Adjusted net income and Adjusted diluted earnings per share</w:t>
      </w:r>
      <w:r>
        <w:rPr>
          <w:color w:val="000000"/>
        </w:rPr>
        <w:t>—</w:t>
      </w:r>
      <w:r>
        <w:rPr>
          <w:rFonts w:ascii="Times New Roman;sans-serif" w:hAnsi="Times New Roman;sans-serif"/>
          <w:b w:val="false"/>
          <w:color w:val="000000"/>
          <w:sz w:val="22"/>
        </w:rPr>
        <w:t>non-GAAP financial measures utilized to evaluate our operating performance.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believe that our use of these non-GAAP financial measures permits investors to assess the operating performance of our business relative to our performance based on U.S. GAAP results and relative to other companies within the restaurant industry by isolating the effects of certain items that may vary from period to period without correlation to core operating performance or that vary widely among similar companies. However, our inclusion of these adjusted measures should not be construed as an indication that our future results will be unaffected by unusual or infrequent items or that the items for which we have made adjustments are unusual or infrequent or will not recur. We believe that the disclosure of these non-GAAP measures is useful to investors as they form part of the basis for how our management team and Board evaluate our operating performance, allocate resources and administer employee incentive plans.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0aee04ce58ba4067b6daada9a9c52dcb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lineRule="auto" w:line="288" w:before="0" w:after="0"/>
        <w:jc w:val="both"/>
        <w:rPr/>
      </w:pPr>
      <w:r>
        <w:rPr>
          <w:rFonts w:ascii="Times New Roman;sans-serif" w:hAnsi="Times New Roman;sans-serif"/>
          <w:b w:val="false"/>
          <w:i/>
          <w:color w:val="000000"/>
          <w:sz w:val="22"/>
        </w:rPr>
        <w:t xml:space="preserve">Selected Operating Data - </w:t>
      </w:r>
      <w:r>
        <w:rPr>
          <w:rFonts w:ascii="Times New Roman;sans-serif" w:hAnsi="Times New Roman;sans-serif"/>
          <w:b w:val="false"/>
          <w:color w:val="000000"/>
          <w:sz w:val="22"/>
        </w:rPr>
        <w:t>The table below presents the number of our restaurants in operation as of the periods indicated:</w:t>
      </w:r>
    </w:p>
    <w:tbl>
      <w:tblPr>
        <w:tblW w:w="6415" w:type="dxa"/>
        <w:jc w:val="left"/>
        <w:tblInd w:w="0" w:type="dxa"/>
        <w:tblLayout w:type="fixed"/>
        <w:tblCellMar>
          <w:top w:w="28" w:type="dxa"/>
          <w:left w:w="28" w:type="dxa"/>
          <w:bottom w:w="28" w:type="dxa"/>
          <w:right w:w="28" w:type="dxa"/>
        </w:tblCellMar>
      </w:tblPr>
      <w:tblGrid>
        <w:gridCol w:w="1308"/>
        <w:gridCol w:w="1150"/>
        <w:gridCol w:w="1157"/>
        <w:gridCol w:w="404"/>
        <w:gridCol w:w="404"/>
        <w:gridCol w:w="406"/>
        <w:gridCol w:w="109"/>
        <w:gridCol w:w="109"/>
        <w:gridCol w:w="109"/>
        <w:gridCol w:w="367"/>
        <w:gridCol w:w="367"/>
        <w:gridCol w:w="525"/>
      </w:tblGrid>
      <w:tr>
        <w:trPr/>
        <w:tc>
          <w:tcPr>
            <w:tcW w:w="1308"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Number of restaurants (at end of the period):</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Company-owned</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Franchised</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80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674 </w:t>
            </w:r>
          </w:p>
        </w:tc>
        <w:tc>
          <w:tcPr>
            <w:tcW w:w="40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689 </w:t>
            </w:r>
          </w:p>
        </w:tc>
        <w:tc>
          <w:tcPr>
            <w:tcW w:w="52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w:t>
            </w:r>
          </w:p>
        </w:tc>
        <w:tc>
          <w:tcPr>
            <w:tcW w:w="121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Company-owned</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Franchised</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80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40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218 </w:t>
            </w:r>
          </w:p>
        </w:tc>
        <w:tc>
          <w:tcPr>
            <w:tcW w:w="52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Bonefish Grill</w:t>
            </w:r>
          </w:p>
        </w:tc>
        <w:tc>
          <w:tcPr>
            <w:tcW w:w="121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Company-owned</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Franchised</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80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40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175 </w:t>
            </w:r>
          </w:p>
        </w:tc>
        <w:tc>
          <w:tcPr>
            <w:tcW w:w="52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Fleming’s Prime Steakhouse &amp; Wine Bar</w:t>
            </w:r>
          </w:p>
        </w:tc>
        <w:tc>
          <w:tcPr>
            <w:tcW w:w="121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Company-owned</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Aussie Grill</w:t>
            </w:r>
          </w:p>
        </w:tc>
        <w:tc>
          <w:tcPr>
            <w:tcW w:w="121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Company-owned</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Franchised</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80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40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52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total (1)</w:t>
            </w:r>
          </w:p>
        </w:tc>
        <w:tc>
          <w:tcPr>
            <w:tcW w:w="80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1,119 </w:t>
            </w:r>
          </w:p>
        </w:tc>
        <w:tc>
          <w:tcPr>
            <w:tcW w:w="40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1,153 </w:t>
            </w:r>
          </w:p>
        </w:tc>
        <w:tc>
          <w:tcPr>
            <w:tcW w:w="52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Company-owned</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 - Brazil (2)</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(2)(3)</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Franchised</w:t>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 - South Korea (1)</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(3)</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 total</w:t>
            </w:r>
          </w:p>
        </w:tc>
        <w:tc>
          <w:tcPr>
            <w:tcW w:w="80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346 </w:t>
            </w:r>
          </w:p>
        </w:tc>
        <w:tc>
          <w:tcPr>
            <w:tcW w:w="40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322 </w:t>
            </w:r>
          </w:p>
        </w:tc>
        <w:tc>
          <w:tcPr>
            <w:tcW w:w="52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System-wide total</w:t>
            </w:r>
          </w:p>
        </w:tc>
        <w:tc>
          <w:tcPr>
            <w:tcW w:w="80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1,465 </w:t>
            </w:r>
          </w:p>
        </w:tc>
        <w:tc>
          <w:tcPr>
            <w:tcW w:w="40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1,475 </w:t>
            </w:r>
          </w:p>
        </w:tc>
        <w:tc>
          <w:tcPr>
            <w:tcW w:w="52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System-wide total - Company-owned</w:t>
            </w:r>
          </w:p>
        </w:tc>
        <w:tc>
          <w:tcPr>
            <w:tcW w:w="80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1,173 </w:t>
            </w:r>
          </w:p>
        </w:tc>
        <w:tc>
          <w:tcPr>
            <w:tcW w:w="40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1,186 </w:t>
            </w:r>
          </w:p>
        </w:tc>
        <w:tc>
          <w:tcPr>
            <w:tcW w:w="52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System-wide total - Franchised</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(1)Excludes three and ten off-premises only kitchens as of June 30, 2024 and June 25, 2023, respectively. One location was Company-owned in the U.S. and all others were franchised in South Korea as of June 30, 2024 and June 25, 2023.</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(2)The restaurant counts for Brazil, including Abbraccio and Aussie Grill restaurants within International Company-owned Other, are reported as of May 31, 2024 and 2023, respectively, to correspond with the balance sheet dates of this subsidiary.</w:t>
      </w:r>
    </w:p>
    <w:p>
      <w:pPr>
        <w:pStyle w:val="TextBody"/>
        <w:bidi w:val="0"/>
        <w:spacing w:lineRule="auto" w:line="288" w:before="0" w:after="0"/>
        <w:ind w:left="0" w:right="0" w:hanging="720"/>
        <w:jc w:val="both"/>
        <w:rPr/>
      </w:pPr>
      <w:r>
        <w:rPr>
          <w:rFonts w:ascii="Times New Roman;sans-serif" w:hAnsi="Times New Roman;sans-serif"/>
          <w:b w:val="false"/>
          <w:color w:val="000000"/>
          <w:sz w:val="18"/>
        </w:rPr>
        <w:t>(3)International Company-owned Other included two and four</w:t>
      </w:r>
      <w:r>
        <w:rPr>
          <w:color w:val="000000"/>
        </w:rPr>
        <w:t xml:space="preserve"> </w:t>
      </w:r>
      <w:r>
        <w:rPr>
          <w:rFonts w:ascii="Times New Roman;sans-serif" w:hAnsi="Times New Roman;sans-serif"/>
          <w:b w:val="false"/>
          <w:color w:val="000000"/>
          <w:sz w:val="18"/>
        </w:rPr>
        <w:t>Aussie Grill locations as of June 30, 2024 and June 25, 2023, respectively. International Franchised Other included six and three Aussie Grill locations as of June 30, 2024 and June 25,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0aee04ce58ba4067b6daada9a9c52dcb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lineRule="auto" w:line="288" w:before="0" w:after="0"/>
        <w:jc w:val="left"/>
        <w:rPr>
          <w:rFonts w:ascii="Times New Roman;sans-serif" w:hAnsi="Times New Roman;sans-serif"/>
          <w:b/>
          <w:color w:val="000000"/>
          <w:sz w:val="22"/>
        </w:rPr>
      </w:pPr>
      <w:bookmarkStart w:id="20" w:name="i34474e9dd1c54d78987fe539bbe0fa50_27"/>
      <w:bookmarkEnd w:id="20"/>
      <w:r>
        <w:rPr>
          <w:rFonts w:ascii="Times New Roman;sans-serif" w:hAnsi="Times New Roman;sans-serif"/>
          <w:b/>
          <w:color w:val="000000"/>
          <w:sz w:val="22"/>
        </w:rPr>
        <w:t>Results of Operations</w:t>
      </w:r>
    </w:p>
    <w:p>
      <w:pPr>
        <w:pStyle w:val="TextBody"/>
        <w:bidi w:val="0"/>
        <w:spacing w:before="0" w:after="0"/>
        <w:ind w:left="0" w:right="0" w:hanging="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REVENUES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Restaurant Sales - </w:t>
      </w:r>
      <w:r>
        <w:rPr>
          <w:rFonts w:ascii="Times New Roman;sans-serif" w:hAnsi="Times New Roman;sans-serif"/>
          <w:b w:val="false"/>
          <w:color w:val="000000"/>
          <w:sz w:val="22"/>
        </w:rPr>
        <w:t>Following is a summary of the change in Restaurant sales for the periods indicated:</w:t>
      </w:r>
    </w:p>
    <w:tbl>
      <w:tblPr>
        <w:tblW w:w="7797" w:type="dxa"/>
        <w:jc w:val="left"/>
        <w:tblInd w:w="0" w:type="dxa"/>
        <w:tblLayout w:type="fixed"/>
        <w:tblCellMar>
          <w:top w:w="28" w:type="dxa"/>
          <w:left w:w="28" w:type="dxa"/>
          <w:bottom w:w="28" w:type="dxa"/>
          <w:right w:w="28" w:type="dxa"/>
        </w:tblCellMar>
      </w:tblPr>
      <w:tblGrid>
        <w:gridCol w:w="1011"/>
        <w:gridCol w:w="888"/>
        <w:gridCol w:w="891"/>
        <w:gridCol w:w="437"/>
        <w:gridCol w:w="1540"/>
        <w:gridCol w:w="243"/>
        <w:gridCol w:w="109"/>
        <w:gridCol w:w="109"/>
        <w:gridCol w:w="109"/>
        <w:gridCol w:w="463"/>
        <w:gridCol w:w="1633"/>
        <w:gridCol w:w="364"/>
      </w:tblGrid>
      <w:tr>
        <w:trPr/>
        <w:tc>
          <w:tcPr>
            <w:tcW w:w="10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 the periods ended June 25, 2023</w:t>
            </w:r>
          </w:p>
        </w:tc>
        <w:tc>
          <w:tcPr>
            <w:tcW w:w="43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1,137.3 </w:t>
            </w:r>
          </w:p>
        </w:tc>
        <w:tc>
          <w:tcPr>
            <w:tcW w:w="24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3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2,365.6 </w:t>
            </w:r>
          </w:p>
        </w:tc>
        <w:tc>
          <w:tcPr>
            <w:tcW w:w="36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from:</w:t>
            </w:r>
          </w:p>
        </w:tc>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closures</w:t>
            </w:r>
          </w:p>
        </w:tc>
        <w:tc>
          <w:tcPr>
            <w:tcW w:w="1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Comparable restaurant sales (1)</w:t>
            </w:r>
          </w:p>
        </w:tc>
        <w:tc>
          <w:tcPr>
            <w:tcW w:w="1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Brazil value added tax exemptions (2)</w:t>
            </w:r>
          </w:p>
        </w:tc>
        <w:tc>
          <w:tcPr>
            <w:tcW w:w="1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openings</w:t>
            </w:r>
          </w:p>
        </w:tc>
        <w:tc>
          <w:tcPr>
            <w:tcW w:w="1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foreign currency translation</w:t>
            </w:r>
          </w:p>
        </w:tc>
        <w:tc>
          <w:tcPr>
            <w:tcW w:w="1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 the periods ended June 30, 2024</w:t>
            </w:r>
          </w:p>
        </w:tc>
        <w:tc>
          <w:tcPr>
            <w:tcW w:w="43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1,103.6 </w:t>
            </w:r>
          </w:p>
        </w:tc>
        <w:tc>
          <w:tcPr>
            <w:tcW w:w="24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3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2,283.1 </w:t>
            </w:r>
          </w:p>
        </w:tc>
        <w:tc>
          <w:tcPr>
            <w:tcW w:w="36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________________</w:t>
      </w:r>
    </w:p>
    <w:p>
      <w:pPr>
        <w:pStyle w:val="TextBody"/>
        <w:bidi w:val="0"/>
        <w:spacing w:lineRule="auto" w:line="288" w:before="0" w:after="0"/>
        <w:ind w:left="0" w:right="0" w:hanging="720"/>
        <w:jc w:val="both"/>
        <w:rPr/>
      </w:pPr>
      <w:r>
        <w:rPr>
          <w:rFonts w:ascii="Times New Roman;sans-serif" w:hAnsi="Times New Roman;sans-serif"/>
          <w:b w:val="false"/>
          <w:color w:val="000000"/>
          <w:sz w:val="18"/>
        </w:rPr>
        <w:t xml:space="preserve">(1)Comparable restaurant sales for the twenty-six weeks ended June 30, 2024 includes an estimated </w:t>
      </w:r>
      <w:bookmarkStart w:id="21" w:name="i62849b3ac120401cadace63fb2839cff_2616"/>
      <w:bookmarkEnd w:id="21"/>
      <w:r>
        <w:rPr>
          <w:rFonts w:ascii="Times New Roman;sans-serif" w:hAnsi="Times New Roman;sans-serif"/>
          <w:b w:val="false"/>
          <w:color w:val="000000"/>
          <w:sz w:val="18"/>
        </w:rPr>
        <w:t>$16.5 million negative impact from a one-week shift in the fiscal calendar.</w:t>
      </w:r>
    </w:p>
    <w:p>
      <w:pPr>
        <w:pStyle w:val="TextBody"/>
        <w:bidi w:val="0"/>
        <w:spacing w:lineRule="auto" w:line="288" w:before="0" w:after="0"/>
        <w:ind w:left="0" w:right="0" w:hanging="720"/>
        <w:jc w:val="both"/>
        <w:rPr/>
      </w:pPr>
      <w:r>
        <w:rPr>
          <w:rFonts w:ascii="Times New Roman;sans-serif" w:hAnsi="Times New Roman;sans-serif"/>
          <w:b w:val="false"/>
          <w:color w:val="000000"/>
          <w:sz w:val="18"/>
        </w:rPr>
        <w:t xml:space="preserve">(2)During 2023, we were eligible for certain value added tax exemptions under the Brazil tax legislation until August 2023. Beginning on May 23, 2024, we are eligible for certain value added tax exemptions under the new Brazil tax legislation. See Note 15 - </w:t>
      </w:r>
      <w:r>
        <w:rPr>
          <w:rFonts w:ascii="Times New Roman;sans-serif" w:hAnsi="Times New Roman;sans-serif"/>
          <w:b w:val="false"/>
          <w:i/>
          <w:color w:val="000000"/>
          <w:sz w:val="18"/>
        </w:rPr>
        <w:t>Income Taxes</w:t>
      </w:r>
      <w:r>
        <w:rPr>
          <w:color w:val="000000"/>
        </w:rPr>
        <w:t xml:space="preserve"> </w:t>
      </w:r>
      <w:r>
        <w:rPr>
          <w:rFonts w:ascii="Times New Roman;sans-serif" w:hAnsi="Times New Roman;sans-serif"/>
          <w:b w:val="false"/>
          <w:color w:val="000000"/>
          <w:sz w:val="18"/>
        </w:rPr>
        <w:t>of the Notes to Consolidated Financial Statements for details regarding value added tax exemptions in connection with Brazil tax legislation.</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decrease in Restaurant sales during the thirteen weeks ended June 30, 2024 was primarily due to: (i) the closure of 53 restaurants since March 26, 2023, (ii) lower comparable restaurant sales and (iii) the benefit from value added tax exemptions in Brazil during 2023. The decrease in Restaurant sales was partially offset by the opening of 55 new restaurants not included in our comparable restaurant sales base.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decrease in Restaurant sales during the twenty-six weeks ended June 30, 2024 was primarily due to: (i) the closure of 57 restaurants since December 25, 2022, (ii) lower comparable restaurant sales including the impact of the one-week shift in the fiscal calendar and (iii) the benefit from value added tax exemptions in Brazil during 2023. The decrease in Restaurant sales was partially offset by the opening of 65 new restaurants not included in our comparable restaurant sales base and the effect of foreign currency translation of the Brazilian Real relative to the U.S. dollar.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0aee04ce58ba4067b6daada9a9c52dcb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lineRule="auto" w:line="288" w:before="0" w:after="0"/>
        <w:jc w:val="both"/>
        <w:rPr/>
      </w:pPr>
      <w:r>
        <w:rPr>
          <w:rFonts w:ascii="Times New Roman;sans-serif" w:hAnsi="Times New Roman;sans-serif"/>
          <w:b w:val="false"/>
          <w:i/>
          <w:color w:val="000000"/>
          <w:sz w:val="22"/>
        </w:rPr>
        <w:t xml:space="preserve">Average Restaurant Unit Volumes and Operating Weeks - </w:t>
      </w:r>
      <w:r>
        <w:rPr>
          <w:rFonts w:ascii="Times New Roman;sans-serif" w:hAnsi="Times New Roman;sans-serif"/>
          <w:b w:val="false"/>
          <w:color w:val="000000"/>
          <w:sz w:val="22"/>
        </w:rPr>
        <w:t>Following is a summary of the average restaurant unit volumes and operating weeks for the periods indicated:</w:t>
      </w:r>
    </w:p>
    <w:tbl>
      <w:tblPr>
        <w:tblW w:w="10205" w:type="dxa"/>
        <w:jc w:val="left"/>
        <w:tblInd w:w="0" w:type="dxa"/>
        <w:tblLayout w:type="fixed"/>
        <w:tblCellMar>
          <w:top w:w="28" w:type="dxa"/>
          <w:left w:w="28" w:type="dxa"/>
          <w:bottom w:w="28" w:type="dxa"/>
          <w:right w:w="28" w:type="dxa"/>
        </w:tblCellMar>
      </w:tblPr>
      <w:tblGrid>
        <w:gridCol w:w="1134"/>
        <w:gridCol w:w="994"/>
        <w:gridCol w:w="998"/>
        <w:gridCol w:w="227"/>
        <w:gridCol w:w="858"/>
        <w:gridCol w:w="126"/>
        <w:gridCol w:w="109"/>
        <w:gridCol w:w="109"/>
        <w:gridCol w:w="109"/>
        <w:gridCol w:w="227"/>
        <w:gridCol w:w="858"/>
        <w:gridCol w:w="126"/>
        <w:gridCol w:w="109"/>
        <w:gridCol w:w="109"/>
        <w:gridCol w:w="109"/>
        <w:gridCol w:w="109"/>
        <w:gridCol w:w="177"/>
        <w:gridCol w:w="319"/>
        <w:gridCol w:w="1201"/>
        <w:gridCol w:w="177"/>
        <w:gridCol w:w="177"/>
        <w:gridCol w:w="177"/>
        <w:gridCol w:w="177"/>
        <w:gridCol w:w="227"/>
        <w:gridCol w:w="858"/>
        <w:gridCol w:w="126"/>
        <w:gridCol w:w="109"/>
        <w:gridCol w:w="169"/>
      </w:tblGrid>
      <w:tr>
        <w:trPr/>
        <w:tc>
          <w:tcPr>
            <w:tcW w:w="113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109" w:type="dxa"/>
            <w:tcBorders/>
            <w:vAlign w:val="center"/>
          </w:tcPr>
          <w:p>
            <w:pPr>
              <w:pStyle w:val="TableContents"/>
              <w:bidi w:val="0"/>
              <w:spacing w:before="0" w:after="283"/>
              <w:jc w:val="left"/>
              <w:rPr>
                <w:sz w:val="4"/>
                <w:szCs w:val="4"/>
              </w:rPr>
            </w:pPr>
            <w:r>
              <w:rPr>
                <w:sz w:val="4"/>
                <w:szCs w:val="4"/>
              </w:rPr>
            </w:r>
          </w:p>
        </w:tc>
        <w:tc>
          <w:tcPr>
            <w:tcW w:w="2405"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c>
          <w:tcPr>
            <w:tcW w:w="1489" w:type="dxa"/>
            <w:gridSpan w:val="5"/>
            <w:tcBorders/>
          </w:tcPr>
          <w:p>
            <w:pPr>
              <w:pStyle w:val="TableContents"/>
              <w:bidi w:val="0"/>
              <w:spacing w:before="0" w:after="283"/>
              <w:jc w:val="left"/>
              <w:rPr>
                <w:sz w:val="4"/>
                <w:szCs w:val="4"/>
              </w:rPr>
            </w:pPr>
            <w:r>
              <w:rPr>
                <w:sz w:val="4"/>
                <w:szCs w:val="4"/>
              </w:rPr>
            </w:r>
          </w:p>
        </w:tc>
      </w:tr>
      <w:tr>
        <w:trPr/>
        <w:tc>
          <w:tcPr>
            <w:tcW w:w="3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69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53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restaurant unit volumes (weekly):</w:t>
            </w:r>
          </w:p>
        </w:tc>
        <w:tc>
          <w:tcPr>
            <w:tcW w:w="121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697"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78,698 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78,321 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80,870 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81,421 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69,942 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68,290 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71,259 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70,489 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Bonefish Grill</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63,760 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64,671 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65,232 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67,427 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Fleming’s Prime Steakhouse &amp; Wine Bar</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107,399 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109,882 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111,512 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115,754 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 - Brazil (1)</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55,282 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58,306 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58,344 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60,670 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26"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weeks:</w:t>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14,314 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14,679 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Bonefish Grill</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Fleming’s Prime Steakhouse &amp; Wine Bar</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 - Brazil</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26"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26"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26"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____________________</w:t>
      </w:r>
    </w:p>
    <w:p>
      <w:pPr>
        <w:pStyle w:val="TextBody"/>
        <w:bidi w:val="0"/>
        <w:spacing w:lineRule="auto" w:line="288" w:before="0" w:after="0"/>
        <w:ind w:left="0" w:right="0" w:hanging="720"/>
        <w:jc w:val="both"/>
        <w:rPr/>
      </w:pPr>
      <w:r>
        <w:rPr>
          <w:rFonts w:ascii="Times New Roman;sans-serif" w:hAnsi="Times New Roman;sans-serif"/>
          <w:b w:val="false"/>
          <w:color w:val="000000"/>
          <w:sz w:val="18"/>
        </w:rPr>
        <w:t xml:space="preserve">(1)Translated at average exchange rates of 5.08 and 5.06 for the thirteen weeks ended June 30, 2024 and June 25, 2023, respectively, and 5.00 and 5.14 for the twenty-six weeks ended June 30, 2024 and June 25, 2023, respectively. Excludes the benefit of the Brazil value added tax exemptions discussed in Note 15 - </w:t>
      </w:r>
      <w:r>
        <w:rPr>
          <w:rFonts w:ascii="Times New Roman;sans-serif" w:hAnsi="Times New Roman;sans-serif"/>
          <w:b w:val="false"/>
          <w:i/>
          <w:color w:val="000000"/>
          <w:sz w:val="18"/>
        </w:rPr>
        <w:t>Income Taxes</w:t>
      </w:r>
      <w:r>
        <w:rPr>
          <w:color w:val="000000"/>
        </w:rPr>
        <w:t xml:space="preserve"> </w:t>
      </w:r>
      <w:r>
        <w:rPr>
          <w:rFonts w:ascii="Times New Roman;sans-serif" w:hAnsi="Times New Roman;sans-serif"/>
          <w:b w:val="false"/>
          <w:color w:val="000000"/>
          <w:sz w:val="18"/>
        </w:rPr>
        <w:t>of the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0aee04ce58ba4067b6daada9a9c52dcb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lineRule="auto" w:line="288" w:before="0" w:after="0"/>
        <w:jc w:val="both"/>
        <w:rPr/>
      </w:pPr>
      <w:r>
        <w:rPr>
          <w:rFonts w:ascii="Times New Roman;sans-serif" w:hAnsi="Times New Roman;sans-serif"/>
          <w:b w:val="false"/>
          <w:i/>
          <w:color w:val="000000"/>
          <w:sz w:val="22"/>
        </w:rPr>
        <w:t xml:space="preserve">Comparable Restaurant Sales, Traffic and Average Check Per Person (Decreases) Increases - </w:t>
      </w:r>
      <w:r>
        <w:rPr>
          <w:rFonts w:ascii="Times New Roman;sans-serif" w:hAnsi="Times New Roman;sans-serif"/>
          <w:b w:val="false"/>
          <w:color w:val="000000"/>
          <w:sz w:val="22"/>
        </w:rPr>
        <w:t>Following is a summary of comparable restaurant sales, traffic and average check per person (decreases) increases for the periods indicated:</w:t>
      </w:r>
    </w:p>
    <w:tbl>
      <w:tblPr>
        <w:tblW w:w="10205" w:type="dxa"/>
        <w:jc w:val="left"/>
        <w:tblInd w:w="0" w:type="dxa"/>
        <w:tblLayout w:type="fixed"/>
        <w:tblCellMar>
          <w:top w:w="28" w:type="dxa"/>
          <w:left w:w="28" w:type="dxa"/>
          <w:bottom w:w="28" w:type="dxa"/>
          <w:right w:w="28" w:type="dxa"/>
        </w:tblCellMar>
      </w:tblPr>
      <w:tblGrid>
        <w:gridCol w:w="1386"/>
        <w:gridCol w:w="1185"/>
        <w:gridCol w:w="1194"/>
        <w:gridCol w:w="109"/>
        <w:gridCol w:w="109"/>
        <w:gridCol w:w="321"/>
        <w:gridCol w:w="272"/>
        <w:gridCol w:w="642"/>
        <w:gridCol w:w="166"/>
        <w:gridCol w:w="166"/>
        <w:gridCol w:w="166"/>
        <w:gridCol w:w="279"/>
        <w:gridCol w:w="231"/>
        <w:gridCol w:w="543"/>
        <w:gridCol w:w="109"/>
        <w:gridCol w:w="109"/>
        <w:gridCol w:w="109"/>
        <w:gridCol w:w="109"/>
        <w:gridCol w:w="109"/>
        <w:gridCol w:w="322"/>
        <w:gridCol w:w="273"/>
        <w:gridCol w:w="641"/>
        <w:gridCol w:w="176"/>
        <w:gridCol w:w="176"/>
        <w:gridCol w:w="176"/>
        <w:gridCol w:w="264"/>
        <w:gridCol w:w="246"/>
        <w:gridCol w:w="617"/>
      </w:tblGrid>
      <w:tr>
        <w:trPr/>
        <w:tc>
          <w:tcPr>
            <w:tcW w:w="1386"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 (1)</w:t>
            </w:r>
          </w:p>
        </w:tc>
        <w:tc>
          <w:tcPr>
            <w:tcW w:w="49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 (1)</w:t>
            </w:r>
          </w:p>
        </w:tc>
        <w:tc>
          <w:tcPr>
            <w:tcW w:w="52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Year over year percentage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Comparable restaurant sales (restaurants open 18 months or more):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Outback Steakhouse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Bonefish Grill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Fleming’s Prime Steakhouse &amp; Wine Bar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Combined 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0.8 </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 - Brazil (3)(4)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Traffic: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Bonefish Grill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Fleming’s Prime Steakhouse &amp; Wine Bar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Combined 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 - Brazil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check per person (5):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Bonefish Grill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Fleming’s Prime Steakhouse &amp; Wine Bar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Combined 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 - Brazil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(1)For Q2 2024, comparable restaurant sales, traffic and average check per person compare the thirteen weeks from April 1, 2024 through June 30, 2024 to the thirteen weeks from April 3, 2023 through July 2, 2023, and for the twenty-six weeks from January 1, 2024 through June 30, 2024 to the twenty-six weeks from January 2, 2023 through July 2, 2023.</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(2)Relocated restaurants closed more than 60 days are excluded from comparable restaurant sales until at least 18 months after reopening.</w:t>
      </w:r>
    </w:p>
    <w:p>
      <w:pPr>
        <w:pStyle w:val="TextBody"/>
        <w:bidi w:val="0"/>
        <w:spacing w:lineRule="auto" w:line="288" w:before="0" w:after="0"/>
        <w:ind w:left="0" w:right="0" w:hanging="720"/>
        <w:jc w:val="both"/>
        <w:rPr/>
      </w:pPr>
      <w:r>
        <w:rPr>
          <w:rFonts w:ascii="Times New Roman;sans-serif" w:hAnsi="Times New Roman;sans-serif"/>
          <w:b w:val="false"/>
          <w:color w:val="000000"/>
          <w:sz w:val="18"/>
        </w:rPr>
        <w:t xml:space="preserve">(3)Excludes the effect of fluctuations in foreign currency rates and the benefit of the Brazil value added tax exemptions discussed in Note 15 - </w:t>
      </w:r>
      <w:r>
        <w:rPr>
          <w:rFonts w:ascii="Times New Roman;sans-serif" w:hAnsi="Times New Roman;sans-serif"/>
          <w:b w:val="false"/>
          <w:i/>
          <w:color w:val="000000"/>
          <w:sz w:val="18"/>
        </w:rPr>
        <w:t>Income Taxes</w:t>
      </w:r>
      <w:r>
        <w:rPr>
          <w:color w:val="000000"/>
        </w:rPr>
        <w:t xml:space="preserve"> </w:t>
      </w:r>
      <w:r>
        <w:rPr>
          <w:rFonts w:ascii="Times New Roman;sans-serif" w:hAnsi="Times New Roman;sans-serif"/>
          <w:b w:val="false"/>
          <w:color w:val="000000"/>
          <w:sz w:val="18"/>
        </w:rPr>
        <w:t>of the Notes to Consolidated Financial Statements.</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(4)Includes trading day impact from calendar period reporting.</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(5)Includes the impact of menu pricing changes, product mix and discounts.</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0aee04ce58ba4067b6daada9a9c52dcb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lineRule="auto" w:line="288" w:before="0" w:after="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COSTS AND EXPENSES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sets forth the percentages of certain items in our Consolidated Statements of Operations in relation to Restaurant sales or Total revenues for the periods indicated:</w:t>
      </w:r>
    </w:p>
    <w:tbl>
      <w:tblPr>
        <w:tblW w:w="10205" w:type="dxa"/>
        <w:jc w:val="left"/>
        <w:tblInd w:w="0" w:type="dxa"/>
        <w:tblLayout w:type="fixed"/>
        <w:tblCellMar>
          <w:top w:w="28" w:type="dxa"/>
          <w:left w:w="28" w:type="dxa"/>
          <w:bottom w:w="28" w:type="dxa"/>
          <w:right w:w="28" w:type="dxa"/>
        </w:tblCellMar>
      </w:tblPr>
      <w:tblGrid>
        <w:gridCol w:w="1380"/>
        <w:gridCol w:w="1189"/>
        <w:gridCol w:w="1194"/>
        <w:gridCol w:w="279"/>
        <w:gridCol w:w="278"/>
        <w:gridCol w:w="620"/>
        <w:gridCol w:w="181"/>
        <w:gridCol w:w="181"/>
        <w:gridCol w:w="181"/>
        <w:gridCol w:w="279"/>
        <w:gridCol w:w="278"/>
        <w:gridCol w:w="620"/>
        <w:gridCol w:w="109"/>
        <w:gridCol w:w="109"/>
        <w:gridCol w:w="109"/>
        <w:gridCol w:w="279"/>
        <w:gridCol w:w="278"/>
        <w:gridCol w:w="620"/>
        <w:gridCol w:w="197"/>
        <w:gridCol w:w="197"/>
        <w:gridCol w:w="197"/>
        <w:gridCol w:w="279"/>
        <w:gridCol w:w="278"/>
        <w:gridCol w:w="620"/>
        <w:gridCol w:w="109"/>
        <w:gridCol w:w="164"/>
      </w:tblGrid>
      <w:tr>
        <w:trPr/>
        <w:tc>
          <w:tcPr>
            <w:tcW w:w="1380"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54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59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17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sales</w:t>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98.6 </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98.7 </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98.7 </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98.7 </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 and other revenues</w:t>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6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6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6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6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55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62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62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62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62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Costs and expenses</w:t>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 (1)</w:t>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Labor and other related (1)</w:t>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29.8 </w:t>
            </w:r>
          </w:p>
        </w:tc>
        <w:tc>
          <w:tcPr>
            <w:tcW w:w="6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28.7 </w:t>
            </w:r>
          </w:p>
        </w:tc>
        <w:tc>
          <w:tcPr>
            <w:tcW w:w="6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29.4 </w:t>
            </w:r>
          </w:p>
        </w:tc>
        <w:tc>
          <w:tcPr>
            <w:tcW w:w="6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28.2 </w:t>
            </w:r>
          </w:p>
        </w:tc>
        <w:tc>
          <w:tcPr>
            <w:tcW w:w="6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restaurant operating (1)</w:t>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6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6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6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6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General and administrative </w:t>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63"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63"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63"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impaired assets and restaurant closings</w:t>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6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6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6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6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63"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costs and expenses</w:t>
            </w:r>
          </w:p>
        </w:tc>
        <w:tc>
          <w:tcPr>
            <w:tcW w:w="55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95.9 </w:t>
            </w:r>
          </w:p>
        </w:tc>
        <w:tc>
          <w:tcPr>
            <w:tcW w:w="62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92.2 </w:t>
            </w:r>
          </w:p>
        </w:tc>
        <w:tc>
          <w:tcPr>
            <w:tcW w:w="62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94.7 </w:t>
            </w:r>
          </w:p>
        </w:tc>
        <w:tc>
          <w:tcPr>
            <w:tcW w:w="62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91.2 </w:t>
            </w:r>
          </w:p>
        </w:tc>
        <w:tc>
          <w:tcPr>
            <w:tcW w:w="62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w:t>
            </w:r>
          </w:p>
        </w:tc>
        <w:tc>
          <w:tcPr>
            <w:tcW w:w="55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62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62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62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62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of debt</w:t>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63"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63"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63"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6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6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6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6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provision for income taxes</w:t>
            </w:r>
          </w:p>
        </w:tc>
        <w:tc>
          <w:tcPr>
            <w:tcW w:w="55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62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62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62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62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6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6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6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6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55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62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62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62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62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attributable to noncontrolling interests</w:t>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6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6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6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6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Bloomin’ Brands</w:t>
            </w:r>
          </w:p>
        </w:tc>
        <w:tc>
          <w:tcPr>
            <w:tcW w:w="557" w:type="dxa"/>
            <w:gridSpan w:val="2"/>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62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62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62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62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(1)As a percentage of Restaurant sales.</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i/>
          <w:color w:val="000000"/>
          <w:sz w:val="22"/>
          <w:u w:val="single"/>
        </w:rPr>
      </w:pPr>
      <w:r>
        <w:rPr>
          <w:rFonts w:ascii="Times New Roman;sans-serif" w:hAnsi="Times New Roman;sans-serif"/>
          <w:b w:val="false"/>
          <w:i/>
          <w:color w:val="000000"/>
          <w:sz w:val="22"/>
          <w:u w:val="single"/>
        </w:rPr>
        <w:t>Thirteen weeks ended June 30, 2024 as compared to thirteen weeks ended June 25,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Food and beverage cost</w:t>
      </w:r>
      <w:r>
        <w:rPr>
          <w:color w:val="000000"/>
        </w:rPr>
        <w:t xml:space="preserve"> </w:t>
      </w:r>
      <w:r>
        <w:rPr>
          <w:rFonts w:ascii="Times New Roman;sans-serif" w:hAnsi="Times New Roman;sans-serif"/>
          <w:b w:val="false"/>
          <w:color w:val="000000"/>
          <w:sz w:val="22"/>
        </w:rPr>
        <w:t>decreased as a percentage of Restaurant sales primarily due to 1.4% from increases in average check per person driven by an increase in menu pricing and 0.6% from cost-saving and productivity initiatives. These decreases were partially offset by increases as a percentage of Restaurant sales of 0.9% from unfavorable product mix and 0.4% from commodity inflation.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Labor and other related expense</w:t>
      </w:r>
      <w:r>
        <w:rPr>
          <w:color w:val="000000"/>
        </w:rPr>
        <w:t xml:space="preserve"> </w:t>
      </w:r>
      <w:r>
        <w:rPr>
          <w:rFonts w:ascii="Times New Roman;sans-serif" w:hAnsi="Times New Roman;sans-serif"/>
          <w:b w:val="false"/>
          <w:color w:val="000000"/>
          <w:sz w:val="22"/>
        </w:rPr>
        <w:t>increased as a percentage of Restaurant sales primarily due to 1.8% from higher hourly and field management labor costs, primarily due to wage rate inflation, partially offset by a decrease of 0.8% from an increase in average check per person.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Other restaurant operating expense</w:t>
      </w:r>
      <w:r>
        <w:rPr>
          <w:color w:val="000000"/>
        </w:rPr>
        <w:t xml:space="preserve"> </w:t>
      </w:r>
      <w:r>
        <w:rPr>
          <w:rFonts w:ascii="Times New Roman;sans-serif" w:hAnsi="Times New Roman;sans-serif"/>
          <w:b w:val="false"/>
          <w:color w:val="000000"/>
          <w:sz w:val="22"/>
        </w:rPr>
        <w:t>increased as a percentage of Restaurant sales primarily due to 1.6% from higher restaurant-level operating and supply expenses, primarily due to inflation, and 0.4% from higher advertising expense. These increases were partially offset by decreases as a percentage of Restaurant sales of 0.6% from an increase in average check per person and 0.2% from certain cost-saving and productivity initiatives.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Depreciation and amortization expense</w:t>
      </w:r>
      <w:r>
        <w:rPr>
          <w:color w:val="000000"/>
        </w:rPr>
        <w:t xml:space="preserve"> </w:t>
      </w:r>
      <w:r>
        <w:rPr>
          <w:rFonts w:ascii="Times New Roman;sans-serif" w:hAnsi="Times New Roman;sans-serif"/>
          <w:b w:val="false"/>
          <w:color w:val="000000"/>
          <w:sz w:val="22"/>
        </w:rPr>
        <w:t>increased primarily due to restaurant development and technology projects.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Provision for impaired assets and restaurant closings </w:t>
      </w:r>
      <w:r>
        <w:rPr>
          <w:rFonts w:ascii="Times New Roman;sans-serif" w:hAnsi="Times New Roman;sans-serif"/>
          <w:b w:val="false"/>
          <w:color w:val="000000"/>
          <w:sz w:val="22"/>
        </w:rPr>
        <w:t>increased primarily due to impairment and closure charges in connection with the Q2 2024 decision to close nine restaurants in Hong Kong and closure charges in connection with the Q4 2023 decision to close 36 older, predominately underperforming restaurants within the U.S. segment</w:t>
      </w:r>
      <w:r>
        <w:rPr>
          <w:rFonts w:ascii="Times New Roman;sans-serif" w:hAnsi="Times New Roman;sans-serif"/>
          <w:b w:val="false"/>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0aee04ce58ba4067b6daada9a9c52dcb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lineRule="auto" w:line="288" w:before="0" w:after="0"/>
        <w:jc w:val="both"/>
        <w:rPr/>
      </w:pPr>
      <w:bookmarkStart w:id="22" w:name="i05f7bfd2088a4186a26cc5f29554d0a1_314"/>
      <w:bookmarkEnd w:id="22"/>
      <w:r>
        <w:rPr>
          <w:rFonts w:ascii="Times New Roman;sans-serif" w:hAnsi="Times New Roman;sans-serif"/>
          <w:b w:val="false"/>
          <w:i/>
          <w:color w:val="000000"/>
          <w:sz w:val="22"/>
        </w:rPr>
        <w:t xml:space="preserve">Income from operations </w:t>
      </w:r>
      <w:r>
        <w:rPr>
          <w:rFonts w:ascii="Times New Roman;sans-serif" w:hAnsi="Times New Roman;sans-serif"/>
          <w:b w:val="false"/>
          <w:color w:val="000000"/>
          <w:sz w:val="22"/>
        </w:rPr>
        <w:t>during the thirteen weeks ended June 30, 2024 includes a net operating margin decrease of approximatel</w:t>
      </w:r>
      <w:bookmarkStart w:id="23" w:name="i05f7bfd2088a4186a26cc5f29554d0a1_300"/>
      <w:bookmarkEnd w:id="23"/>
      <w:r>
        <w:rPr>
          <w:rFonts w:ascii="Times New Roman;sans-serif" w:hAnsi="Times New Roman;sans-serif"/>
          <w:b w:val="false"/>
          <w:color w:val="000000"/>
          <w:sz w:val="22"/>
        </w:rPr>
        <w:t xml:space="preserve">y 0.4% attributable to the lapping of the 2023 Brazil value added tax exemptions (PIS and COFINS). Beginning on May 23, 2024, we are eligible for certain value added tax exemptions under the new Brazil tax legislation. See Note 15 - </w:t>
      </w:r>
      <w:r>
        <w:rPr>
          <w:rFonts w:ascii="Times New Roman;sans-serif" w:hAnsi="Times New Roman;sans-serif"/>
          <w:b w:val="false"/>
          <w:i/>
          <w:color w:val="000000"/>
          <w:sz w:val="22"/>
        </w:rPr>
        <w:t>Income Taxes</w:t>
      </w:r>
      <w:r>
        <w:rPr>
          <w:color w:val="000000"/>
        </w:rPr>
        <w:t xml:space="preserve"> </w:t>
      </w:r>
      <w:r>
        <w:rPr>
          <w:rFonts w:ascii="Times New Roman;sans-serif" w:hAnsi="Times New Roman;sans-serif"/>
          <w:b w:val="false"/>
          <w:color w:val="000000"/>
          <w:sz w:val="22"/>
        </w:rPr>
        <w:t>of the Notes to Consolidated Financial Statements for further discussion regarding Brazil tax legislation.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Provision for income taxes</w:t>
      </w:r>
      <w:r>
        <w:rPr>
          <w:color w:val="000000"/>
        </w:rPr>
        <w:t xml:space="preserve"> </w:t>
      </w:r>
      <w:r>
        <w:rPr>
          <w:rFonts w:ascii="Times New Roman;sans-serif" w:hAnsi="Times New Roman;sans-serif"/>
          <w:b w:val="false"/>
          <w:color w:val="000000"/>
          <w:sz w:val="22"/>
        </w:rPr>
        <w:t xml:space="preserve">for the thirteen weeks ended June 30, 2024 includes the impact of lower forecasted annual pre-tax book income for the thirteen weeks ended June 30, 2024 relative to the prior quarter in 2024.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i/>
          <w:color w:val="000000"/>
          <w:sz w:val="22"/>
          <w:u w:val="single"/>
        </w:rPr>
      </w:pPr>
      <w:r>
        <w:rPr>
          <w:rFonts w:ascii="Times New Roman;sans-serif" w:hAnsi="Times New Roman;sans-serif"/>
          <w:b w:val="false"/>
          <w:i/>
          <w:color w:val="000000"/>
          <w:sz w:val="22"/>
          <w:u w:val="single"/>
        </w:rPr>
        <w:t>Twenty-six weeks ended June 30, 2024 as compared to twenty-six weeks ended June 25,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Food and beverage cost</w:t>
      </w:r>
      <w:r>
        <w:rPr>
          <w:color w:val="000000"/>
        </w:rPr>
        <w:t xml:space="preserve"> </w:t>
      </w:r>
      <w:r>
        <w:rPr>
          <w:rFonts w:ascii="Times New Roman;sans-serif" w:hAnsi="Times New Roman;sans-serif"/>
          <w:b w:val="false"/>
          <w:color w:val="000000"/>
          <w:sz w:val="22"/>
        </w:rPr>
        <w:t xml:space="preserve">decreased as a percentage of Restaurant sales primarily due to 1.3% from increases in average check per person driven by an increase in menu pricing and 0.6% from cost-saving and productivity initiatives. These decreases were partially offset by increases as a percentage of Restaurant sales of: (i) 0.6% from unfavorable product mix, (ii) 0.2% from commodity inflation and (iii) 0.2% from the lapping of the 2023 Brazil value added tax exemptions.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Labor and other related expense</w:t>
      </w:r>
      <w:r>
        <w:rPr>
          <w:color w:val="000000"/>
        </w:rPr>
        <w:t xml:space="preserve"> </w:t>
      </w:r>
      <w:r>
        <w:rPr>
          <w:rFonts w:ascii="Times New Roman;sans-serif" w:hAnsi="Times New Roman;sans-serif"/>
          <w:b w:val="false"/>
          <w:color w:val="000000"/>
          <w:sz w:val="22"/>
        </w:rPr>
        <w:t>increased as a percentage of Restaurant sales primarily due to 1.7% from higher hourly and field management labor costs, primarily due to wage rate inflation, partially offset by a decrease of 0.5% from an increase in average check per person.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Other restaurant operating expense</w:t>
      </w:r>
      <w:r>
        <w:rPr>
          <w:color w:val="000000"/>
        </w:rPr>
        <w:t xml:space="preserve"> </w:t>
      </w:r>
      <w:r>
        <w:rPr>
          <w:rFonts w:ascii="Times New Roman;sans-serif" w:hAnsi="Times New Roman;sans-serif"/>
          <w:b w:val="false"/>
          <w:color w:val="000000"/>
          <w:sz w:val="22"/>
        </w:rPr>
        <w:t>increased as a percentage of Restaurant sales primarily due to 1.2% from higher restaurant-level operating and supply expenses, primarily due to inflation, and 0.5% from higher advertising expense. These increases were partially offset by decreases as a percentage of Restaurant sales of 0.3% from an increase in average check per person and 0.2% from certain cost-saving and productivity initiatives.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Depreciation and amortization expense</w:t>
      </w:r>
      <w:r>
        <w:rPr>
          <w:color w:val="000000"/>
        </w:rPr>
        <w:t xml:space="preserve"> </w:t>
      </w:r>
      <w:r>
        <w:rPr>
          <w:rFonts w:ascii="Times New Roman;sans-serif" w:hAnsi="Times New Roman;sans-serif"/>
          <w:b w:val="false"/>
          <w:color w:val="000000"/>
          <w:sz w:val="22"/>
        </w:rPr>
        <w:t>increased primarily due to restaurant development and technology projects.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Provision for impaired assets and restaurant closings </w:t>
      </w:r>
      <w:r>
        <w:rPr>
          <w:rFonts w:ascii="Times New Roman;sans-serif" w:hAnsi="Times New Roman;sans-serif"/>
          <w:b w:val="false"/>
          <w:color w:val="000000"/>
          <w:sz w:val="22"/>
        </w:rPr>
        <w:t>increased primarily due to impairment and closure charges in connection with the Q2 2024 decision to close nine restaurants in Hong Kong and the Q4 2023 decision to close 36 older, predominately underperforming restaurants within the U.S. segment.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Income from operations </w:t>
      </w:r>
      <w:r>
        <w:rPr>
          <w:rFonts w:ascii="Times New Roman;sans-serif" w:hAnsi="Times New Roman;sans-serif"/>
          <w:b w:val="false"/>
          <w:color w:val="000000"/>
          <w:sz w:val="22"/>
        </w:rPr>
        <w:t xml:space="preserve">during the twenty-six weeks ended June 30, 2024 includes a net operating margin decrease of approximately 0.3% attributable to the lapping of the 2023 Brazil value added tax exemptions (PIS and COFINS). Beginning on May 23, 2024, we are eligible for certain value added taxes exemptions under the new Brazil tax legislation. See Note 15 - </w:t>
      </w:r>
      <w:r>
        <w:rPr>
          <w:rFonts w:ascii="Times New Roman;sans-serif" w:hAnsi="Times New Roman;sans-serif"/>
          <w:b w:val="false"/>
          <w:i/>
          <w:color w:val="000000"/>
          <w:sz w:val="22"/>
        </w:rPr>
        <w:t>Income Taxes</w:t>
      </w:r>
      <w:r>
        <w:rPr>
          <w:color w:val="000000"/>
        </w:rPr>
        <w:t xml:space="preserve"> </w:t>
      </w:r>
      <w:r>
        <w:rPr>
          <w:rFonts w:ascii="Times New Roman;sans-serif" w:hAnsi="Times New Roman;sans-serif"/>
          <w:b w:val="false"/>
          <w:color w:val="000000"/>
          <w:sz w:val="22"/>
        </w:rPr>
        <w:t>of the Notes to Consolidated Financial Statements for further discussion regarding Brazil tax legislation.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Loss on extinguishment of debt </w:t>
      </w:r>
      <w:r>
        <w:rPr>
          <w:rFonts w:ascii="Times New Roman;sans-serif" w:hAnsi="Times New Roman;sans-serif"/>
          <w:b w:val="false"/>
          <w:color w:val="000000"/>
          <w:sz w:val="22"/>
        </w:rPr>
        <w:t xml:space="preserve">during the twenty-six weeks ended June 30, 2024 was in connection with the 2025 Notes Partial Repurchase, which is described in further detail within Note 10 - </w:t>
      </w:r>
      <w:r>
        <w:rPr>
          <w:rFonts w:ascii="Times New Roman;sans-serif" w:hAnsi="Times New Roman;sans-serif"/>
          <w:b w:val="false"/>
          <w:i/>
          <w:color w:val="000000"/>
          <w:sz w:val="22"/>
        </w:rPr>
        <w:t>Convertible Senior Notes</w:t>
      </w:r>
      <w:r>
        <w:rPr>
          <w:color w:val="000000"/>
        </w:rPr>
        <w:t xml:space="preserve"> </w:t>
      </w:r>
      <w:r>
        <w:rPr>
          <w:rFonts w:ascii="Times New Roman;sans-serif" w:hAnsi="Times New Roman;sans-serif"/>
          <w:b w:val="false"/>
          <w:color w:val="000000"/>
          <w:sz w:val="22"/>
        </w:rPr>
        <w:t>of the Notes to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Provision for income taxes</w:t>
      </w:r>
      <w:r>
        <w:rPr>
          <w:color w:val="000000"/>
        </w:rPr>
        <w:t xml:space="preserve"> </w:t>
      </w:r>
      <w:r>
        <w:rPr>
          <w:rFonts w:ascii="Times New Roman;sans-serif" w:hAnsi="Times New Roman;sans-serif"/>
          <w:b w:val="false"/>
          <w:color w:val="000000"/>
          <w:sz w:val="22"/>
        </w:rPr>
        <w:t>for the twenty-six weeks ended June 30, 2024 includes the impact of nondeductible losses associated with the 2025 Notes Partial Repurchase which, relative to a pre-tax book loss during the period, resulted in a negative effective income tax rate.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0aee04ce58ba4067b6daada9a9c52dcb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lineRule="auto" w:line="288" w:before="0" w:after="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SEGMENT PERFORMANCE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is a summary of reporting segments:</w:t>
      </w:r>
    </w:p>
    <w:tbl>
      <w:tblPr>
        <w:tblW w:w="8317" w:type="dxa"/>
        <w:jc w:val="left"/>
        <w:tblInd w:w="0" w:type="dxa"/>
        <w:tblLayout w:type="fixed"/>
        <w:tblCellMar>
          <w:top w:w="28" w:type="dxa"/>
          <w:left w:w="28" w:type="dxa"/>
          <w:bottom w:w="28" w:type="dxa"/>
          <w:right w:w="28" w:type="dxa"/>
        </w:tblCellMar>
      </w:tblPr>
      <w:tblGrid>
        <w:gridCol w:w="852"/>
        <w:gridCol w:w="750"/>
        <w:gridCol w:w="752"/>
        <w:gridCol w:w="109"/>
        <w:gridCol w:w="109"/>
        <w:gridCol w:w="109"/>
        <w:gridCol w:w="1014"/>
        <w:gridCol w:w="1014"/>
        <w:gridCol w:w="1017"/>
        <w:gridCol w:w="109"/>
        <w:gridCol w:w="109"/>
        <w:gridCol w:w="109"/>
        <w:gridCol w:w="663"/>
        <w:gridCol w:w="663"/>
        <w:gridCol w:w="938"/>
      </w:tblGrid>
      <w:tr>
        <w:trPr/>
        <w:tc>
          <w:tcPr>
            <w:tcW w:w="85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REPORTABLE SEGMENT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CONCEPT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GEOGRAPHIC LOCATION</w:t>
            </w:r>
          </w:p>
        </w:tc>
      </w:tr>
      <w:tr>
        <w:trPr/>
        <w:tc>
          <w:tcPr>
            <w:tcW w:w="2354" w:type="dxa"/>
            <w:gridSpan w:val="3"/>
            <w:vMerge w:val="restart"/>
            <w:tcBorders>
              <w:top w:val="single" w:sz="16"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op w:val="single" w:sz="16"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vMerge w:val="restart"/>
            <w:tcBorders>
              <w:top w:val="single" w:sz="16"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United States of America</w:t>
            </w:r>
          </w:p>
        </w:tc>
      </w:tr>
      <w:tr>
        <w:trPr/>
        <w:tc>
          <w:tcPr>
            <w:tcW w:w="2354" w:type="dxa"/>
            <w:gridSpan w:val="3"/>
            <w:vMerge w:val="continue"/>
            <w:tcBorders>
              <w:top w:val="single" w:sz="16" w:space="0" w:color="000000"/>
              <w:left w:val="single" w:sz="8" w:space="0" w:color="000000"/>
            </w:tcBorders>
            <w:shd w:fill="CCEEFF" w:val="clear"/>
            <w:tcMar>
              <w:top w:w="30" w:type="dxa"/>
              <w:bottom w:w="0" w:type="dxa"/>
              <w:right w:w="0" w:type="dxa"/>
            </w:tcMar>
            <w:vAlign w:val="center"/>
          </w:tcPr>
          <w:p>
            <w:pPr>
              <w:pStyle w:val="Normal"/>
              <w:bidi w:val="0"/>
              <w:jc w:val="left"/>
              <w:rPr/>
            </w:pPr>
            <w:r>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w:t>
            </w:r>
          </w:p>
        </w:tc>
        <w:tc>
          <w:tcPr>
            <w:tcW w:w="327"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c>
          <w:tcPr>
            <w:tcW w:w="2264" w:type="dxa"/>
            <w:gridSpan w:val="3"/>
            <w:vMerge w:val="continue"/>
            <w:tcBorders>
              <w:top w:val="single" w:sz="16" w:space="0" w:color="000000"/>
              <w:left w:val="single" w:sz="8" w:space="0" w:color="000000"/>
              <w:right w:val="single" w:sz="8" w:space="0" w:color="000000"/>
            </w:tcBorders>
            <w:shd w:fill="CCEEFF" w:val="clear"/>
            <w:tcMar>
              <w:top w:w="30" w:type="dxa"/>
              <w:bottom w:w="0" w:type="dxa"/>
            </w:tcMar>
            <w:vAlign w:val="center"/>
          </w:tcPr>
          <w:p>
            <w:pPr>
              <w:pStyle w:val="Normal"/>
              <w:bidi w:val="0"/>
              <w:jc w:val="left"/>
              <w:rPr/>
            </w:pPr>
            <w:r>
              <w:rPr/>
            </w:r>
          </w:p>
        </w:tc>
      </w:tr>
      <w:tr>
        <w:trPr/>
        <w:tc>
          <w:tcPr>
            <w:tcW w:w="2354" w:type="dxa"/>
            <w:gridSpan w:val="3"/>
            <w:vMerge w:val="continue"/>
            <w:tcBorders>
              <w:top w:val="single" w:sz="16" w:space="0" w:color="000000"/>
              <w:left w:val="single" w:sz="8" w:space="0" w:color="000000"/>
            </w:tcBorders>
            <w:shd w:fill="CCEEFF" w:val="clear"/>
            <w:tcMar>
              <w:top w:w="30" w:type="dxa"/>
              <w:bottom w:w="0" w:type="dxa"/>
              <w:right w:w="0" w:type="dxa"/>
            </w:tcMar>
            <w:vAlign w:val="center"/>
          </w:tcPr>
          <w:p>
            <w:pPr>
              <w:pStyle w:val="Normal"/>
              <w:bidi w:val="0"/>
              <w:jc w:val="left"/>
              <w:rPr/>
            </w:pPr>
            <w:r>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Bonefish Grill</w:t>
            </w:r>
          </w:p>
        </w:tc>
        <w:tc>
          <w:tcPr>
            <w:tcW w:w="327"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c>
          <w:tcPr>
            <w:tcW w:w="2264" w:type="dxa"/>
            <w:gridSpan w:val="3"/>
            <w:vMerge w:val="continue"/>
            <w:tcBorders>
              <w:top w:val="single" w:sz="16" w:space="0" w:color="000000"/>
              <w:left w:val="single" w:sz="8" w:space="0" w:color="000000"/>
              <w:right w:val="single" w:sz="8" w:space="0" w:color="000000"/>
            </w:tcBorders>
            <w:shd w:fill="CCEEFF" w:val="clear"/>
            <w:tcMar>
              <w:top w:w="30" w:type="dxa"/>
              <w:bottom w:w="0" w:type="dxa"/>
            </w:tcMar>
            <w:vAlign w:val="center"/>
          </w:tcPr>
          <w:p>
            <w:pPr>
              <w:pStyle w:val="Normal"/>
              <w:bidi w:val="0"/>
              <w:jc w:val="left"/>
              <w:rPr/>
            </w:pPr>
            <w:r>
              <w:rPr/>
            </w:r>
          </w:p>
        </w:tc>
      </w:tr>
      <w:tr>
        <w:trPr/>
        <w:tc>
          <w:tcPr>
            <w:tcW w:w="2354" w:type="dxa"/>
            <w:gridSpan w:val="3"/>
            <w:vMerge w:val="continue"/>
            <w:tcBorders>
              <w:top w:val="single" w:sz="16" w:space="0" w:color="000000"/>
              <w:left w:val="single" w:sz="8" w:space="0" w:color="000000"/>
            </w:tcBorders>
            <w:shd w:fill="CCEEFF" w:val="clear"/>
            <w:tcMar>
              <w:top w:w="30" w:type="dxa"/>
              <w:bottom w:w="0" w:type="dxa"/>
              <w:right w:w="0" w:type="dxa"/>
            </w:tcMar>
            <w:vAlign w:val="center"/>
          </w:tcPr>
          <w:p>
            <w:pPr>
              <w:pStyle w:val="Normal"/>
              <w:bidi w:val="0"/>
              <w:jc w:val="left"/>
              <w:rPr/>
            </w:pPr>
            <w:r>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Fleming’s Prime Steakhouse &amp; Wine Bar</w:t>
            </w:r>
          </w:p>
        </w:tc>
        <w:tc>
          <w:tcPr>
            <w:tcW w:w="327"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c>
          <w:tcPr>
            <w:tcW w:w="2264" w:type="dxa"/>
            <w:gridSpan w:val="3"/>
            <w:vMerge w:val="continue"/>
            <w:tcBorders>
              <w:top w:val="single" w:sz="16" w:space="0" w:color="000000"/>
              <w:left w:val="single" w:sz="8" w:space="0" w:color="000000"/>
              <w:right w:val="single" w:sz="8" w:space="0" w:color="000000"/>
            </w:tcBorders>
            <w:shd w:fill="CCEEFF" w:val="clear"/>
            <w:tcMar>
              <w:top w:w="30" w:type="dxa"/>
              <w:bottom w:w="0" w:type="dxa"/>
            </w:tcMar>
            <w:vAlign w:val="center"/>
          </w:tcPr>
          <w:p>
            <w:pPr>
              <w:pStyle w:val="Normal"/>
              <w:bidi w:val="0"/>
              <w:jc w:val="left"/>
              <w:rPr/>
            </w:pPr>
            <w:r>
              <w:rPr/>
            </w:r>
          </w:p>
        </w:tc>
      </w:tr>
      <w:tr>
        <w:trPr/>
        <w:tc>
          <w:tcPr>
            <w:tcW w:w="2354" w:type="dxa"/>
            <w:gridSpan w:val="3"/>
            <w:vMerge w:val="restart"/>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Brazil, Hong Kong/China</w:t>
            </w:r>
          </w:p>
        </w:tc>
      </w:tr>
      <w:tr>
        <w:trPr/>
        <w:tc>
          <w:tcPr>
            <w:tcW w:w="2354" w:type="dxa"/>
            <w:gridSpan w:val="3"/>
            <w:vMerge w:val="continue"/>
            <w:tcBorders>
              <w:top w:val="single" w:sz="8" w:space="0" w:color="000000"/>
              <w:left w:val="single" w:sz="8" w:space="0" w:color="000000"/>
              <w:bottom w:val="single" w:sz="8" w:space="0" w:color="000000"/>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 (Abbraccio)</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Brazil</w:t>
            </w:r>
          </w:p>
        </w:tc>
      </w:tr>
    </w:tbl>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(1)Includes franchise locations.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Revenues for both segments include only transactions with customers and exclude intersegment revenues. Excluded from Income from operations for U.S. and international are certain legal and corporate costs not directly related to the performance of the segments, most stock-based compensation expenses, a portion of insurance expenses and certain bonus expenses.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Refer to Note 17</w:t>
      </w:r>
      <w:r>
        <w:rPr>
          <w:color w:val="000000"/>
        </w:rPr>
        <w:t xml:space="preserve"> </w:t>
      </w:r>
      <w:r>
        <w:rPr>
          <w:rFonts w:ascii="Times New Roman;sans-serif" w:hAnsi="Times New Roman;sans-serif"/>
          <w:b w:val="false"/>
          <w:color w:val="000000"/>
          <w:sz w:val="20"/>
        </w:rPr>
        <w:t xml:space="preserve">- </w:t>
      </w:r>
      <w:r>
        <w:rPr>
          <w:rFonts w:ascii="Times New Roman;sans-serif" w:hAnsi="Times New Roman;sans-serif"/>
          <w:b w:val="false"/>
          <w:i/>
          <w:color w:val="000000"/>
          <w:sz w:val="22"/>
        </w:rPr>
        <w:t xml:space="preserve">Segment Reporting </w:t>
      </w:r>
      <w:r>
        <w:rPr>
          <w:rFonts w:ascii="Times New Roman;sans-serif" w:hAnsi="Times New Roman;sans-serif"/>
          <w:b w:val="false"/>
          <w:color w:val="000000"/>
          <w:sz w:val="22"/>
        </w:rPr>
        <w:t xml:space="preserve">of the Notes to Consolidated Financial Statements for reconciliations of segment income from operations to the consolidated operating results.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Restaurant-level operating margin is widely regarded in the industry as a useful non-GAAP measure to evaluate restaurant-level operating efficiency and performance of ongoing restaurant-level operations, and we use it for these purposes, overall and particularly within our two segments. See the </w:t>
      </w:r>
      <w:r>
        <w:rPr>
          <w:rFonts w:ascii="Times New Roman;sans-serif" w:hAnsi="Times New Roman;sans-serif"/>
          <w:b w:val="false"/>
          <w:i/>
          <w:color w:val="000000"/>
          <w:sz w:val="22"/>
        </w:rPr>
        <w:t xml:space="preserve">Overview-Key Financial Performance Indicators </w:t>
      </w:r>
      <w:r>
        <w:rPr>
          <w:rFonts w:ascii="Times New Roman;sans-serif" w:hAnsi="Times New Roman;sans-serif"/>
          <w:b w:val="false"/>
          <w:color w:val="000000"/>
          <w:sz w:val="22"/>
        </w:rPr>
        <w:t>and</w:t>
      </w:r>
      <w:r>
        <w:rPr>
          <w:color w:val="000000"/>
        </w:rPr>
        <w:t xml:space="preserve"> </w:t>
      </w:r>
      <w:r>
        <w:rPr>
          <w:rFonts w:ascii="Times New Roman;sans-serif" w:hAnsi="Times New Roman;sans-serif"/>
          <w:b w:val="false"/>
          <w:i/>
          <w:color w:val="000000"/>
          <w:sz w:val="22"/>
        </w:rPr>
        <w:t>Non-GAAP Financial Measures</w:t>
      </w:r>
      <w:r>
        <w:rPr>
          <w:color w:val="000000"/>
        </w:rPr>
        <w:t xml:space="preserve"> </w:t>
      </w:r>
      <w:r>
        <w:rPr>
          <w:rFonts w:ascii="Times New Roman;sans-serif" w:hAnsi="Times New Roman;sans-serif"/>
          <w:b w:val="false"/>
          <w:color w:val="000000"/>
          <w:sz w:val="22"/>
        </w:rPr>
        <w:t>sections of Management’s Discussion and Analysis of Financial Condition and Results of Operations for additional details regarding the calculation of restaurant-level operating margin.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0aee04ce58ba4067b6daada9a9c52dcb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lineRule="auto" w:line="288" w:before="100" w:after="283"/>
        <w:jc w:val="left"/>
        <w:rPr/>
      </w:pPr>
      <w:r>
        <w:rPr>
          <w:rFonts w:ascii="Times New Roman;sans-serif" w:hAnsi="Times New Roman;sans-serif"/>
          <w:b w:val="false"/>
          <w:i/>
          <w:color w:val="000000"/>
          <w:sz w:val="22"/>
        </w:rPr>
        <w:t>Summary financial data</w:t>
      </w:r>
      <w:r>
        <w:rPr>
          <w:color w:val="000000"/>
        </w:rPr>
        <w:t xml:space="preserve"> </w:t>
      </w:r>
      <w:r>
        <w:rPr>
          <w:rFonts w:ascii="Times New Roman;sans-serif" w:hAnsi="Times New Roman;sans-serif"/>
          <w:b w:val="false"/>
          <w:color w:val="000000"/>
          <w:sz w:val="22"/>
        </w:rPr>
        <w:t>- Following is a summary of financial data by segment for the periods indicated:</w:t>
      </w:r>
    </w:p>
    <w:tbl>
      <w:tblPr>
        <w:tblW w:w="8621" w:type="dxa"/>
        <w:jc w:val="left"/>
        <w:tblInd w:w="0" w:type="dxa"/>
        <w:tblLayout w:type="fixed"/>
        <w:tblCellMar>
          <w:top w:w="28" w:type="dxa"/>
          <w:left w:w="28" w:type="dxa"/>
          <w:bottom w:w="28" w:type="dxa"/>
          <w:right w:w="28" w:type="dxa"/>
        </w:tblCellMar>
      </w:tblPr>
      <w:tblGrid>
        <w:gridCol w:w="911"/>
        <w:gridCol w:w="803"/>
        <w:gridCol w:w="805"/>
        <w:gridCol w:w="196"/>
        <w:gridCol w:w="871"/>
        <w:gridCol w:w="256"/>
        <w:gridCol w:w="109"/>
        <w:gridCol w:w="109"/>
        <w:gridCol w:w="109"/>
        <w:gridCol w:w="196"/>
        <w:gridCol w:w="871"/>
        <w:gridCol w:w="256"/>
        <w:gridCol w:w="109"/>
        <w:gridCol w:w="109"/>
        <w:gridCol w:w="109"/>
        <w:gridCol w:w="200"/>
        <w:gridCol w:w="753"/>
        <w:gridCol w:w="262"/>
        <w:gridCol w:w="109"/>
        <w:gridCol w:w="109"/>
        <w:gridCol w:w="109"/>
        <w:gridCol w:w="200"/>
        <w:gridCol w:w="753"/>
        <w:gridCol w:w="307"/>
      </w:tblGrid>
      <w:tr>
        <w:trPr/>
        <w:tc>
          <w:tcPr>
            <w:tcW w:w="9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3"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INTERNATIONAL</w:t>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3"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32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32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sales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962,088 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993,438 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141,477 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143,892 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 and other revenues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12,085 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11,791 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3,216 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3,573 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974,173 </w:t>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1,005,229 </w:t>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144,693 </w:t>
            </w:r>
          </w:p>
        </w:tc>
        <w:tc>
          <w:tcPr>
            <w:tcW w:w="26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147,465 </w:t>
            </w:r>
          </w:p>
        </w:tc>
        <w:tc>
          <w:tcPr>
            <w:tcW w:w="30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operations</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79,677 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103,008 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w:t>
            </w:r>
          </w:p>
        </w:tc>
        <w:tc>
          <w:tcPr>
            <w:tcW w:w="26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20,486 </w:t>
            </w:r>
          </w:p>
        </w:tc>
        <w:tc>
          <w:tcPr>
            <w:tcW w:w="30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 (loss) margin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Restaurant-level operating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136,455 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154,856 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22,044 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29,673 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Restaurant-level operating margin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20.6 </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32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32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sales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1,992,984 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2,074,007 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290,068 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291,557 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 and other revenues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24,293 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24,218 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6,848 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7,658 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2,017,277 </w:t>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2,098,225 </w:t>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296,916 </w:t>
            </w:r>
          </w:p>
        </w:tc>
        <w:tc>
          <w:tcPr>
            <w:tcW w:w="26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299,215 </w:t>
            </w:r>
          </w:p>
        </w:tc>
        <w:tc>
          <w:tcPr>
            <w:tcW w:w="30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177,161 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236,251 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14,888 </w:t>
            </w:r>
          </w:p>
        </w:tc>
        <w:tc>
          <w:tcPr>
            <w:tcW w:w="26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44,994 </w:t>
            </w:r>
          </w:p>
        </w:tc>
        <w:tc>
          <w:tcPr>
            <w:tcW w:w="30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 margin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Restaurant-level operating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298,431 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342,664 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49,201 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63,688 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Restaurant-level operating margin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21.8 </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Restaurant sales - </w:t>
      </w:r>
      <w:r>
        <w:rPr>
          <w:rFonts w:ascii="Times New Roman;sans-serif" w:hAnsi="Times New Roman;sans-serif"/>
          <w:b w:val="false"/>
          <w:color w:val="000000"/>
          <w:sz w:val="22"/>
        </w:rPr>
        <w:t>Following is a summary of the change in segment Restaurant sales for the periods indicated:</w:t>
      </w:r>
    </w:p>
    <w:tbl>
      <w:tblPr>
        <w:tblW w:w="10205" w:type="dxa"/>
        <w:jc w:val="left"/>
        <w:tblInd w:w="0" w:type="dxa"/>
        <w:tblLayout w:type="fixed"/>
        <w:tblCellMar>
          <w:top w:w="28" w:type="dxa"/>
          <w:left w:w="28" w:type="dxa"/>
          <w:bottom w:w="28" w:type="dxa"/>
          <w:right w:w="28" w:type="dxa"/>
        </w:tblCellMar>
      </w:tblPr>
      <w:tblGrid>
        <w:gridCol w:w="698"/>
        <w:gridCol w:w="442"/>
        <w:gridCol w:w="444"/>
        <w:gridCol w:w="317"/>
        <w:gridCol w:w="904"/>
        <w:gridCol w:w="179"/>
        <w:gridCol w:w="109"/>
        <w:gridCol w:w="109"/>
        <w:gridCol w:w="109"/>
        <w:gridCol w:w="313"/>
        <w:gridCol w:w="1108"/>
        <w:gridCol w:w="175"/>
        <w:gridCol w:w="109"/>
        <w:gridCol w:w="109"/>
        <w:gridCol w:w="109"/>
        <w:gridCol w:w="661"/>
        <w:gridCol w:w="466"/>
        <w:gridCol w:w="468"/>
        <w:gridCol w:w="317"/>
        <w:gridCol w:w="904"/>
        <w:gridCol w:w="179"/>
        <w:gridCol w:w="109"/>
        <w:gridCol w:w="109"/>
        <w:gridCol w:w="109"/>
        <w:gridCol w:w="353"/>
        <w:gridCol w:w="1007"/>
        <w:gridCol w:w="289"/>
      </w:tblGrid>
      <w:tr>
        <w:trPr/>
        <w:tc>
          <w:tcPr>
            <w:tcW w:w="69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490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INTERNATIONAL</w:t>
            </w:r>
          </w:p>
        </w:tc>
      </w:tr>
      <w:tr>
        <w:trPr/>
        <w:tc>
          <w:tcPr>
            <w:tcW w:w="158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r>
      <w:tr>
        <w:trPr/>
        <w:tc>
          <w:tcPr>
            <w:tcW w:w="1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1400"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1400"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r>
      <w:tr>
        <w:trPr/>
        <w:tc>
          <w:tcPr>
            <w:tcW w:w="1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 the periods ended June 25, 2023</w:t>
            </w:r>
          </w:p>
        </w:tc>
        <w:tc>
          <w:tcPr>
            <w:tcW w:w="31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993.4 </w:t>
            </w:r>
          </w:p>
        </w:tc>
        <w:tc>
          <w:tcPr>
            <w:tcW w:w="17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2,074.0 </w:t>
            </w:r>
          </w:p>
        </w:tc>
        <w:tc>
          <w:tcPr>
            <w:tcW w:w="17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 the periods ended June 25, 2023</w:t>
            </w:r>
          </w:p>
        </w:tc>
        <w:tc>
          <w:tcPr>
            <w:tcW w:w="31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143.9 </w:t>
            </w:r>
          </w:p>
        </w:tc>
        <w:tc>
          <w:tcPr>
            <w:tcW w:w="17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291.6 </w:t>
            </w:r>
          </w:p>
        </w:tc>
        <w:tc>
          <w:tcPr>
            <w:tcW w:w="28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from:</w:t>
            </w:r>
          </w:p>
        </w:tc>
        <w:tc>
          <w:tcPr>
            <w:tcW w:w="1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from:</w:t>
            </w:r>
          </w:p>
        </w:tc>
        <w:tc>
          <w:tcPr>
            <w:tcW w:w="1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closures (1)</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Brazil value added tax exemptions (2)</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Comparable restaurant sales (3)</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Comparable restaurant sales</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openings (4)</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closures (1)</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 the periods ended June 30, 2024</w:t>
            </w:r>
          </w:p>
        </w:tc>
        <w:tc>
          <w:tcPr>
            <w:tcW w:w="31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962.1 </w:t>
            </w:r>
          </w:p>
        </w:tc>
        <w:tc>
          <w:tcPr>
            <w:tcW w:w="17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8"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1,993.0 </w:t>
            </w:r>
          </w:p>
        </w:tc>
        <w:tc>
          <w:tcPr>
            <w:tcW w:w="17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openings (4)</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foreign currency translation</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5"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 the periods ended June 30, 2024</w:t>
            </w:r>
          </w:p>
        </w:tc>
        <w:tc>
          <w:tcPr>
            <w:tcW w:w="31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141.5 </w:t>
            </w:r>
          </w:p>
        </w:tc>
        <w:tc>
          <w:tcPr>
            <w:tcW w:w="17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290.1 </w:t>
            </w:r>
          </w:p>
        </w:tc>
        <w:tc>
          <w:tcPr>
            <w:tcW w:w="28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5"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5"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5"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____________________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(1)The thirteen weeks ended June 30, 2024 includes the restaurant sales impact from the closure of 51 U.S. and two international restaurants since March 26, 2023. The twenty-six weeks ended June 30, 2024 includes the restaurant sales impact from the closure of 55 U.S. and two international restaurants since December 25, 2022.</w:t>
      </w:r>
    </w:p>
    <w:p>
      <w:pPr>
        <w:pStyle w:val="TextBody"/>
        <w:bidi w:val="0"/>
        <w:spacing w:lineRule="auto" w:line="288" w:before="0" w:after="0"/>
        <w:ind w:left="0" w:right="0" w:hanging="720"/>
        <w:jc w:val="both"/>
        <w:rPr/>
      </w:pPr>
      <w:r>
        <w:rPr>
          <w:rFonts w:ascii="Times New Roman;sans-serif" w:hAnsi="Times New Roman;sans-serif"/>
          <w:b w:val="false"/>
          <w:color w:val="000000"/>
          <w:sz w:val="18"/>
        </w:rPr>
        <w:t xml:space="preserve">(2)During 2023, we were eligible for certain value added tax exemptions under the Brazil tax legislation until August 2023. Beginning on May 23, 2024, we are eligible for certain value added tax exemptions under the new Brazil tax legislation. See Note 15 - </w:t>
      </w:r>
      <w:r>
        <w:rPr>
          <w:rFonts w:ascii="Times New Roman;sans-serif" w:hAnsi="Times New Roman;sans-serif"/>
          <w:b w:val="false"/>
          <w:i/>
          <w:color w:val="000000"/>
          <w:sz w:val="18"/>
        </w:rPr>
        <w:t>Income Taxes</w:t>
      </w:r>
      <w:r>
        <w:rPr>
          <w:color w:val="000000"/>
        </w:rPr>
        <w:t xml:space="preserve"> </w:t>
      </w:r>
      <w:r>
        <w:rPr>
          <w:rFonts w:ascii="Times New Roman;sans-serif" w:hAnsi="Times New Roman;sans-serif"/>
          <w:b w:val="false"/>
          <w:color w:val="000000"/>
          <w:sz w:val="18"/>
        </w:rPr>
        <w:t>of the Notes to Consolidated Financial Statements for details regarding value added tax exemptions in connection with Brazil tax legislation.</w:t>
      </w:r>
    </w:p>
    <w:p>
      <w:pPr>
        <w:pStyle w:val="TextBody"/>
        <w:bidi w:val="0"/>
        <w:spacing w:lineRule="auto" w:line="288" w:before="0" w:after="0"/>
        <w:ind w:left="0" w:right="0" w:hanging="720"/>
        <w:jc w:val="both"/>
        <w:rPr/>
      </w:pPr>
      <w:r>
        <w:rPr>
          <w:rFonts w:ascii="Times New Roman;sans-serif" w:hAnsi="Times New Roman;sans-serif"/>
          <w:b w:val="false"/>
          <w:color w:val="000000"/>
          <w:sz w:val="18"/>
        </w:rPr>
        <w:t xml:space="preserve">(3)U.S. comparable restaurant sales for the twenty-six weeks ended June 30, 2024 includes an estimated </w:t>
      </w:r>
      <w:bookmarkStart w:id="24" w:name="i7496659c6bfa44ac9f86b91361d131cf_800"/>
      <w:bookmarkEnd w:id="24"/>
      <w:r>
        <w:rPr>
          <w:rFonts w:ascii="Times New Roman;sans-serif" w:hAnsi="Times New Roman;sans-serif"/>
          <w:b w:val="false"/>
          <w:color w:val="000000"/>
          <w:sz w:val="18"/>
        </w:rPr>
        <w:t>$16.5 million negative impact from a one-week shift in the fiscal calendar.</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(4)The thirteen weeks ended June 30, 2024 includes restaurant sales from 20 U.S. and 35 international new restaurants not included in our comparable restaurant sales base. The twenty-six weeks ended June 30, 2024 includes restaurant sales from 22 U.S. and 43 international new restaurants not included in our comparable restaurant sales base.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0aee04ce58ba4067b6daada9a9c52dcb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Income from operations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U.S. - </w:t>
      </w:r>
      <w:r>
        <w:rPr>
          <w:rFonts w:ascii="Times New Roman;sans-serif" w:hAnsi="Times New Roman;sans-serif"/>
          <w:b w:val="false"/>
          <w:color w:val="000000"/>
          <w:sz w:val="22"/>
        </w:rPr>
        <w:t>The decrease in U.S. Income from operations generated during the thirteen weeks ended June 30, 2024 as compared to the thirteen weeks ended June 25, 2023 was primarily due to: (i) lower restaurant sales, as discussed above, (ii) higher labor and operating costs, primarily due to inflation, (iii) unfavorable product mix and (iv) higher advertising expense. These decreases were partially offset by increases from an increase in average check per person and the impact of certain cost-saving and productivity initiatives.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decrease in U.S. Income from operations generated during the twenty-six weeks ended June 30, 2024 as compared to the twenty-six weeks ended June 25, 2023 was primarily due to: (i) lower restaurant sales, as discussed above, (ii) higher labor and operating costs, primarily due to inflation, (iii) unfavorable product mix, (iv) higher advertising expense and (v) higher impairment and closure costs. These decreases were partially offset by increases from an increase in average check per person and the impact of certain cost-saving and productivity initiatives.</w:t>
      </w:r>
    </w:p>
    <w:p>
      <w:pPr>
        <w:pStyle w:val="TextBody"/>
        <w:bidi w:val="0"/>
        <w:spacing w:before="0" w:after="0"/>
        <w:jc w:val="both"/>
        <w:rPr/>
      </w:pPr>
      <w:r>
        <w:rPr/>
      </w:r>
    </w:p>
    <w:p>
      <w:pPr>
        <w:pStyle w:val="TextBody"/>
        <w:bidi w:val="0"/>
        <w:spacing w:lineRule="auto" w:line="288" w:before="0" w:after="0"/>
        <w:jc w:val="both"/>
        <w:rPr/>
      </w:pPr>
      <w:bookmarkStart w:id="25" w:name="i6f3763a3006448288d40c5c15ce5f4de_956"/>
      <w:bookmarkEnd w:id="25"/>
      <w:r>
        <w:rPr>
          <w:rFonts w:ascii="Times New Roman;sans-serif" w:hAnsi="Times New Roman;sans-serif"/>
          <w:b w:val="false"/>
          <w:i/>
          <w:color w:val="000000"/>
          <w:sz w:val="22"/>
        </w:rPr>
        <w:t xml:space="preserve">International - </w:t>
      </w:r>
      <w:r>
        <w:rPr>
          <w:rFonts w:ascii="Times New Roman;sans-serif" w:hAnsi="Times New Roman;sans-serif"/>
          <w:b w:val="false"/>
          <w:color w:val="000000"/>
          <w:sz w:val="22"/>
        </w:rPr>
        <w:t xml:space="preserve">International Loss from operations generated during the thirteen weeks ended June 30, 2024 as compared to international Income from operations generated during the thirteen weeks ended June 25, 2023 was primarily due to: (i) higher impairment and closure costs, (ii) higher labor and operating costs, primarily due to inflation and (iii) lapping value added tax exemptions in Brazil during 2023. These decreases were partially offset by an increase in average check per person.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decrease in international Income from operations generated during the twenty-six weeks ended June 30, 2024 as compared to the twenty-six weeks ended June 25, 2023 was primarily due to: (i) higher impairment and closure costs, (ii) higher labor and operating costs, primarily due to inflation and (iii) lapping value added tax exemptions in Brazil during 2023. These decreases were partially offset by an increase in average check per person.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0aee04ce58ba4067b6daada9a9c52dcb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lineRule="auto" w:line="288" w:before="0" w:after="0"/>
        <w:jc w:val="both"/>
        <w:rPr>
          <w:rFonts w:ascii="Times New Roman;sans-serif" w:hAnsi="Times New Roman;sans-serif"/>
          <w:b/>
          <w:color w:val="000000"/>
          <w:sz w:val="22"/>
        </w:rPr>
      </w:pPr>
      <w:bookmarkStart w:id="26" w:name="i8c555c039a0746048cd8cc884b761703_33"/>
      <w:bookmarkEnd w:id="26"/>
      <w:r>
        <w:rPr>
          <w:rFonts w:ascii="Times New Roman;sans-serif" w:hAnsi="Times New Roman;sans-serif"/>
          <w:b/>
          <w:color w:val="000000"/>
          <w:sz w:val="22"/>
        </w:rPr>
        <w:t>Non-GAAP Financial Measures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Consolidated Restaurant-level Operating Income and Adjusted Restaurant-level Operating Income and Corresponding Margins Non-GAAP Reconciliations</w:t>
      </w:r>
      <w:r>
        <w:rPr>
          <w:color w:val="000000"/>
        </w:rPr>
        <w:t xml:space="preserve"> </w:t>
      </w:r>
      <w:r>
        <w:rPr>
          <w:rFonts w:ascii="Times New Roman;sans-serif" w:hAnsi="Times New Roman;sans-serif"/>
          <w:b w:val="false"/>
          <w:color w:val="000000"/>
          <w:sz w:val="22"/>
        </w:rPr>
        <w:t>- The following table reconciles consolidated Income from operations and the corresponding margin to restaurant-level operating income and adjusted restaurant-level operating income and the corresponding margins for the periods indicated:</w:t>
      </w:r>
    </w:p>
    <w:tbl>
      <w:tblPr>
        <w:tblW w:w="9739" w:type="dxa"/>
        <w:jc w:val="left"/>
        <w:tblInd w:w="0" w:type="dxa"/>
        <w:tblLayout w:type="fixed"/>
        <w:tblCellMar>
          <w:top w:w="28" w:type="dxa"/>
          <w:left w:w="28" w:type="dxa"/>
          <w:bottom w:w="28" w:type="dxa"/>
          <w:right w:w="28" w:type="dxa"/>
        </w:tblCellMar>
      </w:tblPr>
      <w:tblGrid>
        <w:gridCol w:w="1399"/>
        <w:gridCol w:w="1227"/>
        <w:gridCol w:w="1228"/>
        <w:gridCol w:w="200"/>
        <w:gridCol w:w="753"/>
        <w:gridCol w:w="262"/>
        <w:gridCol w:w="109"/>
        <w:gridCol w:w="109"/>
        <w:gridCol w:w="109"/>
        <w:gridCol w:w="200"/>
        <w:gridCol w:w="753"/>
        <w:gridCol w:w="262"/>
        <w:gridCol w:w="109"/>
        <w:gridCol w:w="109"/>
        <w:gridCol w:w="109"/>
        <w:gridCol w:w="200"/>
        <w:gridCol w:w="753"/>
        <w:gridCol w:w="262"/>
        <w:gridCol w:w="109"/>
        <w:gridCol w:w="109"/>
        <w:gridCol w:w="109"/>
        <w:gridCol w:w="200"/>
        <w:gridCol w:w="752"/>
        <w:gridCol w:w="307"/>
      </w:tblGrid>
      <w:tr>
        <w:trPr/>
        <w:tc>
          <w:tcPr>
            <w:tcW w:w="1399"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Consolidated</w:t>
            </w:r>
          </w:p>
        </w:tc>
        <w:tc>
          <w:tcPr>
            <w:tcW w:w="27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w:t>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46,131 </w:t>
            </w:r>
          </w:p>
        </w:tc>
        <w:tc>
          <w:tcPr>
            <w:tcW w:w="26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89,446 </w:t>
            </w:r>
          </w:p>
        </w:tc>
        <w:tc>
          <w:tcPr>
            <w:tcW w:w="26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123,224 </w:t>
            </w:r>
          </w:p>
        </w:tc>
        <w:tc>
          <w:tcPr>
            <w:tcW w:w="26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210,079 </w:t>
            </w:r>
          </w:p>
        </w:tc>
        <w:tc>
          <w:tcPr>
            <w:tcW w:w="30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Operating income margin</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w:t>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 and other revenues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15,301 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15,364 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31,141 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31,876 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Plus:</w:t>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49,525 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47,565 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98,807 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93,867 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61,152 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63,358 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127,928 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129,162 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impaired assets and restaurant closings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16,261 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1,827 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27,134 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5,151 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Restaurant-level operating income</w:t>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157,768 </w:t>
            </w:r>
          </w:p>
        </w:tc>
        <w:tc>
          <w:tcPr>
            <w:tcW w:w="26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186,832 </w:t>
            </w:r>
          </w:p>
        </w:tc>
        <w:tc>
          <w:tcPr>
            <w:tcW w:w="26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345,952 </w:t>
            </w:r>
          </w:p>
        </w:tc>
        <w:tc>
          <w:tcPr>
            <w:tcW w:w="26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406,383 </w:t>
            </w:r>
          </w:p>
        </w:tc>
        <w:tc>
          <w:tcPr>
            <w:tcW w:w="30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Restaurant-level operating margin</w:t>
            </w:r>
          </w:p>
        </w:tc>
        <w:tc>
          <w:tcPr>
            <w:tcW w:w="953"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14.3 </w:t>
            </w:r>
          </w:p>
        </w:tc>
        <w:tc>
          <w:tcPr>
            <w:tcW w:w="26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16.4 </w:t>
            </w:r>
          </w:p>
        </w:tc>
        <w:tc>
          <w:tcPr>
            <w:tcW w:w="26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26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30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w:t>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impairments and closure-related charges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restaurant-level operating income adjustments</w:t>
            </w:r>
          </w:p>
        </w:tc>
        <w:tc>
          <w:tcPr>
            <w:tcW w:w="953"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434 </w:t>
            </w:r>
          </w:p>
        </w:tc>
        <w:tc>
          <w:tcPr>
            <w:tcW w:w="26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restaurant-level operating income</w:t>
            </w:r>
          </w:p>
        </w:tc>
        <w:tc>
          <w:tcPr>
            <w:tcW w:w="20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157,768 </w:t>
            </w:r>
          </w:p>
        </w:tc>
        <w:tc>
          <w:tcPr>
            <w:tcW w:w="26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186,832 </w:t>
            </w:r>
          </w:p>
        </w:tc>
        <w:tc>
          <w:tcPr>
            <w:tcW w:w="26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346,386 </w:t>
            </w:r>
          </w:p>
        </w:tc>
        <w:tc>
          <w:tcPr>
            <w:tcW w:w="26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406,383 </w:t>
            </w:r>
          </w:p>
        </w:tc>
        <w:tc>
          <w:tcPr>
            <w:tcW w:w="30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Adjusted restaurant-level operating margin</w:t>
            </w:r>
          </w:p>
        </w:tc>
        <w:tc>
          <w:tcPr>
            <w:tcW w:w="95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14.3 </w:t>
            </w:r>
          </w:p>
        </w:tc>
        <w:tc>
          <w:tcPr>
            <w:tcW w:w="2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16.4 </w:t>
            </w:r>
          </w:p>
        </w:tc>
        <w:tc>
          <w:tcPr>
            <w:tcW w:w="2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2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30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Segment Restaurant-level and Adjusted Restaurant-level Operating Income and Corresponding Margins Non-GAAP Reconciliations</w:t>
      </w:r>
      <w:r>
        <w:rPr>
          <w:color w:val="000000"/>
        </w:rPr>
        <w:t xml:space="preserve"> </w:t>
      </w:r>
      <w:r>
        <w:rPr>
          <w:rFonts w:ascii="Times New Roman;sans-serif" w:hAnsi="Times New Roman;sans-serif"/>
          <w:b w:val="false"/>
          <w:color w:val="000000"/>
          <w:sz w:val="22"/>
        </w:rPr>
        <w:t>- The following tables reconcile segment Income (loss) from operations and the corresponding margin to segment restaurant-level operating income and adjusted restaurant-level operating income and the corresponding margins for the periods indicated:</w:t>
      </w:r>
    </w:p>
    <w:tbl>
      <w:tblPr>
        <w:tblW w:w="9740" w:type="dxa"/>
        <w:jc w:val="left"/>
        <w:tblInd w:w="0" w:type="dxa"/>
        <w:tblLayout w:type="fixed"/>
        <w:tblCellMar>
          <w:top w:w="28" w:type="dxa"/>
          <w:left w:w="28" w:type="dxa"/>
          <w:bottom w:w="28" w:type="dxa"/>
          <w:right w:w="28" w:type="dxa"/>
        </w:tblCellMar>
      </w:tblPr>
      <w:tblGrid>
        <w:gridCol w:w="1389"/>
        <w:gridCol w:w="1220"/>
        <w:gridCol w:w="1246"/>
        <w:gridCol w:w="200"/>
        <w:gridCol w:w="753"/>
        <w:gridCol w:w="262"/>
        <w:gridCol w:w="109"/>
        <w:gridCol w:w="109"/>
        <w:gridCol w:w="109"/>
        <w:gridCol w:w="200"/>
        <w:gridCol w:w="753"/>
        <w:gridCol w:w="262"/>
        <w:gridCol w:w="109"/>
        <w:gridCol w:w="109"/>
        <w:gridCol w:w="109"/>
        <w:gridCol w:w="200"/>
        <w:gridCol w:w="753"/>
        <w:gridCol w:w="262"/>
        <w:gridCol w:w="109"/>
        <w:gridCol w:w="109"/>
        <w:gridCol w:w="109"/>
        <w:gridCol w:w="200"/>
        <w:gridCol w:w="752"/>
        <w:gridCol w:w="307"/>
      </w:tblGrid>
      <w:tr>
        <w:trPr/>
        <w:tc>
          <w:tcPr>
            <w:tcW w:w="1389"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U.S.</w:t>
            </w:r>
          </w:p>
        </w:tc>
        <w:tc>
          <w:tcPr>
            <w:tcW w:w="27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w:t>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79,677 </w:t>
            </w:r>
          </w:p>
        </w:tc>
        <w:tc>
          <w:tcPr>
            <w:tcW w:w="26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103,008 </w:t>
            </w:r>
          </w:p>
        </w:tc>
        <w:tc>
          <w:tcPr>
            <w:tcW w:w="26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177,161 </w:t>
            </w:r>
          </w:p>
        </w:tc>
        <w:tc>
          <w:tcPr>
            <w:tcW w:w="26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236,251 </w:t>
            </w:r>
          </w:p>
        </w:tc>
        <w:tc>
          <w:tcPr>
            <w:tcW w:w="30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Operating income margin</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w:t>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 and other revenues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12,085 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11,791 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24,293 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24,218 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Plus:</w:t>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40,616 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39,376 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80,584 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77,539 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26,112 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22,436 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51,908 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47,941 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impaired assets and restaurant closings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1,827 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13,071 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5,151 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Restaurant-level operating income</w:t>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136,455 </w:t>
            </w:r>
          </w:p>
        </w:tc>
        <w:tc>
          <w:tcPr>
            <w:tcW w:w="26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154,856 </w:t>
            </w:r>
          </w:p>
        </w:tc>
        <w:tc>
          <w:tcPr>
            <w:tcW w:w="26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298,431 </w:t>
            </w:r>
          </w:p>
        </w:tc>
        <w:tc>
          <w:tcPr>
            <w:tcW w:w="26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342,664 </w:t>
            </w:r>
          </w:p>
        </w:tc>
        <w:tc>
          <w:tcPr>
            <w:tcW w:w="30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Restaurant-level operating margin</w:t>
            </w:r>
          </w:p>
        </w:tc>
        <w:tc>
          <w:tcPr>
            <w:tcW w:w="953"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14.2 </w:t>
            </w:r>
          </w:p>
        </w:tc>
        <w:tc>
          <w:tcPr>
            <w:tcW w:w="26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15.6 </w:t>
            </w:r>
          </w:p>
        </w:tc>
        <w:tc>
          <w:tcPr>
            <w:tcW w:w="26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26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16.5 </w:t>
            </w:r>
          </w:p>
        </w:tc>
        <w:tc>
          <w:tcPr>
            <w:tcW w:w="30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w:t>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impairments and closure-related charges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restaurant-level operating income adjustments</w:t>
            </w:r>
          </w:p>
        </w:tc>
        <w:tc>
          <w:tcPr>
            <w:tcW w:w="953"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434 </w:t>
            </w:r>
          </w:p>
        </w:tc>
        <w:tc>
          <w:tcPr>
            <w:tcW w:w="26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restaurant-level operating income</w:t>
            </w:r>
          </w:p>
        </w:tc>
        <w:tc>
          <w:tcPr>
            <w:tcW w:w="20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136,455 </w:t>
            </w:r>
          </w:p>
        </w:tc>
        <w:tc>
          <w:tcPr>
            <w:tcW w:w="26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154,856 </w:t>
            </w:r>
          </w:p>
        </w:tc>
        <w:tc>
          <w:tcPr>
            <w:tcW w:w="26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298,865 </w:t>
            </w:r>
          </w:p>
        </w:tc>
        <w:tc>
          <w:tcPr>
            <w:tcW w:w="26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342,664 </w:t>
            </w:r>
          </w:p>
        </w:tc>
        <w:tc>
          <w:tcPr>
            <w:tcW w:w="30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Adjusted restaurant-level operating margin</w:t>
            </w:r>
          </w:p>
        </w:tc>
        <w:tc>
          <w:tcPr>
            <w:tcW w:w="95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14.2 </w:t>
            </w:r>
          </w:p>
        </w:tc>
        <w:tc>
          <w:tcPr>
            <w:tcW w:w="2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15.6 </w:t>
            </w:r>
          </w:p>
        </w:tc>
        <w:tc>
          <w:tcPr>
            <w:tcW w:w="2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2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16.5 </w:t>
            </w:r>
          </w:p>
        </w:tc>
        <w:tc>
          <w:tcPr>
            <w:tcW w:w="30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0aee04ce58ba4067b6daada9a9c52dcb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tbl>
      <w:tblPr>
        <w:tblW w:w="9741" w:type="dxa"/>
        <w:jc w:val="left"/>
        <w:tblInd w:w="0" w:type="dxa"/>
        <w:tblLayout w:type="fixed"/>
        <w:tblCellMar>
          <w:top w:w="28" w:type="dxa"/>
          <w:left w:w="28" w:type="dxa"/>
          <w:bottom w:w="28" w:type="dxa"/>
          <w:right w:w="28" w:type="dxa"/>
        </w:tblCellMar>
      </w:tblPr>
      <w:tblGrid>
        <w:gridCol w:w="1398"/>
        <w:gridCol w:w="1227"/>
        <w:gridCol w:w="1230"/>
        <w:gridCol w:w="217"/>
        <w:gridCol w:w="715"/>
        <w:gridCol w:w="283"/>
        <w:gridCol w:w="109"/>
        <w:gridCol w:w="109"/>
        <w:gridCol w:w="109"/>
        <w:gridCol w:w="217"/>
        <w:gridCol w:w="715"/>
        <w:gridCol w:w="283"/>
        <w:gridCol w:w="109"/>
        <w:gridCol w:w="109"/>
        <w:gridCol w:w="109"/>
        <w:gridCol w:w="217"/>
        <w:gridCol w:w="715"/>
        <w:gridCol w:w="283"/>
        <w:gridCol w:w="109"/>
        <w:gridCol w:w="109"/>
        <w:gridCol w:w="109"/>
        <w:gridCol w:w="216"/>
        <w:gridCol w:w="712"/>
        <w:gridCol w:w="332"/>
      </w:tblGrid>
      <w:tr>
        <w:trPr/>
        <w:tc>
          <w:tcPr>
            <w:tcW w:w="1398"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International</w:t>
            </w:r>
          </w:p>
        </w:tc>
        <w:tc>
          <w:tcPr>
            <w:tcW w:w="27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income from operations</w:t>
            </w:r>
          </w:p>
        </w:tc>
        <w:tc>
          <w:tcPr>
            <w:tcW w:w="21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w:t>
            </w:r>
          </w:p>
        </w:tc>
        <w:tc>
          <w:tcPr>
            <w:tcW w:w="28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20,486 </w:t>
            </w:r>
          </w:p>
        </w:tc>
        <w:tc>
          <w:tcPr>
            <w:tcW w:w="28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14,888 </w:t>
            </w:r>
          </w:p>
        </w:tc>
        <w:tc>
          <w:tcPr>
            <w:tcW w:w="28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44,994 </w:t>
            </w:r>
          </w:p>
        </w:tc>
        <w:tc>
          <w:tcPr>
            <w:tcW w:w="33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Operating (loss) income margin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w:t>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 and other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3,216 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3,573 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6,848 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7,658 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Plus:</w:t>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6,695 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6,125 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13,956 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12,044 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5,313 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6,635 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13,142 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14,308 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impaired assets and restaurant closings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14,126 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14,063 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Restaurant-level operating income</w:t>
            </w:r>
          </w:p>
        </w:tc>
        <w:tc>
          <w:tcPr>
            <w:tcW w:w="21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22,044 </w:t>
            </w:r>
          </w:p>
        </w:tc>
        <w:tc>
          <w:tcPr>
            <w:tcW w:w="28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29,673 </w:t>
            </w:r>
          </w:p>
        </w:tc>
        <w:tc>
          <w:tcPr>
            <w:tcW w:w="28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49,201 </w:t>
            </w:r>
          </w:p>
        </w:tc>
        <w:tc>
          <w:tcPr>
            <w:tcW w:w="28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63,688 </w:t>
            </w:r>
          </w:p>
        </w:tc>
        <w:tc>
          <w:tcPr>
            <w:tcW w:w="33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Restaurant-level operating margin</w:t>
            </w:r>
          </w:p>
        </w:tc>
        <w:tc>
          <w:tcPr>
            <w:tcW w:w="9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15.6 </w:t>
            </w:r>
          </w:p>
        </w:tc>
        <w:tc>
          <w:tcPr>
            <w:tcW w:w="28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20.6 </w:t>
            </w:r>
          </w:p>
        </w:tc>
        <w:tc>
          <w:tcPr>
            <w:tcW w:w="28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28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21.8 </w:t>
            </w:r>
          </w:p>
        </w:tc>
        <w:tc>
          <w:tcPr>
            <w:tcW w:w="33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Adjusted Restaurant-level Operating Margin Non-GAAP Reconciliations (continued) - </w:t>
      </w:r>
      <w:r>
        <w:rPr>
          <w:rFonts w:ascii="Times New Roman;sans-serif" w:hAnsi="Times New Roman;sans-serif"/>
          <w:b w:val="false"/>
          <w:color w:val="000000"/>
          <w:sz w:val="22"/>
        </w:rPr>
        <w:t>The following tables present the percentages of certain operating cost financial statement line items in relation to Restaurant sales for the periods indicated:</w:t>
      </w:r>
    </w:p>
    <w:tbl>
      <w:tblPr>
        <w:tblW w:w="10027" w:type="dxa"/>
        <w:jc w:val="left"/>
        <w:tblInd w:w="0" w:type="dxa"/>
        <w:tblLayout w:type="fixed"/>
        <w:tblCellMar>
          <w:top w:w="28" w:type="dxa"/>
          <w:left w:w="28" w:type="dxa"/>
          <w:bottom w:w="28" w:type="dxa"/>
          <w:right w:w="28" w:type="dxa"/>
        </w:tblCellMar>
      </w:tblPr>
      <w:tblGrid>
        <w:gridCol w:w="906"/>
        <w:gridCol w:w="798"/>
        <w:gridCol w:w="800"/>
        <w:gridCol w:w="595"/>
        <w:gridCol w:w="595"/>
        <w:gridCol w:w="1404"/>
        <w:gridCol w:w="348"/>
        <w:gridCol w:w="1215"/>
        <w:gridCol w:w="109"/>
        <w:gridCol w:w="109"/>
        <w:gridCol w:w="109"/>
        <w:gridCol w:w="536"/>
        <w:gridCol w:w="536"/>
        <w:gridCol w:w="1268"/>
        <w:gridCol w:w="109"/>
        <w:gridCol w:w="109"/>
        <w:gridCol w:w="109"/>
        <w:gridCol w:w="109"/>
        <w:gridCol w:w="109"/>
        <w:gridCol w:w="154"/>
      </w:tblGrid>
      <w:tr>
        <w:trPr/>
        <w:tc>
          <w:tcPr>
            <w:tcW w:w="90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5"/>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366" w:type="dxa"/>
            <w:gridSpan w:val="12"/>
            <w:tcBorders/>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48"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366" w:type="dxa"/>
            <w:gridSpan w:val="12"/>
            <w:tcBorders/>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REPORTED AND ADJUSTED</w:t>
            </w:r>
          </w:p>
        </w:tc>
        <w:tc>
          <w:tcPr>
            <w:tcW w:w="348"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REPORTED AND ADJUSTED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sales</w:t>
            </w:r>
          </w:p>
        </w:tc>
        <w:tc>
          <w:tcPr>
            <w:tcW w:w="119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140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48"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126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30.5 </w:t>
            </w:r>
          </w:p>
        </w:tc>
        <w:tc>
          <w:tcPr>
            <w:tcW w:w="14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48"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30.9 </w:t>
            </w:r>
          </w:p>
        </w:tc>
        <w:tc>
          <w:tcPr>
            <w:tcW w:w="1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Labor and other related</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29.8 </w:t>
            </w:r>
          </w:p>
        </w:tc>
        <w:tc>
          <w:tcPr>
            <w:tcW w:w="14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48"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28.7 </w:t>
            </w:r>
          </w:p>
        </w:tc>
        <w:tc>
          <w:tcPr>
            <w:tcW w:w="1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restaurant operating</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25.4 </w:t>
            </w:r>
          </w:p>
        </w:tc>
        <w:tc>
          <w:tcPr>
            <w:tcW w:w="14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48"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24.0 </w:t>
            </w:r>
          </w:p>
        </w:tc>
        <w:tc>
          <w:tcPr>
            <w:tcW w:w="1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Restaurant-level operating margin</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14.3 </w:t>
            </w:r>
          </w:p>
        </w:tc>
        <w:tc>
          <w:tcPr>
            <w:tcW w:w="14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48"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16.4 </w:t>
            </w:r>
          </w:p>
        </w:tc>
        <w:tc>
          <w:tcPr>
            <w:tcW w:w="1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5"/>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c>
          <w:tcPr>
            <w:tcW w:w="3366" w:type="dxa"/>
            <w:gridSpan w:val="12"/>
            <w:tcBorders/>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48"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366" w:type="dxa"/>
            <w:gridSpan w:val="12"/>
            <w:tcBorders/>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REPORTED AND ADJUSTED (1)</w:t>
            </w:r>
          </w:p>
        </w:tc>
        <w:tc>
          <w:tcPr>
            <w:tcW w:w="348"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REPORTED AND ADJUSTED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sales</w:t>
            </w:r>
          </w:p>
        </w:tc>
        <w:tc>
          <w:tcPr>
            <w:tcW w:w="119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140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48"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126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30.4 </w:t>
            </w:r>
          </w:p>
        </w:tc>
        <w:tc>
          <w:tcPr>
            <w:tcW w:w="14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48"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31.1 </w:t>
            </w:r>
          </w:p>
        </w:tc>
        <w:tc>
          <w:tcPr>
            <w:tcW w:w="1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Labor and other related</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29.4 </w:t>
            </w:r>
          </w:p>
        </w:tc>
        <w:tc>
          <w:tcPr>
            <w:tcW w:w="14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48"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28.2 </w:t>
            </w:r>
          </w:p>
        </w:tc>
        <w:tc>
          <w:tcPr>
            <w:tcW w:w="1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restaurant operating</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14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48"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23.5 </w:t>
            </w:r>
          </w:p>
        </w:tc>
        <w:tc>
          <w:tcPr>
            <w:tcW w:w="1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Restaurant-level operating margin</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4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48"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1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w:t>
      </w:r>
    </w:p>
    <w:p>
      <w:pPr>
        <w:pStyle w:val="TextBody"/>
        <w:bidi w:val="0"/>
        <w:spacing w:lineRule="auto" w:line="288" w:before="0" w:after="0"/>
        <w:ind w:left="0" w:right="0" w:hanging="720"/>
        <w:jc w:val="both"/>
        <w:rPr/>
      </w:pPr>
      <w:r>
        <w:rPr>
          <w:rFonts w:ascii="Times New Roman;sans-serif" w:hAnsi="Times New Roman;sans-serif"/>
          <w:b w:val="false"/>
          <w:color w:val="000000"/>
          <w:sz w:val="18"/>
        </w:rPr>
        <w:t xml:space="preserve">(1)See the </w:t>
      </w:r>
      <w:r>
        <w:rPr>
          <w:rFonts w:ascii="Times New Roman;sans-serif" w:hAnsi="Times New Roman;sans-serif"/>
          <w:b w:val="false"/>
          <w:i/>
          <w:color w:val="000000"/>
          <w:sz w:val="18"/>
        </w:rPr>
        <w:t>Consolidated Restaurant-level Operating Income and Adjusted Restaurant-level Operating Income and Corresponding Margins Non-GAAP Reconciliations</w:t>
      </w:r>
      <w:r>
        <w:rPr>
          <w:color w:val="000000"/>
        </w:rPr>
        <w:t xml:space="preserve"> </w:t>
      </w:r>
      <w:r>
        <w:rPr>
          <w:rFonts w:ascii="Times New Roman;sans-serif" w:hAnsi="Times New Roman;sans-serif"/>
          <w:b w:val="false"/>
          <w:color w:val="000000"/>
          <w:sz w:val="18"/>
        </w:rPr>
        <w:t>table above for details regarding restaurant-level operating margin adjustments. All restaurant-level operating margin adjustments for the periods presented were recorded within Labor and other related expense.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0aee04ce58ba4067b6daada9a9c52dcb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lineRule="auto" w:line="288" w:before="0" w:after="0"/>
        <w:jc w:val="both"/>
        <w:rPr/>
      </w:pPr>
      <w:r>
        <w:rPr>
          <w:rFonts w:ascii="Times New Roman;sans-serif" w:hAnsi="Times New Roman;sans-serif"/>
          <w:b w:val="false"/>
          <w:i/>
          <w:color w:val="000000"/>
          <w:sz w:val="22"/>
        </w:rPr>
        <w:t>Adjusted Income from Operations Non-GAAP Reconciliations</w:t>
      </w:r>
      <w:r>
        <w:rPr>
          <w:color w:val="000000"/>
        </w:rPr>
        <w:t xml:space="preserve"> </w:t>
      </w:r>
      <w:r>
        <w:rPr>
          <w:rFonts w:ascii="Times New Roman;sans-serif" w:hAnsi="Times New Roman;sans-serif"/>
          <w:b w:val="false"/>
          <w:color w:val="000000"/>
          <w:sz w:val="22"/>
        </w:rPr>
        <w:t>- The following table reconciles Income from operations and the corresponding margin to adjusted income from operations and the corresponding margin for the periods indicated:</w:t>
      </w:r>
    </w:p>
    <w:tbl>
      <w:tblPr>
        <w:tblW w:w="9889" w:type="dxa"/>
        <w:jc w:val="left"/>
        <w:tblInd w:w="0" w:type="dxa"/>
        <w:tblLayout w:type="fixed"/>
        <w:tblCellMar>
          <w:top w:w="28" w:type="dxa"/>
          <w:left w:w="28" w:type="dxa"/>
          <w:bottom w:w="28" w:type="dxa"/>
          <w:right w:w="28" w:type="dxa"/>
        </w:tblCellMar>
      </w:tblPr>
      <w:tblGrid>
        <w:gridCol w:w="1448"/>
        <w:gridCol w:w="1276"/>
        <w:gridCol w:w="1280"/>
        <w:gridCol w:w="217"/>
        <w:gridCol w:w="715"/>
        <w:gridCol w:w="283"/>
        <w:gridCol w:w="109"/>
        <w:gridCol w:w="109"/>
        <w:gridCol w:w="109"/>
        <w:gridCol w:w="217"/>
        <w:gridCol w:w="715"/>
        <w:gridCol w:w="283"/>
        <w:gridCol w:w="109"/>
        <w:gridCol w:w="109"/>
        <w:gridCol w:w="109"/>
        <w:gridCol w:w="200"/>
        <w:gridCol w:w="753"/>
        <w:gridCol w:w="262"/>
        <w:gridCol w:w="109"/>
        <w:gridCol w:w="109"/>
        <w:gridCol w:w="109"/>
        <w:gridCol w:w="200"/>
        <w:gridCol w:w="752"/>
        <w:gridCol w:w="307"/>
      </w:tblGrid>
      <w:tr>
        <w:trPr/>
        <w:tc>
          <w:tcPr>
            <w:tcW w:w="1448"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w:t>
            </w:r>
          </w:p>
        </w:tc>
        <w:tc>
          <w:tcPr>
            <w:tcW w:w="21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46,131 </w:t>
            </w:r>
          </w:p>
        </w:tc>
        <w:tc>
          <w:tcPr>
            <w:tcW w:w="28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89,446 </w:t>
            </w:r>
          </w:p>
        </w:tc>
        <w:tc>
          <w:tcPr>
            <w:tcW w:w="28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123,224 </w:t>
            </w:r>
          </w:p>
        </w:tc>
        <w:tc>
          <w:tcPr>
            <w:tcW w:w="26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210,079 </w:t>
            </w:r>
          </w:p>
        </w:tc>
        <w:tc>
          <w:tcPr>
            <w:tcW w:w="30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Operating income margin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w:t>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restaurant-level operating income adjustments (1)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impairments and closure-related charges (2)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16,225 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28,746 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Strategic initiative fees (3)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income from operations adjustments</w:t>
            </w:r>
          </w:p>
        </w:tc>
        <w:tc>
          <w:tcPr>
            <w:tcW w:w="9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17,225 </w:t>
            </w:r>
          </w:p>
        </w:tc>
        <w:tc>
          <w:tcPr>
            <w:tcW w:w="28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30,180 </w:t>
            </w:r>
          </w:p>
        </w:tc>
        <w:tc>
          <w:tcPr>
            <w:tcW w:w="26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income from operations</w:t>
            </w:r>
          </w:p>
        </w:tc>
        <w:tc>
          <w:tcPr>
            <w:tcW w:w="21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63,356 </w:t>
            </w:r>
          </w:p>
        </w:tc>
        <w:tc>
          <w:tcPr>
            <w:tcW w:w="28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89,446 </w:t>
            </w:r>
          </w:p>
        </w:tc>
        <w:tc>
          <w:tcPr>
            <w:tcW w:w="28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153,404 </w:t>
            </w:r>
          </w:p>
        </w:tc>
        <w:tc>
          <w:tcPr>
            <w:tcW w:w="26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210,079 </w:t>
            </w:r>
          </w:p>
        </w:tc>
        <w:tc>
          <w:tcPr>
            <w:tcW w:w="30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Adjusted operating income margin</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28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28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2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30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_________________</w:t>
      </w:r>
    </w:p>
    <w:p>
      <w:pPr>
        <w:pStyle w:val="TextBody"/>
        <w:bidi w:val="0"/>
        <w:spacing w:lineRule="auto" w:line="288" w:before="0" w:after="0"/>
        <w:ind w:left="0" w:right="0" w:hanging="720"/>
        <w:jc w:val="both"/>
        <w:rPr/>
      </w:pPr>
      <w:r>
        <w:rPr>
          <w:rFonts w:ascii="Times New Roman;sans-serif" w:hAnsi="Times New Roman;sans-serif"/>
          <w:b w:val="false"/>
          <w:color w:val="000000"/>
          <w:sz w:val="18"/>
        </w:rPr>
        <w:t xml:space="preserve">(1)See the </w:t>
      </w:r>
      <w:r>
        <w:rPr>
          <w:rFonts w:ascii="Times New Roman;sans-serif" w:hAnsi="Times New Roman;sans-serif"/>
          <w:b w:val="false"/>
          <w:i/>
          <w:color w:val="000000"/>
          <w:sz w:val="18"/>
        </w:rPr>
        <w:t>Consolidated Restaurant-level Operating Income and Adjusted Restaurant-level Operating Income and Corresponding Margins Non-GAAP Reconciliations</w:t>
      </w:r>
      <w:r>
        <w:rPr>
          <w:color w:val="000000"/>
        </w:rPr>
        <w:t xml:space="preserve"> </w:t>
      </w:r>
      <w:r>
        <w:rPr>
          <w:rFonts w:ascii="Times New Roman;sans-serif" w:hAnsi="Times New Roman;sans-serif"/>
          <w:b w:val="false"/>
          <w:color w:val="000000"/>
          <w:sz w:val="18"/>
        </w:rPr>
        <w:t>table above for details regarding restaurant-level operating income adjustments.</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(2)Includes asset impairment, closure costs and severance primarily in connection with the Q2 2024 decision to close nine restaurants in Hong Kong and the Q4 2023 decision to close 36 older, predominately underperforming U.S. restaurants.</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(3)Represents fees incurred in connection with a project-based strategic initiative. The costs incurred represent third-party consulting fees related to a strategic initiative to develop revenue growth management capabilities for Outback Steakhouse and are included in General and administrative expense. We expect to incur additional fees for this project for the remainder of 2024. Given the expected magnitude and scope of this initiative and that it is not expected to recur in the foreseeable future after 2024, we consider these incremental expenses to be distinct from other consulting fees that we incur in the ordinary course of business and not reflective of the ongoing costs to operate our business or operating performance in the period.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Adjusted Net Income and Adjusted Diluted Earnings </w:t>
      </w:r>
      <w:bookmarkStart w:id="27" w:name="i746ba839c87c4c0980ebca6379aa3212_14882"/>
      <w:bookmarkEnd w:id="27"/>
      <w:r>
        <w:rPr>
          <w:rFonts w:ascii="Times New Roman;sans-serif" w:hAnsi="Times New Roman;sans-serif"/>
          <w:b w:val="false"/>
          <w:i/>
          <w:color w:val="000000"/>
          <w:sz w:val="22"/>
        </w:rPr>
        <w:t xml:space="preserve">Per Share Non-GAAP Reconciliations </w:t>
      </w:r>
      <w:r>
        <w:rPr>
          <w:rFonts w:ascii="Times New Roman;sans-serif" w:hAnsi="Times New Roman;sans-serif"/>
          <w:b w:val="false"/>
          <w:color w:val="000000"/>
          <w:sz w:val="22"/>
        </w:rPr>
        <w:t>- The following table reconciles Net income (loss) attributable to Bloomin’ Brands to adjusted net income and adjusted diluted earnings per share for the periods indicated:</w:t>
      </w:r>
    </w:p>
    <w:tbl>
      <w:tblPr>
        <w:tblW w:w="10205" w:type="dxa"/>
        <w:jc w:val="left"/>
        <w:tblInd w:w="0" w:type="dxa"/>
        <w:tblLayout w:type="fixed"/>
        <w:tblCellMar>
          <w:top w:w="28" w:type="dxa"/>
          <w:left w:w="28" w:type="dxa"/>
          <w:bottom w:w="28" w:type="dxa"/>
          <w:right w:w="28" w:type="dxa"/>
        </w:tblCellMar>
      </w:tblPr>
      <w:tblGrid>
        <w:gridCol w:w="1645"/>
        <w:gridCol w:w="1402"/>
        <w:gridCol w:w="1406"/>
        <w:gridCol w:w="241"/>
        <w:gridCol w:w="797"/>
        <w:gridCol w:w="134"/>
        <w:gridCol w:w="109"/>
        <w:gridCol w:w="109"/>
        <w:gridCol w:w="109"/>
        <w:gridCol w:w="241"/>
        <w:gridCol w:w="797"/>
        <w:gridCol w:w="134"/>
        <w:gridCol w:w="109"/>
        <w:gridCol w:w="109"/>
        <w:gridCol w:w="109"/>
        <w:gridCol w:w="223"/>
        <w:gridCol w:w="840"/>
        <w:gridCol w:w="124"/>
        <w:gridCol w:w="109"/>
        <w:gridCol w:w="109"/>
        <w:gridCol w:w="109"/>
        <w:gridCol w:w="222"/>
        <w:gridCol w:w="836"/>
        <w:gridCol w:w="182"/>
      </w:tblGrid>
      <w:tr>
        <w:trPr/>
        <w:tc>
          <w:tcPr>
            <w:tcW w:w="1645"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r>
      <w:tr>
        <w:trPr/>
        <w:tc>
          <w:tcPr>
            <w:tcW w:w="44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c>
          <w:tcPr>
            <w:tcW w:w="117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r>
      <w:tr>
        <w:trPr/>
        <w:tc>
          <w:tcPr>
            <w:tcW w:w="4453"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453"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4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Bloomin’ Brands</w:t>
            </w:r>
          </w:p>
        </w:tc>
        <w:tc>
          <w:tcPr>
            <w:tcW w:w="24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28,403 </w:t>
            </w:r>
          </w:p>
        </w:tc>
        <w:tc>
          <w:tcPr>
            <w:tcW w:w="13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68,277 </w:t>
            </w:r>
          </w:p>
        </w:tc>
        <w:tc>
          <w:tcPr>
            <w:tcW w:w="13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(55,469)</w:t>
            </w:r>
          </w:p>
        </w:tc>
        <w:tc>
          <w:tcPr>
            <w:tcW w:w="12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159,588 </w:t>
            </w:r>
          </w:p>
        </w:tc>
        <w:tc>
          <w:tcPr>
            <w:tcW w:w="18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w:t>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 adjustments (1)</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17,225 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30,180 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of debt (2)</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135,797 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3"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adjustments, before income taxes</w:t>
            </w:r>
          </w:p>
        </w:tc>
        <w:tc>
          <w:tcPr>
            <w:tcW w:w="103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17,225 </w:t>
            </w:r>
          </w:p>
        </w:tc>
        <w:tc>
          <w:tcPr>
            <w:tcW w:w="13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165,977 </w:t>
            </w:r>
          </w:p>
        </w:tc>
        <w:tc>
          <w:tcPr>
            <w:tcW w:w="12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 to provision for income taxes (3)</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adjustments</w:t>
            </w:r>
          </w:p>
        </w:tc>
        <w:tc>
          <w:tcPr>
            <w:tcW w:w="103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16,623 </w:t>
            </w:r>
          </w:p>
        </w:tc>
        <w:tc>
          <w:tcPr>
            <w:tcW w:w="13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164,009 </w:t>
            </w:r>
          </w:p>
        </w:tc>
        <w:tc>
          <w:tcPr>
            <w:tcW w:w="12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net income</w:t>
            </w:r>
          </w:p>
        </w:tc>
        <w:tc>
          <w:tcPr>
            <w:tcW w:w="24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45,026 </w:t>
            </w:r>
          </w:p>
        </w:tc>
        <w:tc>
          <w:tcPr>
            <w:tcW w:w="13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68,277 </w:t>
            </w:r>
          </w:p>
        </w:tc>
        <w:tc>
          <w:tcPr>
            <w:tcW w:w="13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108,540 </w:t>
            </w:r>
          </w:p>
        </w:tc>
        <w:tc>
          <w:tcPr>
            <w:tcW w:w="12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159,588 </w:t>
            </w:r>
          </w:p>
        </w:tc>
        <w:tc>
          <w:tcPr>
            <w:tcW w:w="18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earnings (loss) per share</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diluted earnings per share (4)(5)</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0.51 </w:t>
            </w:r>
          </w:p>
        </w:tc>
        <w:tc>
          <w:tcPr>
            <w:tcW w:w="13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0.70 </w:t>
            </w:r>
          </w:p>
        </w:tc>
        <w:tc>
          <w:tcPr>
            <w:tcW w:w="13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2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1.63 </w:t>
            </w:r>
          </w:p>
        </w:tc>
        <w:tc>
          <w:tcPr>
            <w:tcW w:w="18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3"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453"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453"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453"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453"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453"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weighted average common shares outstanding (5)</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88,632 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97,401 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86,856 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97,706 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diluted weighted average common shares outstanding (4)(5)</w:t>
            </w:r>
          </w:p>
        </w:tc>
        <w:tc>
          <w:tcPr>
            <w:tcW w:w="1038"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88,632 </w:t>
            </w:r>
          </w:p>
        </w:tc>
        <w:tc>
          <w:tcPr>
            <w:tcW w:w="13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97,401 </w:t>
            </w:r>
          </w:p>
        </w:tc>
        <w:tc>
          <w:tcPr>
            <w:tcW w:w="13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92,004 </w:t>
            </w:r>
          </w:p>
        </w:tc>
        <w:tc>
          <w:tcPr>
            <w:tcW w:w="12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97,706 </w:t>
            </w:r>
          </w:p>
        </w:tc>
        <w:tc>
          <w:tcPr>
            <w:tcW w:w="18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453"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453"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453"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453"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453"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453"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453"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453"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_________________</w:t>
      </w:r>
    </w:p>
    <w:p>
      <w:pPr>
        <w:pStyle w:val="TextBody"/>
        <w:bidi w:val="0"/>
        <w:spacing w:lineRule="auto" w:line="288" w:before="0" w:after="0"/>
        <w:ind w:left="0" w:right="0" w:hanging="720"/>
        <w:jc w:val="both"/>
        <w:rPr/>
      </w:pPr>
      <w:r>
        <w:rPr>
          <w:rFonts w:ascii="Times New Roman;sans-serif" w:hAnsi="Times New Roman;sans-serif"/>
          <w:b w:val="false"/>
          <w:color w:val="000000"/>
          <w:sz w:val="18"/>
        </w:rPr>
        <w:t xml:space="preserve">(1)See the </w:t>
      </w:r>
      <w:r>
        <w:rPr>
          <w:rFonts w:ascii="Times New Roman;sans-serif" w:hAnsi="Times New Roman;sans-serif"/>
          <w:b w:val="false"/>
          <w:i/>
          <w:color w:val="000000"/>
          <w:sz w:val="18"/>
        </w:rPr>
        <w:t>Adjusted Income from Operations Non-GAAP Reconciliations</w:t>
      </w:r>
      <w:r>
        <w:rPr>
          <w:color w:val="000000"/>
        </w:rPr>
        <w:t xml:space="preserve"> </w:t>
      </w:r>
      <w:r>
        <w:rPr>
          <w:rFonts w:ascii="Times New Roman;sans-serif" w:hAnsi="Times New Roman;sans-serif"/>
          <w:b w:val="false"/>
          <w:color w:val="000000"/>
          <w:sz w:val="18"/>
        </w:rPr>
        <w:t>table above for details regarding Income from operations adjustments.</w:t>
      </w:r>
    </w:p>
    <w:p>
      <w:pPr>
        <w:pStyle w:val="TextBody"/>
        <w:bidi w:val="0"/>
        <w:spacing w:lineRule="auto" w:line="288" w:before="0" w:after="0"/>
        <w:ind w:left="0" w:right="0" w:hanging="720"/>
        <w:jc w:val="both"/>
        <w:rPr/>
      </w:pPr>
      <w:r>
        <w:rPr>
          <w:rFonts w:ascii="Times New Roman;sans-serif" w:hAnsi="Times New Roman;sans-serif"/>
          <w:b w:val="false"/>
          <w:color w:val="000000"/>
          <w:sz w:val="18"/>
        </w:rPr>
        <w:t xml:space="preserve">(2)Includes losses in connection with the 2025 Notes Partial Repurchase. See Note 10 - </w:t>
      </w:r>
      <w:r>
        <w:rPr>
          <w:rFonts w:ascii="Times New Roman;sans-serif" w:hAnsi="Times New Roman;sans-serif"/>
          <w:b w:val="false"/>
          <w:i/>
          <w:color w:val="000000"/>
          <w:sz w:val="18"/>
        </w:rPr>
        <w:t xml:space="preserve">Convertible Senior Notes </w:t>
      </w:r>
      <w:r>
        <w:rPr>
          <w:rFonts w:ascii="Times New Roman;sans-serif" w:hAnsi="Times New Roman;sans-serif"/>
          <w:b w:val="false"/>
          <w:color w:val="000000"/>
          <w:sz w:val="18"/>
        </w:rPr>
        <w:t>of the Notes to Consolidated Financial Statements for additional details.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0aee04ce58ba4067b6daada9a9c52dcb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(3)Includes the tax effects of non-GAAP adjustments determined based on the nature of the underlying non-GAAP adjustments and their relevant jurisdictional tax rates for all periods presented. The difference between GAAP and adjusted effective income tax rates during the thirteen weeks ended June 30, 2024 primarily relates to asset impairment and closure costs in Hong Kong with no corresponding tax benefit as a result of a full valuation allowance against deferred tax assets in that jurisdiction. The difference between GAAP and adjusted effective income tax rates for the twenty-six weeks ended June 30, 2024 primarily relates to nondeductible losses and other tax costs associated with the 2025 Notes Partial Repurchase.</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(4)Adjusted diluted weighted average common shares outstanding for the thirteen weeks ended June 30, 2024 and June 25, 2023 and the twenty-six weeks ended June 30, 2024 and June 25, 2023 were calculated including the effect of 1.0 million, 5.0 million, 2.7 million and 4.9 million dilutive securities, respectively, for outstanding 2025 Notes and the effect of 0.6 million, 3.3 million, 1.9 million and 3.2 million dilutive securities, respectively, for the Warrant Transactions, as defined below. In connection with the offering of the 2025 Notes, we entered into convertible note hedge transactions (the “Convertible Note Hedge Transactions”) and concurrently entered into warrant transactions relating to the same number of shares of our common stock (the “Warrant Transactions”). If our stock price is in excess of the conversion price of the 2025 Notes ($10.94 and $11.37 as of June 30, 2024 and June 25, 2023, respectively), the Convertible Note Hedge Transactions deliver shares to offset dilution from the 2025 Notes, which, in combination with the warrant transactions, effectively offset dilution from the 2025 Notes up to the strike price of the Warrant Transactions ($15.32 and $15.92 as of June 30, 2024 and June 25, 2023, respectively). Adjusted diluted earnings per share and adjusted diluted weighted average common shares outstanding for the thirteen and twenty-six weeks ended June 25, 2023 have been recast to remove the 5.0 million and 4.9 million share benefit, respectively, of the Convertible Note Hedge Transactions which was previously included as a non-GAAP share adjustment.</w:t>
      </w:r>
    </w:p>
    <w:p>
      <w:pPr>
        <w:pStyle w:val="TextBody"/>
        <w:bidi w:val="0"/>
        <w:spacing w:lineRule="auto" w:line="288" w:before="0" w:after="0"/>
        <w:ind w:left="0" w:right="0" w:hanging="720"/>
        <w:jc w:val="both"/>
        <w:rPr/>
      </w:pPr>
      <w:r>
        <w:rPr>
          <w:rFonts w:ascii="Times New Roman;sans-serif" w:hAnsi="Times New Roman;sans-serif"/>
          <w:b w:val="false"/>
          <w:color w:val="000000"/>
          <w:sz w:val="18"/>
        </w:rPr>
        <w:t>(5)Due to a GAAP net loss, antidilutive securities are excluded from diluted weighted average common shares outstanding for the twenty-six weeks ended June 30, 2024. However, considering the adjusted net income position, adjusted diluted weighted average common shares outstanding incorporates securities that would have been dilutive for</w:t>
      </w:r>
      <w:bookmarkStart w:id="28" w:name="i746ba839c87c4c0980ebca6379aa3212_14883"/>
      <w:bookmarkEnd w:id="28"/>
      <w:r>
        <w:rPr>
          <w:rFonts w:ascii="Times New Roman;sans-serif" w:hAnsi="Times New Roman;sans-serif"/>
          <w:b w:val="false"/>
          <w:color w:val="000000"/>
          <w:sz w:val="18"/>
        </w:rPr>
        <w:t xml:space="preserve"> GAAP.</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System-Wide Sales - </w:t>
      </w:r>
      <w:r>
        <w:rPr>
          <w:rFonts w:ascii="Times New Roman;sans-serif" w:hAnsi="Times New Roman;sans-serif"/>
          <w:b w:val="false"/>
          <w:color w:val="000000"/>
          <w:sz w:val="22"/>
        </w:rPr>
        <w:t>System-wide sales is a non-GAAP financial measure that includes sales of all restaurants operating under our brand names, whether we own them or not. Management uses this information to make decisions about future plans for the development of additional restaurants and new concepts, as well as evaluation of current operations. System-wide sales comprise sales of Company-owned and franchised restaurants. For a summary of sales of Company-owned restaurants, refer to Note 2</w:t>
      </w:r>
      <w:r>
        <w:rPr>
          <w:color w:val="000000"/>
        </w:rPr>
        <w:t xml:space="preserve"> </w:t>
      </w:r>
      <w:r>
        <w:rPr>
          <w:rFonts w:ascii="Times New Roman;sans-serif" w:hAnsi="Times New Roman;sans-serif"/>
          <w:b w:val="false"/>
          <w:color w:val="000000"/>
          <w:sz w:val="20"/>
        </w:rPr>
        <w:t xml:space="preserve">- </w:t>
      </w:r>
      <w:r>
        <w:rPr>
          <w:rFonts w:ascii="Times New Roman;sans-serif" w:hAnsi="Times New Roman;sans-serif"/>
          <w:b w:val="false"/>
          <w:i/>
          <w:color w:val="000000"/>
          <w:sz w:val="22"/>
        </w:rPr>
        <w:t xml:space="preserve">Revenue Recognition </w:t>
      </w:r>
      <w:r>
        <w:rPr>
          <w:rFonts w:ascii="Times New Roman;sans-serif" w:hAnsi="Times New Roman;sans-serif"/>
          <w:b w:val="false"/>
          <w:color w:val="000000"/>
          <w:sz w:val="22"/>
        </w:rPr>
        <w:t>of the Notes to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provides a summary of sales of franchised restaurants for the periods indicated, which are not included in our consolidated financial results. Franchise sales within this table do not represent our sales and are presented only as an indicator of changes in the restaurant system, which management believes is important information regarding the health of our restaurant concepts and in determining our royalties and/or service fees.</w:t>
      </w:r>
    </w:p>
    <w:tbl>
      <w:tblPr>
        <w:tblW w:w="8923" w:type="dxa"/>
        <w:jc w:val="left"/>
        <w:tblInd w:w="0" w:type="dxa"/>
        <w:tblLayout w:type="fixed"/>
        <w:tblCellMar>
          <w:top w:w="28" w:type="dxa"/>
          <w:left w:w="28" w:type="dxa"/>
          <w:bottom w:w="28" w:type="dxa"/>
          <w:right w:w="28" w:type="dxa"/>
        </w:tblCellMar>
      </w:tblPr>
      <w:tblGrid>
        <w:gridCol w:w="952"/>
        <w:gridCol w:w="835"/>
        <w:gridCol w:w="838"/>
        <w:gridCol w:w="327"/>
        <w:gridCol w:w="705"/>
        <w:gridCol w:w="182"/>
        <w:gridCol w:w="136"/>
        <w:gridCol w:w="136"/>
        <w:gridCol w:w="136"/>
        <w:gridCol w:w="327"/>
        <w:gridCol w:w="705"/>
        <w:gridCol w:w="182"/>
        <w:gridCol w:w="109"/>
        <w:gridCol w:w="109"/>
        <w:gridCol w:w="109"/>
        <w:gridCol w:w="328"/>
        <w:gridCol w:w="704"/>
        <w:gridCol w:w="182"/>
        <w:gridCol w:w="148"/>
        <w:gridCol w:w="148"/>
        <w:gridCol w:w="148"/>
        <w:gridCol w:w="328"/>
        <w:gridCol w:w="704"/>
        <w:gridCol w:w="182"/>
        <w:gridCol w:w="109"/>
        <w:gridCol w:w="154"/>
      </w:tblGrid>
      <w:tr>
        <w:trPr/>
        <w:tc>
          <w:tcPr>
            <w:tcW w:w="95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40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44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Bonefish Grill</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Aussie Grill</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total</w:t>
            </w:r>
          </w:p>
        </w:tc>
        <w:tc>
          <w:tcPr>
            <w:tcW w:w="10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142 </w:t>
            </w:r>
          </w:p>
        </w:tc>
        <w:tc>
          <w:tcPr>
            <w:tcW w:w="18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8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290 </w:t>
            </w:r>
          </w:p>
        </w:tc>
        <w:tc>
          <w:tcPr>
            <w:tcW w:w="18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297 </w:t>
            </w:r>
          </w:p>
        </w:tc>
        <w:tc>
          <w:tcPr>
            <w:tcW w:w="18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 - South Korea</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(1)</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 total</w:t>
            </w:r>
          </w:p>
        </w:tc>
        <w:tc>
          <w:tcPr>
            <w:tcW w:w="10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18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18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18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222 </w:t>
            </w:r>
          </w:p>
        </w:tc>
        <w:tc>
          <w:tcPr>
            <w:tcW w:w="18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franchise sales</w:t>
            </w:r>
          </w:p>
        </w:tc>
        <w:tc>
          <w:tcPr>
            <w:tcW w:w="32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18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246 </w:t>
            </w:r>
          </w:p>
        </w:tc>
        <w:tc>
          <w:tcPr>
            <w:tcW w:w="18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490 </w:t>
            </w:r>
          </w:p>
        </w:tc>
        <w:tc>
          <w:tcPr>
            <w:tcW w:w="18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519 </w:t>
            </w:r>
          </w:p>
        </w:tc>
        <w:tc>
          <w:tcPr>
            <w:tcW w:w="18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w:t>
      </w:r>
    </w:p>
    <w:p>
      <w:pPr>
        <w:pStyle w:val="TextBody"/>
        <w:bidi w:val="0"/>
        <w:spacing w:lineRule="auto" w:line="288" w:before="0" w:after="0"/>
        <w:ind w:left="0" w:right="0" w:hanging="720"/>
        <w:jc w:val="left"/>
        <w:rPr/>
      </w:pPr>
      <w:r>
        <w:rPr>
          <w:rFonts w:ascii="Times New Roman;sans-serif" w:hAnsi="Times New Roman;sans-serif"/>
          <w:b w:val="false"/>
          <w:color w:val="000000"/>
          <w:sz w:val="18"/>
        </w:rPr>
        <w:t>(1)Includes franchise sales fo</w:t>
      </w:r>
      <w:bookmarkStart w:id="29" w:name="i6e7ed3f108dc459293c7ccb1e7571e72_1104"/>
      <w:bookmarkEnd w:id="29"/>
      <w:r>
        <w:rPr>
          <w:rFonts w:ascii="Times New Roman;sans-serif" w:hAnsi="Times New Roman;sans-serif"/>
          <w:b w:val="false"/>
          <w:color w:val="000000"/>
          <w:sz w:val="18"/>
        </w:rPr>
        <w:t>r off-premises only kitchens in South Korea.</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0aee04ce58ba4067b6daada9a9c52dcb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 xml:space="preserve">Liquidity and Capital Resources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Cash and Cash Equivalents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of June 30, 2024, we had $117.9 million in cash and cash equivalents, of which $59.2 million was held by foreign affiliates. The international jurisdictions in which we have significant cash do not have any known restrictions that would prohibit repatriation.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 of June 30, 2024, we had aggregate undistributed foreign earnings of approximately $33.1 million that may be repatriated to the U.S. without additional material U.S. federal income tax. These amounts are not considered indefinitely reinvested in our foreign subsidiaries.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Borrowing Capacity and Debt Service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Credit Facilities</w:t>
      </w:r>
      <w:r>
        <w:rPr>
          <w:color w:val="000000"/>
        </w:rPr>
        <w:t xml:space="preserve"> </w:t>
      </w:r>
      <w:r>
        <w:rPr>
          <w:rFonts w:ascii="Times New Roman;sans-serif" w:hAnsi="Times New Roman;sans-serif"/>
          <w:b w:val="false"/>
          <w:color w:val="000000"/>
          <w:sz w:val="22"/>
        </w:rPr>
        <w:t>- Following is a summary of our outstanding credit facilities as of the dates indicated and principal payments and debt issuance during the period indicated:</w:t>
      </w:r>
    </w:p>
    <w:tbl>
      <w:tblPr>
        <w:tblW w:w="10205" w:type="dxa"/>
        <w:jc w:val="left"/>
        <w:tblInd w:w="0" w:type="dxa"/>
        <w:tblLayout w:type="fixed"/>
        <w:tblCellMar>
          <w:top w:w="28" w:type="dxa"/>
          <w:left w:w="28" w:type="dxa"/>
          <w:bottom w:w="28" w:type="dxa"/>
          <w:right w:w="28" w:type="dxa"/>
        </w:tblCellMar>
      </w:tblPr>
      <w:tblGrid>
        <w:gridCol w:w="704"/>
        <w:gridCol w:w="558"/>
        <w:gridCol w:w="560"/>
        <w:gridCol w:w="109"/>
        <w:gridCol w:w="109"/>
        <w:gridCol w:w="343"/>
        <w:gridCol w:w="1291"/>
        <w:gridCol w:w="448"/>
        <w:gridCol w:w="109"/>
        <w:gridCol w:w="109"/>
        <w:gridCol w:w="109"/>
        <w:gridCol w:w="109"/>
        <w:gridCol w:w="109"/>
        <w:gridCol w:w="109"/>
        <w:gridCol w:w="109"/>
        <w:gridCol w:w="196"/>
        <w:gridCol w:w="736"/>
        <w:gridCol w:w="256"/>
        <w:gridCol w:w="109"/>
        <w:gridCol w:w="109"/>
        <w:gridCol w:w="109"/>
        <w:gridCol w:w="284"/>
        <w:gridCol w:w="1070"/>
        <w:gridCol w:w="372"/>
        <w:gridCol w:w="283"/>
        <w:gridCol w:w="283"/>
        <w:gridCol w:w="285"/>
        <w:gridCol w:w="196"/>
        <w:gridCol w:w="871"/>
        <w:gridCol w:w="161"/>
      </w:tblGrid>
      <w:tr>
        <w:trPr/>
        <w:tc>
          <w:tcPr>
            <w:tcW w:w="70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SENIOR SECURED CREDIT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CREDIT FACILITIES</w:t>
            </w:r>
          </w:p>
        </w:tc>
        <w:tc>
          <w:tcPr>
            <w:tcW w:w="2079" w:type="dxa"/>
            <w:gridSpan w:val="6"/>
            <w:tcBorders/>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REVOLVING CREDIT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vMerge w:val="continue"/>
            <w:tcBorders/>
            <w:tcMar>
              <w:top w:w="0" w:type="dxa"/>
              <w:left w:w="0" w:type="dxa"/>
              <w:bottom w:w="0" w:type="dxa"/>
              <w:right w:w="0" w:type="dxa"/>
            </w:tcMar>
            <w:vAlign w:val="center"/>
          </w:tcPr>
          <w:p>
            <w:pPr>
              <w:pStyle w:val="Normal"/>
              <w:bidi w:val="0"/>
              <w:jc w:val="left"/>
              <w:rPr/>
            </w:pPr>
            <w:r>
              <w:rPr/>
            </w:r>
          </w:p>
        </w:tc>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2029 NOTES</w:t>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381,000 </w:t>
            </w:r>
          </w:p>
        </w:tc>
        <w:tc>
          <w:tcPr>
            <w:tcW w:w="44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104,786 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300,000 </w:t>
            </w:r>
          </w:p>
        </w:tc>
        <w:tc>
          <w:tcPr>
            <w:tcW w:w="37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785,786 </w:t>
            </w:r>
          </w:p>
        </w:tc>
        <w:tc>
          <w:tcPr>
            <w:tcW w:w="16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 new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860,000 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860,000 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 payments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(556,000)</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(556,000)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 repurchases and conversions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(84,062)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(84,062)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June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685,000 </w:t>
            </w:r>
          </w:p>
        </w:tc>
        <w:tc>
          <w:tcPr>
            <w:tcW w:w="44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20,724 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300,000 </w:t>
            </w:r>
          </w:p>
        </w:tc>
        <w:tc>
          <w:tcPr>
            <w:tcW w:w="37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1,005,724 </w:t>
            </w:r>
          </w:p>
        </w:tc>
        <w:tc>
          <w:tcPr>
            <w:tcW w:w="16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rates, as of June 30, 2024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6.96 </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maturity date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April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May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April 2029</w:t>
            </w:r>
          </w:p>
        </w:tc>
        <w:tc>
          <w:tcPr>
            <w:tcW w:w="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(1)The revolving credit facility interest rate represents the weighted average interest rate as of June 30, 2024.</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 of June 30, 2024, we had $297.2 million in available unused borrowing capacity under our revolving credit facility, net of letters of credit of $17.8 million.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Our credit agreement, as amended, contains various financial and non-financial covenants. A violation of these covenants could negatively impact our liquidity by restricting our ability to borrow under the revolving credit facility and cause an acceleration of the amounts due under the credit facilities. See Note 12 - </w:t>
      </w:r>
      <w:r>
        <w:rPr>
          <w:rFonts w:ascii="Times New Roman;sans-serif" w:hAnsi="Times New Roman;sans-serif"/>
          <w:b w:val="false"/>
          <w:i/>
          <w:color w:val="000000"/>
          <w:sz w:val="22"/>
        </w:rPr>
        <w:t>Long-term Debt, Net</w:t>
      </w:r>
      <w:r>
        <w:rPr>
          <w:color w:val="000000"/>
        </w:rPr>
        <w:t xml:space="preserve"> </w:t>
      </w:r>
      <w:r>
        <w:rPr>
          <w:rFonts w:ascii="Times New Roman;sans-serif" w:hAnsi="Times New Roman;sans-serif"/>
          <w:b w:val="false"/>
          <w:color w:val="000000"/>
          <w:sz w:val="22"/>
        </w:rPr>
        <w:t>in our Annual Report on Form 10-K for the year ended December 31, 2023 for further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of June 30, 2024 and December 31, 2023, we were in compliance with our debt covenants. We believe that we will remain in compliance with our debt covenants during the next 12 months and beyond.</w:t>
      </w:r>
    </w:p>
    <w:p>
      <w:pPr>
        <w:pStyle w:val="TextBody"/>
        <w:bidi w:val="0"/>
        <w:spacing w:before="0" w:after="0"/>
        <w:jc w:val="both"/>
        <w:rPr/>
      </w:pPr>
      <w:r>
        <w:rPr/>
      </w:r>
    </w:p>
    <w:p>
      <w:pPr>
        <w:pStyle w:val="TextBody"/>
        <w:bidi w:val="0"/>
        <w:spacing w:lineRule="auto" w:line="288" w:before="0" w:after="0"/>
        <w:jc w:val="both"/>
        <w:rPr/>
      </w:pPr>
      <w:bookmarkStart w:id="30" w:name="i05b5981264ba449c84b60e326cd87466_1880"/>
      <w:bookmarkEnd w:id="30"/>
      <w:r>
        <w:rPr>
          <w:rFonts w:ascii="Times New Roman;sans-serif" w:hAnsi="Times New Roman;sans-serif"/>
          <w:b w:val="false"/>
          <w:i/>
          <w:color w:val="000000"/>
          <w:sz w:val="22"/>
        </w:rPr>
        <w:t>2025 Notes</w:t>
      </w:r>
      <w:r>
        <w:rPr>
          <w:color w:val="000000"/>
        </w:rPr>
        <w:t xml:space="preserve"> </w:t>
      </w:r>
      <w:r>
        <w:rPr>
          <w:rFonts w:ascii="Times New Roman;sans-serif" w:hAnsi="Times New Roman;sans-serif"/>
          <w:b w:val="false"/>
          <w:i/>
          <w:color w:val="000000"/>
          <w:sz w:val="22"/>
        </w:rPr>
        <w:t>Partial Repurchase</w:t>
      </w:r>
      <w:r>
        <w:rPr>
          <w:color w:val="000000"/>
        </w:rPr>
        <w:t xml:space="preserve"> </w:t>
      </w:r>
      <w:r>
        <w:rPr>
          <w:rFonts w:ascii="Times New Roman;sans-serif" w:hAnsi="Times New Roman;sans-serif"/>
          <w:b w:val="false"/>
          <w:color w:val="000000"/>
          <w:sz w:val="22"/>
        </w:rPr>
        <w:t>- On February 29, 2024, we and the Noteholders entered into the Exchange Agreements in which the Noteholders agreed to exchange $83.6 million in aggregate principal amount of our outstanding 2025 Notes for approximately 7.5 million shares of our common stock and $3.3 million in cash, including accrued interest.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Convertible Note Hedge and Warrant Transactions</w:t>
      </w:r>
      <w:r>
        <w:rPr>
          <w:color w:val="000000"/>
        </w:rPr>
        <w:t xml:space="preserve"> </w:t>
      </w:r>
      <w:r>
        <w:rPr>
          <w:rFonts w:ascii="Times New Roman;sans-serif" w:hAnsi="Times New Roman;sans-serif"/>
          <w:b w:val="false"/>
          <w:color w:val="000000"/>
          <w:sz w:val="22"/>
        </w:rPr>
        <w:t xml:space="preserve">- In connection with the 2025 Notes Partial Repurchase, we entered into the Early Termination Agreements with the Derivative Counterparties. Upon settlement, we received approximately $118.2 million in cash and 0.3 million shares of our common stock from the Derivative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0aee04ce58ba4067b6daada9a9c52dcb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Counterparties and paid $102.2 million in cash to the Derivative Counterparties during the twenty-six weeks ended June 30, 2024.</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See Note 10 - </w:t>
      </w:r>
      <w:r>
        <w:rPr>
          <w:rFonts w:ascii="Times New Roman;sans-serif" w:hAnsi="Times New Roman;sans-serif"/>
          <w:b w:val="false"/>
          <w:i/>
          <w:color w:val="000000"/>
          <w:sz w:val="22"/>
        </w:rPr>
        <w:t>Convertible Senior Notes</w:t>
      </w:r>
      <w:r>
        <w:rPr>
          <w:color w:val="000000"/>
        </w:rPr>
        <w:t xml:space="preserve"> </w:t>
      </w:r>
      <w:r>
        <w:rPr>
          <w:rFonts w:ascii="Times New Roman;sans-serif" w:hAnsi="Times New Roman;sans-serif"/>
          <w:b w:val="false"/>
          <w:color w:val="000000"/>
          <w:sz w:val="22"/>
        </w:rPr>
        <w:t>of the Notes to Consolidated Financial Statements for additional details regarding the 2025 Notes Partial Repurchase and related Early Termination Agreements.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Use of Cash</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Cash flows generated from operating activities and availability under our revolving credit facility are our principal sources of liquidity, which we use for operating expenses, development of new restaurants, remodeling or relocating older restaurants, investments in technology, dividend payments and share repurchases.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believe that our expected liquidity sources are adequate to fund debt service requirements, lease obligations, capital expenditures and working capital obligations during the 12 months following this filing. However, our ability to continue to meet these requirements and obligations will depend on, among other things, our ability to achieve anticipated levels of revenue and cash flow and our ability to manage costs and working capital successfully.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Capital Expenditures </w:t>
      </w:r>
      <w:r>
        <w:rPr>
          <w:rFonts w:ascii="Times New Roman;sans-serif" w:hAnsi="Times New Roman;sans-serif"/>
          <w:b w:val="false"/>
          <w:color w:val="000000"/>
          <w:sz w:val="22"/>
        </w:rPr>
        <w:t xml:space="preserve">- We estimate that our capital expenditures will total approximately $260 million to $270 million in 2024. The amount of actual capital expenditures may be affected by general economic, financial, competitive, legislative and regulatory factors, among other things, including raw material constraints.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bookmarkStart w:id="31" w:name="i1565874a8dbf47b191dad4d5b644ad79_1760"/>
      <w:bookmarkEnd w:id="31"/>
      <w:r>
        <w:rPr>
          <w:rFonts w:ascii="Times New Roman;sans-serif" w:hAnsi="Times New Roman;sans-serif"/>
          <w:b w:val="false"/>
          <w:i/>
          <w:color w:val="000000"/>
          <w:sz w:val="22"/>
        </w:rPr>
        <w:t>Brazil Judicial Deposit</w:t>
      </w:r>
      <w:r>
        <w:rPr>
          <w:color w:val="000000"/>
        </w:rPr>
        <w:t xml:space="preserve"> </w:t>
      </w:r>
      <w:r>
        <w:rPr>
          <w:rFonts w:ascii="Times New Roman;sans-serif" w:hAnsi="Times New Roman;sans-serif"/>
          <w:b w:val="false"/>
          <w:color w:val="000000"/>
          <w:sz w:val="22"/>
        </w:rPr>
        <w:t>- In July 2024, we made a judicial deposit of $42.9 million in connection with our appeal of an unfavorable court ruling regarding our eligibility for tax exemptions under the Brazil tax legislation. The judicial deposit includes the disputed amounts through December 31, 2023 and was recorded in Other assets, net, on our Consolidated Balance Sheet. We believe that we will more likely than not prevail in this appeal and, accordingly, have not recorded any expense or liability for the disputed amounts.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Dividends and Share Repurchases</w:t>
      </w:r>
      <w:r>
        <w:rPr>
          <w:color w:val="000000"/>
        </w:rPr>
        <w:t xml:space="preserve"> </w:t>
      </w:r>
      <w:r>
        <w:rPr>
          <w:rFonts w:ascii="Times New Roman;sans-serif" w:hAnsi="Times New Roman;sans-serif"/>
          <w:b w:val="false"/>
          <w:color w:val="000000"/>
          <w:sz w:val="22"/>
        </w:rPr>
        <w:t>- In July 2024, our Board declared a quarterly cash dividend of $0.24 per share, payable on September 4, 2024. Future dividend payments are dependent on our earnings, financial condition, capital expenditure requirements, surplus and other factors that our Board considers relevant, as well as continued compliance with the financial covenants in our debt agreements.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In February 2024, our Board canceled the remaining $57.5 million under our former share repurchase authorization and</w:t>
      </w:r>
      <w:r>
        <w:rPr>
          <w:color w:val="000000"/>
        </w:rPr>
        <w:t xml:space="preserve"> </w:t>
      </w:r>
      <w:r>
        <w:rPr>
          <w:rFonts w:ascii="Times New Roman;sans-serif" w:hAnsi="Times New Roman;sans-serif"/>
          <w:b w:val="false"/>
          <w:color w:val="000000"/>
          <w:sz w:val="22"/>
        </w:rPr>
        <w:t>approved a new $350.0 million share repurchase authorization. The 2024 Share Repurchase Program includes capacity above our normal share repurchases activity to provide flexibility in retiring our 2025 Notes at or prior to their May 2025 maturity. The 2024 Share Repurchase Program will expire on August 13, 2025.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bookmarkStart w:id="32" w:name="i3fffe590c8384a17a99feaa3415a5c4a_1811"/>
      <w:bookmarkEnd w:id="32"/>
      <w:r>
        <w:rPr>
          <w:rFonts w:ascii="Times New Roman;sans-serif" w:hAnsi="Times New Roman;sans-serif"/>
          <w:b w:val="false"/>
          <w:color w:val="000000"/>
          <w:sz w:val="22"/>
        </w:rPr>
        <w:t>On March 1, 2024, we entered into the ASR Agreement, in connection with our previously announced 2024 Share Repurchase Program, with Wells Fargo to repurchase $220.0 million of our common stock. Under the ASR Agreement, we made an aggregate payment of $220.0 million to Wells Fargo and received an aggregate initial delivery of approximately 6.5 million shares of our common stock on March 4, 2024, representing approximately 80% of the total shares that are estimated to be repurchased under the ASR Agreement based on the price per share of common stock on that date. On April 23, 2024, we received 1.4 million additional shares of our common stock from Wells Fargo in connection with the final settlement of the ASR Agreement.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See Note 11 - </w:t>
      </w:r>
      <w:r>
        <w:rPr>
          <w:rFonts w:ascii="Times New Roman;sans-serif" w:hAnsi="Times New Roman;sans-serif"/>
          <w:b w:val="false"/>
          <w:i/>
          <w:color w:val="000000"/>
          <w:sz w:val="22"/>
        </w:rPr>
        <w:t>Stockholders’ Equity</w:t>
      </w:r>
      <w:r>
        <w:rPr>
          <w:color w:val="000000"/>
        </w:rPr>
        <w:t xml:space="preserve"> </w:t>
      </w:r>
      <w:r>
        <w:rPr>
          <w:rFonts w:ascii="Times New Roman;sans-serif" w:hAnsi="Times New Roman;sans-serif"/>
          <w:b w:val="false"/>
          <w:color w:val="000000"/>
          <w:sz w:val="22"/>
        </w:rPr>
        <w:t>of the Notes to Consolidated Financial Statements for additional details regarding the ASR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of June 30, 2024, $115.0 million remained available for repurchase under the 2024 Share Repurchase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0aee04ce58ba4067b6daada9a9c52dcb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Following is a summary of dividends and share repurchases from fiscal year 2023 through June 30, 2024:</w:t>
      </w:r>
    </w:p>
    <w:tbl>
      <w:tblPr>
        <w:tblW w:w="7424" w:type="dxa"/>
        <w:jc w:val="center"/>
        <w:tblInd w:w="0" w:type="dxa"/>
        <w:tblLayout w:type="fixed"/>
        <w:tblCellMar>
          <w:top w:w="28" w:type="dxa"/>
          <w:left w:w="28" w:type="dxa"/>
          <w:bottom w:w="28" w:type="dxa"/>
          <w:right w:w="28" w:type="dxa"/>
        </w:tblCellMar>
      </w:tblPr>
      <w:tblGrid>
        <w:gridCol w:w="819"/>
        <w:gridCol w:w="721"/>
        <w:gridCol w:w="725"/>
        <w:gridCol w:w="276"/>
        <w:gridCol w:w="1040"/>
        <w:gridCol w:w="154"/>
        <w:gridCol w:w="109"/>
        <w:gridCol w:w="109"/>
        <w:gridCol w:w="109"/>
        <w:gridCol w:w="366"/>
        <w:gridCol w:w="1378"/>
        <w:gridCol w:w="205"/>
        <w:gridCol w:w="109"/>
        <w:gridCol w:w="109"/>
        <w:gridCol w:w="109"/>
        <w:gridCol w:w="196"/>
        <w:gridCol w:w="736"/>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DIVIDENDS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 REPURCHASES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Fiscal year 2023</w:t>
            </w:r>
          </w:p>
        </w:tc>
        <w:tc>
          <w:tcPr>
            <w:tcW w:w="27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83,742 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7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70,000 </w:t>
            </w:r>
          </w:p>
        </w:tc>
        <w:tc>
          <w:tcPr>
            <w:tcW w:w="20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153,742 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First fiscal quarter 2024 (1)</w:t>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188,500 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209,575 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Second fiscal quarter 2024 (2)</w:t>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59,000 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(3)</w:t>
            </w:r>
          </w:p>
        </w:tc>
        <w:tc>
          <w:tcPr>
            <w:tcW w:w="27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125,579 </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7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317,500 </w:t>
            </w:r>
          </w:p>
        </w:tc>
        <w:tc>
          <w:tcPr>
            <w:tcW w:w="20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443,079 </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(1)Excludes $0.4 million of fees recorded in Accumulated deficit related to repurchases under the ASR Agreement. </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(2)Includes $44.0 million of share repurchases in connection with the ASR Agreement that settled during the thirteen weeks ended June 30, 2024.</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(3)Subsequent to June 30, 2024, we repurchased $15.6 million of our common stock authorized under the 2024 Share Repurchase Program through August 2, 2024 under a Rule 10b5-1 plan.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Summary of Cash Flows and Financial Condition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Cash Flows</w:t>
      </w:r>
      <w:r>
        <w:rPr>
          <w:color w:val="000000"/>
        </w:rPr>
        <w:t xml:space="preserve"> </w:t>
      </w:r>
      <w:r>
        <w:rPr>
          <w:rFonts w:ascii="Times New Roman;sans-serif" w:hAnsi="Times New Roman;sans-serif"/>
          <w:b w:val="false"/>
          <w:color w:val="000000"/>
          <w:sz w:val="22"/>
        </w:rPr>
        <w:t>- The following table presents a summary of our cash flows provided by (used in) operating, investing and financing activities for the periods indicated:</w:t>
      </w:r>
    </w:p>
    <w:tbl>
      <w:tblPr>
        <w:tblW w:w="7242" w:type="dxa"/>
        <w:jc w:val="left"/>
        <w:tblInd w:w="0" w:type="dxa"/>
        <w:tblLayout w:type="fixed"/>
        <w:tblCellMar>
          <w:top w:w="28" w:type="dxa"/>
          <w:left w:w="28" w:type="dxa"/>
          <w:bottom w:w="28" w:type="dxa"/>
          <w:right w:w="28" w:type="dxa"/>
        </w:tblCellMar>
      </w:tblPr>
      <w:tblGrid>
        <w:gridCol w:w="1605"/>
        <w:gridCol w:w="1415"/>
        <w:gridCol w:w="1420"/>
        <w:gridCol w:w="228"/>
        <w:gridCol w:w="860"/>
        <w:gridCol w:w="127"/>
        <w:gridCol w:w="109"/>
        <w:gridCol w:w="109"/>
        <w:gridCol w:w="109"/>
        <w:gridCol w:w="227"/>
        <w:gridCol w:w="855"/>
        <w:gridCol w:w="178"/>
      </w:tblGrid>
      <w:tr>
        <w:trPr/>
        <w:tc>
          <w:tcPr>
            <w:tcW w:w="1605"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22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116,192 </w:t>
            </w:r>
          </w:p>
        </w:tc>
        <w:tc>
          <w:tcPr>
            <w:tcW w:w="12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287,293 </w:t>
            </w:r>
          </w:p>
        </w:tc>
        <w:tc>
          <w:tcPr>
            <w:tcW w:w="17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(131,218)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(140,651)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financing activities</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22,288 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(143,214)</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and cash equivalents</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in cash, cash equivalents and restricted cash</w:t>
            </w:r>
          </w:p>
        </w:tc>
        <w:tc>
          <w:tcPr>
            <w:tcW w:w="22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3,546 </w:t>
            </w:r>
          </w:p>
        </w:tc>
        <w:tc>
          <w:tcPr>
            <w:tcW w:w="12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4,059 </w:t>
            </w:r>
          </w:p>
        </w:tc>
        <w:tc>
          <w:tcPr>
            <w:tcW w:w="17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Operating Activities</w:t>
      </w:r>
      <w:r>
        <w:rPr>
          <w:color w:val="000000"/>
        </w:rPr>
        <w:t xml:space="preserve"> </w:t>
      </w:r>
      <w:r>
        <w:rPr>
          <w:rFonts w:ascii="Times New Roman;sans-serif" w:hAnsi="Times New Roman;sans-serif"/>
          <w:b w:val="false"/>
          <w:color w:val="000000"/>
          <w:sz w:val="22"/>
        </w:rPr>
        <w:t>- The decrease in net cash provided by operating activities during the twenty-six weeks ended June 30, 2024 as compared to the twenty-six weeks ended June 25, 2023 was primarily due to changes in working capital and lower net earnings.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Investing Activities </w:t>
      </w:r>
      <w:r>
        <w:rPr>
          <w:rFonts w:ascii="Times New Roman;sans-serif" w:hAnsi="Times New Roman;sans-serif"/>
          <w:b w:val="false"/>
          <w:color w:val="000000"/>
          <w:sz w:val="22"/>
        </w:rPr>
        <w:t>- The decrease in net cash used in investing activities during the twenty-six weeks ended June 30, 2024 as compared to the twenty-six weeks ended June 25, 2023 was primarily due to lower capital expenditures.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000000"/>
          <w:sz w:val="22"/>
        </w:rPr>
        <w:t xml:space="preserve">Financing Activities - </w:t>
      </w:r>
      <w:r>
        <w:rPr>
          <w:rFonts w:ascii="Times New Roman;sans-serif" w:hAnsi="Times New Roman;sans-serif"/>
          <w:b w:val="false"/>
          <w:color w:val="000000"/>
          <w:sz w:val="22"/>
        </w:rPr>
        <w:t>The net cash provided by financing activities during the twenty-six weeks ended June 30, 2024 was due to net draws on the revolving credit facility exceeding cash used to repurchase common stock and pay dividends on our common stock, and net cash received from the Early Termination Agreements. Net cash used in financing activities during twenty-six weeks ended June 25, 2023 was primarily due to net repayments on our revolving credit facility, cash dividends on our common stock and repurchases of our common stock.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Financial Condition</w:t>
      </w:r>
      <w:r>
        <w:rPr>
          <w:color w:val="000000"/>
        </w:rPr>
        <w:t xml:space="preserve"> </w:t>
      </w:r>
      <w:r>
        <w:rPr>
          <w:rFonts w:ascii="Times New Roman;sans-serif" w:hAnsi="Times New Roman;sans-serif"/>
          <w:b w:val="false"/>
          <w:color w:val="000000"/>
          <w:sz w:val="22"/>
        </w:rPr>
        <w:t>- Following is a summary of our current assets, current liabilities and working capital (deficit) as of the periods indicated:</w:t>
      </w:r>
    </w:p>
    <w:tbl>
      <w:tblPr>
        <w:tblW w:w="5140" w:type="dxa"/>
        <w:jc w:val="left"/>
        <w:tblInd w:w="0" w:type="dxa"/>
        <w:tblLayout w:type="fixed"/>
        <w:tblCellMar>
          <w:top w:w="28" w:type="dxa"/>
          <w:left w:w="28" w:type="dxa"/>
          <w:bottom w:w="28" w:type="dxa"/>
          <w:right w:w="28" w:type="dxa"/>
        </w:tblCellMar>
      </w:tblPr>
      <w:tblGrid>
        <w:gridCol w:w="667"/>
        <w:gridCol w:w="588"/>
        <w:gridCol w:w="590"/>
        <w:gridCol w:w="213"/>
        <w:gridCol w:w="883"/>
        <w:gridCol w:w="118"/>
        <w:gridCol w:w="109"/>
        <w:gridCol w:w="109"/>
        <w:gridCol w:w="109"/>
        <w:gridCol w:w="296"/>
        <w:gridCol w:w="1226"/>
        <w:gridCol w:w="232"/>
      </w:tblGrid>
      <w:tr>
        <w:trPr/>
        <w:tc>
          <w:tcPr>
            <w:tcW w:w="66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21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300,211 </w:t>
            </w:r>
          </w:p>
        </w:tc>
        <w:tc>
          <w:tcPr>
            <w:tcW w:w="11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343,314 </w:t>
            </w:r>
          </w:p>
        </w:tc>
        <w:tc>
          <w:tcPr>
            <w:tcW w:w="23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867,270 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1,002,335 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Working capital (deficit)</w:t>
            </w:r>
          </w:p>
        </w:tc>
        <w:tc>
          <w:tcPr>
            <w:tcW w:w="21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(567,059)</w:t>
            </w:r>
          </w:p>
        </w:tc>
        <w:tc>
          <w:tcPr>
            <w:tcW w:w="11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(659,021)</w:t>
            </w:r>
          </w:p>
        </w:tc>
        <w:tc>
          <w:tcPr>
            <w:tcW w:w="23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Working capital (deficit) includes: (i) Unearned revenue primarily from unredeemed gift cards of $309.0 million and $381.9 million as of June 30, 2024 and December 31, 2023, respectively, and (ii) current operating lease liabilities of $169.4 million and $175.4 million as of June 30, 2024 and December 31, 2023, respectively, with the corresponding operating right-of-use assets recorded as non-current on our Consolidated Balance Sheets. We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0aee04ce58ba4067b6daada9a9c52dcb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and in the future may continue to have, negative working capital balances (as is common for many restaurant companies). We operate successfully with negative working capital because cash collected on restaurant sales is typically received before payment is due on our current liabilities, and our inventory turnover rates require relatively low investment in inventories. Additionally, ongoing cash flows from restaurant operations and gift card sales are typically used to service debt obligations and to make capital expenditures.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Recently Issued Financial Accounting Standards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For a description of recently issued Financial Accounting Standards that we adopted during the thirteen weeks ended June 30, 2024 and, that are applicable to us and likely to have material effect on our consolidated financial statements, but have not yet been adopted, see Note 1 - </w:t>
      </w:r>
      <w:r>
        <w:rPr>
          <w:rFonts w:ascii="Times New Roman;sans-serif" w:hAnsi="Times New Roman;sans-serif"/>
          <w:b w:val="false"/>
          <w:i/>
          <w:color w:val="000000"/>
          <w:sz w:val="22"/>
        </w:rPr>
        <w:t>Description of the Business and Basis of Presentation</w:t>
      </w:r>
      <w:r>
        <w:rPr>
          <w:color w:val="000000"/>
        </w:rPr>
        <w:t xml:space="preserve"> </w:t>
      </w:r>
      <w:r>
        <w:rPr>
          <w:rFonts w:ascii="Times New Roman;sans-serif" w:hAnsi="Times New Roman;sans-serif"/>
          <w:b w:val="false"/>
          <w:color w:val="000000"/>
          <w:sz w:val="22"/>
        </w:rPr>
        <w:t>of the Notes to Consolidated Financial Statements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0aee04ce58ba4067b6daada9a9c52dcb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are exposed to market risk from changes in commodity prices, labor inflation and foreign currency exchange rates and interest rates. We believe that there have been no material changes in our market risk since December 31, 2023. See Part II, Item 7A., “Quantitative and Qualitative Disclosures about Market Risk,” in our Annual Report on Form 10-K for the year ended December 31, 2023 for further information regarding market risk.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Item 4. Controls and Procedures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Evaluation of Disclosure Controls and Procedures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have established and maintain disclosure controls and procedures that are designed to ensure that information required to be disclosed by us in the reports that we file or submit under the Exchange Act,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 We carried out an evaluation, under the supervision and with the participation of our management, including our Chief Executive Officer and Chief Financial Officer, of the effectiveness of our disclosure controls and procedures (as defined in Rule 13a-15(e) under the Exchange Act) as of the end of the period covered by this report. Based on that evaluation, the Chief Executive Officer and Chief Financial Officer concluded that our disclosure controls and procedures were effective as of June 30, 2024.</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Changes in Internal Control over Financial Reporting</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There have been no changes in our internal control over financial reporting (as defined in Rule 13a-15(f) under the Exchange Act) during the thirteen weeks ended June 30, 2024 that have materially affected, or are reasonably likely to materially affect, our internal control over financial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0aee04ce58ba4067b6daada9a9c52dcb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Item 1.    Legal Proceedings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For a description of our legal proceedings, see Note 16 - </w:t>
      </w:r>
      <w:r>
        <w:rPr>
          <w:rFonts w:ascii="Times New Roman;sans-serif" w:hAnsi="Times New Roman;sans-serif"/>
          <w:b w:val="false"/>
          <w:i/>
          <w:color w:val="000000"/>
          <w:sz w:val="22"/>
        </w:rPr>
        <w:t>Commitments and Contingencies</w:t>
      </w:r>
      <w:r>
        <w:rPr>
          <w:color w:val="000000"/>
        </w:rPr>
        <w:t xml:space="preserve"> </w:t>
      </w:r>
      <w:r>
        <w:rPr>
          <w:rFonts w:ascii="Times New Roman;sans-serif" w:hAnsi="Times New Roman;sans-serif"/>
          <w:b w:val="false"/>
          <w:color w:val="000000"/>
          <w:sz w:val="22"/>
        </w:rPr>
        <w:t>of the Notes to Consolidated Financial Statements of this Quarterly Report on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Item 1A. Risk Factors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addition to the other information discussed in this report, please consider the factors described in Part I, Item 1A., “Risk Factors,” in our 2023 Form 10-K which could materially affect our business, financial condition or future results. There have not been any material changes to the risk factors described in our 2023 Form 10-K, but these are not the only risks facing our Company. Additional risks and uncertainties not currently known to us or that we currently deem to be immaterial also may adversely affect our business, financial condition or operating results.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Item 2. Unregistered Sales of Equity Securities and Use of Proceeds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There were no sales of equity securities during the thirteen weeks ended June 30, 2024 that were not registered under the Securities Act.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Share Repurchases</w:t>
      </w:r>
      <w:r>
        <w:rPr>
          <w:color w:val="000000"/>
        </w:rPr>
        <w:t xml:space="preserve"> </w:t>
      </w:r>
      <w:r>
        <w:rPr>
          <w:rFonts w:ascii="Times New Roman;sans-serif" w:hAnsi="Times New Roman;sans-serif"/>
          <w:b w:val="false"/>
          <w:color w:val="000000"/>
          <w:sz w:val="22"/>
        </w:rPr>
        <w:t>- The following table provides information regarding our purchases of common stock during the thirteen weeks ended June 30, 2024:</w:t>
      </w:r>
    </w:p>
    <w:tbl>
      <w:tblPr>
        <w:tblW w:w="10205" w:type="dxa"/>
        <w:jc w:val="left"/>
        <w:tblInd w:w="0" w:type="dxa"/>
        <w:tblLayout w:type="fixed"/>
        <w:tblCellMar>
          <w:top w:w="28" w:type="dxa"/>
          <w:left w:w="28" w:type="dxa"/>
          <w:bottom w:w="28" w:type="dxa"/>
          <w:right w:w="28" w:type="dxa"/>
        </w:tblCellMar>
      </w:tblPr>
      <w:tblGrid>
        <w:gridCol w:w="498"/>
        <w:gridCol w:w="436"/>
        <w:gridCol w:w="439"/>
        <w:gridCol w:w="109"/>
        <w:gridCol w:w="109"/>
        <w:gridCol w:w="109"/>
        <w:gridCol w:w="579"/>
        <w:gridCol w:w="483"/>
        <w:gridCol w:w="484"/>
        <w:gridCol w:w="109"/>
        <w:gridCol w:w="109"/>
        <w:gridCol w:w="109"/>
        <w:gridCol w:w="270"/>
        <w:gridCol w:w="769"/>
        <w:gridCol w:w="152"/>
        <w:gridCol w:w="109"/>
        <w:gridCol w:w="109"/>
        <w:gridCol w:w="109"/>
        <w:gridCol w:w="781"/>
        <w:gridCol w:w="711"/>
        <w:gridCol w:w="713"/>
        <w:gridCol w:w="109"/>
        <w:gridCol w:w="109"/>
        <w:gridCol w:w="109"/>
        <w:gridCol w:w="109"/>
        <w:gridCol w:w="345"/>
        <w:gridCol w:w="1852"/>
        <w:gridCol w:w="276"/>
      </w:tblGrid>
      <w:tr>
        <w:trPr/>
        <w:tc>
          <w:tcPr>
            <w:tcW w:w="49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13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REPORTING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 AS PART OF PUBLICLY ANNOUNCED PLANS OR PROGRAMS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APPROXIMATE DOLLAR VALUE OF SHARES THAT MAY YET BE PURCHASED UNDER THE PLANS OR PROGRAMS (1)</w:t>
            </w:r>
          </w:p>
        </w:tc>
      </w:tr>
      <w:tr>
        <w:trPr/>
        <w:tc>
          <w:tcPr>
            <w:tcW w:w="1373"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April 1, 2024 through April 28, 2024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1,403,632 </w:t>
            </w:r>
          </w:p>
        </w:tc>
        <w:tc>
          <w:tcPr>
            <w:tcW w:w="48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27.30 </w:t>
            </w:r>
          </w:p>
        </w:tc>
        <w:tc>
          <w:tcPr>
            <w:tcW w:w="15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1,403,632 </w:t>
            </w:r>
          </w:p>
        </w:tc>
        <w:tc>
          <w:tcPr>
            <w:tcW w:w="71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5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130,000,000 </w:t>
            </w:r>
          </w:p>
        </w:tc>
        <w:tc>
          <w:tcPr>
            <w:tcW w:w="27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April 29, 2024 through May 26,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130,000,000 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May 27, 2024 through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752,780 </w:t>
            </w:r>
          </w:p>
        </w:tc>
        <w:tc>
          <w:tcPr>
            <w:tcW w:w="4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bookmarkStart w:id="33" w:name="ic0fbc6e9b83d4d6e9591e51ef88cee9b_3-4-1-"/>
            <w:bookmarkEnd w:id="33"/>
            <w:r>
              <w:rPr>
                <w:rFonts w:ascii="Times New Roman;sans-serif" w:hAnsi="Times New Roman;sans-serif"/>
                <w:b w:val="false"/>
                <w:color w:val="000000"/>
                <w:sz w:val="18"/>
              </w:rPr>
              <w:t>19.93 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752,780 </w:t>
            </w:r>
          </w:p>
        </w:tc>
        <w:tc>
          <w:tcPr>
            <w:tcW w:w="7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115,000,233 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2,156,412 </w:t>
            </w:r>
          </w:p>
        </w:tc>
        <w:tc>
          <w:tcPr>
            <w:tcW w:w="48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2,156,412 </w:t>
            </w:r>
          </w:p>
        </w:tc>
        <w:tc>
          <w:tcPr>
            <w:tcW w:w="71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3" w:type="dxa"/>
            <w:gridSpan w:val="3"/>
            <w:tcBorders/>
            <w:vAlign w:val="center"/>
          </w:tcPr>
          <w:p>
            <w:pPr>
              <w:pStyle w:val="TableContents"/>
              <w:bidi w:val="0"/>
              <w:spacing w:before="0" w:after="283"/>
              <w:jc w:val="left"/>
              <w:rPr>
                <w:sz w:val="4"/>
                <w:szCs w:val="4"/>
              </w:rPr>
            </w:pPr>
            <w:r>
              <w:rPr>
                <w:sz w:val="4"/>
                <w:szCs w:val="4"/>
              </w:rPr>
            </w:r>
          </w:p>
        </w:tc>
      </w:tr>
      <w:tr>
        <w:trPr/>
        <w:tc>
          <w:tcPr>
            <w:tcW w:w="1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3" w:type="dxa"/>
            <w:gridSpan w:val="3"/>
            <w:tcBorders/>
            <w:vAlign w:val="center"/>
          </w:tcPr>
          <w:p>
            <w:pPr>
              <w:pStyle w:val="TableContents"/>
              <w:bidi w:val="0"/>
              <w:spacing w:before="0" w:after="283"/>
              <w:jc w:val="left"/>
              <w:rPr>
                <w:sz w:val="4"/>
                <w:szCs w:val="4"/>
              </w:rPr>
            </w:pPr>
            <w:r>
              <w:rPr>
                <w:sz w:val="4"/>
                <w:szCs w:val="4"/>
              </w:rPr>
            </w:r>
          </w:p>
        </w:tc>
      </w:tr>
      <w:tr>
        <w:trPr/>
        <w:tc>
          <w:tcPr>
            <w:tcW w:w="1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____________________</w:t>
      </w:r>
    </w:p>
    <w:p>
      <w:pPr>
        <w:pStyle w:val="TextBody"/>
        <w:bidi w:val="0"/>
        <w:spacing w:lineRule="auto" w:line="288" w:before="0" w:after="0"/>
        <w:ind w:left="0" w:right="0" w:hanging="720"/>
        <w:jc w:val="both"/>
        <w:rPr/>
      </w:pPr>
      <w:r>
        <w:rPr>
          <w:rFonts w:ascii="Times New Roman;sans-serif" w:hAnsi="Times New Roman;sans-serif"/>
          <w:b w:val="false"/>
          <w:color w:val="252525"/>
          <w:sz w:val="18"/>
        </w:rPr>
        <w:t>(1)</w:t>
      </w:r>
      <w:r>
        <w:rPr>
          <w:rFonts w:ascii="Times New Roman;sans-serif" w:hAnsi="Times New Roman;sans-serif"/>
          <w:b w:val="false"/>
          <w:color w:val="000000"/>
          <w:sz w:val="18"/>
        </w:rPr>
        <w:t>In February 2024, our Board approved a new share repurchase authorization of up to $350.0 million of our outstanding common stock as announced in our press release issued February 23, 2024 (the “2024 Share Repurchase Program”). The 2024 Share Repurchase Program will expire on August 13, 2025. Subsequent to June 30, 2024, we repurchased $15.6 million of our common stock authorized under the 2024 Share Repurchase Program through August 2, 2024 under a Rule 10b5-1 plan.</w:t>
      </w:r>
    </w:p>
    <w:p>
      <w:pPr>
        <w:pStyle w:val="TextBody"/>
        <w:bidi w:val="0"/>
        <w:spacing w:lineRule="auto" w:line="288" w:before="0" w:after="0"/>
        <w:ind w:left="0" w:right="0" w:hanging="720"/>
        <w:jc w:val="both"/>
        <w:rPr/>
      </w:pPr>
      <w:r>
        <w:rPr>
          <w:rFonts w:ascii="Times New Roman;sans-serif" w:hAnsi="Times New Roman;sans-serif"/>
          <w:b w:val="false"/>
          <w:color w:val="252525"/>
          <w:sz w:val="18"/>
        </w:rPr>
        <w:t>(2)</w:t>
      </w:r>
      <w:r>
        <w:rPr>
          <w:rFonts w:ascii="Times New Roman;sans-serif" w:hAnsi="Times New Roman;sans-serif"/>
          <w:b w:val="false"/>
          <w:color w:val="000000"/>
          <w:sz w:val="18"/>
        </w:rPr>
        <w:t>Includes $44.0 million of share repu</w:t>
      </w:r>
      <w:r>
        <w:rPr>
          <w:rFonts w:ascii="Times New Roman;sans-serif" w:hAnsi="Times New Roman;sans-serif"/>
          <w:b w:val="false"/>
          <w:color w:val="252525"/>
          <w:sz w:val="18"/>
        </w:rPr>
        <w:t>rch</w:t>
      </w:r>
      <w:r>
        <w:rPr>
          <w:rFonts w:ascii="Times New Roman;sans-serif" w:hAnsi="Times New Roman;sans-serif"/>
          <w:b w:val="false"/>
          <w:color w:val="000000"/>
          <w:sz w:val="18"/>
        </w:rPr>
        <w:t>ases in connection with the ASR Agreement that settled on April 23,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Item 5.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August 6, 2024, the Compensation Committee of the Board of Directors of Bloomin’ Brands, Inc. (the “Company”) approved a special grant of restricted stock unit awards (the “Retention Award(s)”) to certain key employees, including certain of the Company’s named executive officers (“NEOs”) and other executive officers, under the Company’s 2020 Omnibus Incentive Plan (the “Plan”). </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Each Retention Award to these key employees is provided as an award of restricted stock units (“RSUs”) under the Plan, with a specified dollar value, for which the number of underlying shares will be determined based on the closing price of the Company’s common stock on September 3, 2024 (the first trading day of the month following the grant date). </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Compensation Committee of the Company’s Board of Directors believes the Retention Awards serve stockholder interests by encouraging retention of key employees during the search for, and transition to, a new Chief Executive Officer, as described in Exhibit 99.2 of the Company’s Form 8-K filed on May 7, 2024.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0aee04ce58ba4067b6daada9a9c52dcb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5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NEOs below are among the key employees who were granted Retention Awards, in the following amounts:</w:t>
      </w:r>
    </w:p>
    <w:tbl>
      <w:tblPr>
        <w:tblW w:w="8390" w:type="dxa"/>
        <w:jc w:val="left"/>
        <w:tblInd w:w="0" w:type="dxa"/>
        <w:tblLayout w:type="fixed"/>
        <w:tblCellMar>
          <w:top w:w="28" w:type="dxa"/>
          <w:left w:w="28" w:type="dxa"/>
          <w:bottom w:w="28" w:type="dxa"/>
          <w:right w:w="28" w:type="dxa"/>
        </w:tblCellMar>
      </w:tblPr>
      <w:tblGrid>
        <w:gridCol w:w="2216"/>
        <w:gridCol w:w="1946"/>
        <w:gridCol w:w="1958"/>
        <w:gridCol w:w="109"/>
        <w:gridCol w:w="109"/>
        <w:gridCol w:w="109"/>
        <w:gridCol w:w="109"/>
        <w:gridCol w:w="109"/>
        <w:gridCol w:w="504"/>
        <w:gridCol w:w="504"/>
        <w:gridCol w:w="717"/>
      </w:tblGrid>
      <w:tr>
        <w:trPr/>
        <w:tc>
          <w:tcPr>
            <w:tcW w:w="2216"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AND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DOLLAR VALUE (1)</w:t>
            </w:r>
          </w:p>
        </w:tc>
      </w:tr>
      <w:tr>
        <w:trPr/>
        <w:tc>
          <w:tcPr>
            <w:tcW w:w="6120"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Michael Healy,</w:t>
            </w:r>
          </w:p>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Chief Financial Officer and Executive Vice President, Global Business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5"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$500,000</w:t>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Brett Patterson,</w:t>
              <w:br/>
              <w:t>Executive Vice President, President of Outback Steakhouse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$500,000</w:t>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Kelly Lefferts,</w:t>
              <w:br/>
              <w:t>Executive Vice President, Chief Legal Officer and Secretary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$400,000</w:t>
            </w:r>
          </w:p>
        </w:tc>
      </w:tr>
    </w:tbl>
    <w:p>
      <w:pPr>
        <w:pStyle w:val="TextBody"/>
        <w:bidi w:val="0"/>
        <w:spacing w:lineRule="auto" w:line="25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____________________</w:t>
      </w:r>
    </w:p>
    <w:p>
      <w:pPr>
        <w:pStyle w:val="TextBody"/>
        <w:bidi w:val="0"/>
        <w:spacing w:lineRule="auto" w:line="256" w:before="0" w:after="0"/>
        <w:ind w:left="0" w:right="0" w:hanging="720"/>
        <w:jc w:val="both"/>
        <w:rPr/>
      </w:pPr>
      <w:r>
        <w:rPr>
          <w:rFonts w:ascii="Times New Roman;sans-serif" w:hAnsi="Times New Roman;sans-serif"/>
          <w:b w:val="false"/>
          <w:color w:val="252525"/>
          <w:sz w:val="18"/>
        </w:rPr>
        <w:t>(1)</w:t>
      </w:r>
      <w:r>
        <w:rPr>
          <w:rFonts w:ascii="Times New Roman;sans-serif" w:hAnsi="Times New Roman;sans-serif"/>
          <w:b w:val="false"/>
          <w:color w:val="000000"/>
          <w:sz w:val="18"/>
        </w:rPr>
        <w:t>The RSUs underlying the Retention Awards entitle the grantee to receive one share of the Company’s Common Stock, par value $0.01 per share, for each RSU granted. Each Retention Award becomes vested in three tranches: 50% of the Retention Award on the twelve (12) month anniversary of the grant date, then 25% of the Retention Award on the eighteen (18) month anniversary of the grant date, and 25% of the Retention Award on the twenty-four (24) month anniversary of the grant date, subject to the grantee’s continued employment with the Company through each vesting date. If the grantee’s Continuous Service (as defined in the Plan) voluntarily terminates or is terminated for Cause (as defined in the Plan) then all RSUs that are not vested on the date of such termination will be automatically and immediately forfeited for no consideration. If the grantee’s Continuous Service terminates involuntarily without “Cause” (as defined in the Plan) the next unvested tranche of the Retention Award that is scheduled to vest following the date of termination, if any, will vest in full but any other RSUs underlying the Retention Award that remain unvested at the time of such termination will be automatically and immediately forfeited for no consideration. The number of underlying shares will be determined on September 3, 2024.</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above summary of the terms of the Retention Awards does not purport to be complete and is subject to, and qualified in its entirety by, the full text of the form of Restricted Stock Unit Retention Award Agreement to be entered into with each of the NEOs and executive officers receiving a Retention Award, which is attached as Exhibit 10.2 to this Quarterly Report on Form 10-Q for the quarter ended June 30,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pPr>
      <w:bookmarkStart w:id="34" w:name="ife43cd1c4b2946739aa742144b94240c_5043"/>
      <w:bookmarkEnd w:id="34"/>
      <w:r>
        <w:rPr>
          <w:rFonts w:ascii="Times New Roman;sans-serif" w:hAnsi="Times New Roman;sans-serif"/>
          <w:b w:val="false"/>
          <w:i/>
          <w:color w:val="000000"/>
          <w:sz w:val="22"/>
        </w:rPr>
        <w:t xml:space="preserve">Rule 10b5-1 Trading Plans - </w:t>
      </w:r>
      <w:r>
        <w:rPr>
          <w:rFonts w:ascii="Times New Roman;sans-serif" w:hAnsi="Times New Roman;sans-serif"/>
          <w:b w:val="false"/>
          <w:color w:val="000000"/>
          <w:sz w:val="22"/>
        </w:rPr>
        <w:t>In accordance with the disclosure requirement in Item 408(a) of Regulation S-K, the following table discloses the Company’s directors or executive officers subject to the filing requirements of Section 16 of the Exchange Act that adopted a “Rule 10b5-1 trading arrangement” (as defined in Item 408 of Regulation S-K) during the thirteen weeks ended June 30, 2024. These arrangements are intended to satisfy the affirmative defense conditions of Rule 10b5-1(c).</w:t>
      </w:r>
    </w:p>
    <w:tbl>
      <w:tblPr>
        <w:tblW w:w="10205" w:type="dxa"/>
        <w:jc w:val="left"/>
        <w:tblInd w:w="0" w:type="dxa"/>
        <w:tblLayout w:type="fixed"/>
        <w:tblCellMar>
          <w:top w:w="28" w:type="dxa"/>
          <w:left w:w="28" w:type="dxa"/>
          <w:bottom w:w="28" w:type="dxa"/>
          <w:right w:w="28" w:type="dxa"/>
        </w:tblCellMar>
      </w:tblPr>
      <w:tblGrid>
        <w:gridCol w:w="889"/>
        <w:gridCol w:w="586"/>
        <w:gridCol w:w="589"/>
        <w:gridCol w:w="109"/>
        <w:gridCol w:w="109"/>
        <w:gridCol w:w="109"/>
        <w:gridCol w:w="689"/>
        <w:gridCol w:w="689"/>
        <w:gridCol w:w="691"/>
        <w:gridCol w:w="109"/>
        <w:gridCol w:w="109"/>
        <w:gridCol w:w="109"/>
        <w:gridCol w:w="767"/>
        <w:gridCol w:w="767"/>
        <w:gridCol w:w="769"/>
        <w:gridCol w:w="109"/>
        <w:gridCol w:w="109"/>
        <w:gridCol w:w="109"/>
        <w:gridCol w:w="813"/>
        <w:gridCol w:w="813"/>
        <w:gridCol w:w="1162"/>
      </w:tblGrid>
      <w:tr>
        <w:trPr/>
        <w:tc>
          <w:tcPr>
            <w:tcW w:w="88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r>
      <w:tr>
        <w:trPr/>
        <w:tc>
          <w:tcPr>
            <w:tcW w:w="2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AND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ADOPTION DATE OF RULE 10B5-1 TRADING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EXPIRATION DATE OF RULE 10B5-1 TRADING PLANS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NUMBER OF SECURITIES TO BE PURCHASED OR SOLD (2)</w:t>
            </w:r>
          </w:p>
        </w:tc>
      </w:tr>
      <w:tr>
        <w:trPr/>
        <w:tc>
          <w:tcPr>
            <w:tcW w:w="2064"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Kelly Lefferts,</w:t>
            </w:r>
          </w:p>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Executive Vice President, Chief Legal Officer and Secretary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13,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17,184</w:t>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Philip Pace,</w:t>
            </w:r>
          </w:p>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Senior Vice President, Chief Accounting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9,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2,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37,949</w:t>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____________________</w:t>
      </w:r>
    </w:p>
    <w:p>
      <w:pPr>
        <w:pStyle w:val="TextBody"/>
        <w:bidi w:val="0"/>
        <w:spacing w:lineRule="auto" w:line="288" w:before="0" w:after="0"/>
        <w:ind w:left="0" w:right="0" w:hanging="720"/>
        <w:jc w:val="both"/>
        <w:rPr/>
      </w:pPr>
      <w:r>
        <w:rPr>
          <w:rFonts w:ascii="Times New Roman;sans-serif" w:hAnsi="Times New Roman;sans-serif"/>
          <w:b w:val="false"/>
          <w:color w:val="252525"/>
          <w:sz w:val="18"/>
        </w:rPr>
        <w:t>(1)</w:t>
      </w:r>
      <w:r>
        <w:rPr>
          <w:rFonts w:ascii="Times New Roman;sans-serif" w:hAnsi="Times New Roman;sans-serif"/>
          <w:b w:val="false"/>
          <w:color w:val="000000"/>
          <w:sz w:val="18"/>
        </w:rPr>
        <w:t>In each case, a trading plan may also expire on such earlier date as all transactions under the trading plan are completed.</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(2)Plans provide for the exercise of vested stock options and sale of associated shares. </w:t>
      </w:r>
    </w:p>
    <w:p>
      <w:pPr>
        <w:pStyle w:val="TextBody"/>
        <w:bidi w:val="0"/>
        <w:spacing w:before="0" w:after="0"/>
        <w:ind w:left="0" w:right="0" w:hanging="360"/>
        <w:jc w:val="both"/>
        <w:rPr/>
      </w:pPr>
      <w:r>
        <w:rPr/>
      </w:r>
    </w:p>
    <w:p>
      <w:pPr>
        <w:pStyle w:val="TextBody"/>
        <w:bidi w:val="0"/>
        <w:spacing w:lineRule="auto" w:line="268" w:before="0" w:after="0"/>
        <w:jc w:val="both"/>
        <w:rPr>
          <w:rFonts w:ascii="Times New Roman;sans-serif" w:hAnsi="Times New Roman;sans-serif"/>
          <w:b w:val="false"/>
          <w:color w:val="000000"/>
          <w:sz w:val="22"/>
        </w:rPr>
      </w:pPr>
      <w:bookmarkStart w:id="35" w:name="ife43cd1c4b2946739aa742144b94240c_5044"/>
      <w:bookmarkEnd w:id="35"/>
      <w:r>
        <w:rPr>
          <w:rFonts w:ascii="Times New Roman;sans-serif" w:hAnsi="Times New Roman;sans-serif"/>
          <w:b w:val="false"/>
          <w:color w:val="000000"/>
          <w:sz w:val="22"/>
        </w:rPr>
        <w:t>Other than as disclosed above, none of the Company’s directors or executive officers adopted, modified or terminated a Rule 10b5-1 trading arrangement or any “non-Rule 10b5-1 trading arrangement” (as defined in Item 408 of Regulation S-K) during the thirteen weeks ended June 30,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0aee04ce58ba4067b6daada9a9c52dcb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Item 6. Exhibits</w:t>
      </w:r>
    </w:p>
    <w:tbl>
      <w:tblPr>
        <w:tblW w:w="10205" w:type="dxa"/>
        <w:jc w:val="left"/>
        <w:tblInd w:w="0" w:type="dxa"/>
        <w:tblLayout w:type="fixed"/>
        <w:tblCellMar>
          <w:top w:w="28" w:type="dxa"/>
          <w:left w:w="28" w:type="dxa"/>
          <w:bottom w:w="28" w:type="dxa"/>
          <w:right w:w="28" w:type="dxa"/>
        </w:tblCellMar>
      </w:tblPr>
      <w:tblGrid>
        <w:gridCol w:w="368"/>
        <w:gridCol w:w="324"/>
        <w:gridCol w:w="326"/>
        <w:gridCol w:w="117"/>
        <w:gridCol w:w="117"/>
        <w:gridCol w:w="117"/>
        <w:gridCol w:w="2364"/>
        <w:gridCol w:w="1864"/>
        <w:gridCol w:w="1869"/>
        <w:gridCol w:w="117"/>
        <w:gridCol w:w="117"/>
        <w:gridCol w:w="117"/>
        <w:gridCol w:w="697"/>
        <w:gridCol w:w="697"/>
        <w:gridCol w:w="994"/>
      </w:tblGrid>
      <w:tr>
        <w:trPr/>
        <w:tc>
          <w:tcPr>
            <w:tcW w:w="36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364"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r>
      <w:tr>
        <w:trPr/>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EXHIBIT</w:t>
              <w:br/>
              <w:t>NUMBER</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DESCRIPTION OF EXHIBITS</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FILINGS REFERENCED FOR</w:t>
              <w:br/>
              <w:t xml:space="preserve">INCORPORATION BY REFERENCE </w:t>
            </w:r>
          </w:p>
        </w:tc>
      </w:tr>
      <w:tr>
        <w:trPr/>
        <w:tc>
          <w:tcPr>
            <w:tcW w:w="101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10.1*</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ans-serif" w:hAnsi="Times New Roman;sans-serif"/>
                  <w:b w:val="false"/>
                  <w:color w:val="0000FF"/>
                  <w:sz w:val="22"/>
                  <w:u w:val="single"/>
                </w:rPr>
                <w:t>Employment Offer Letter Agreement, dated as of April 3, 2024, between Bloomin’ Brands, Inc. and Michael Healy</w:t>
              </w:r>
            </w:hyperlink>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May 8, 2024, Form 10-Q, Exhibit 10.4</w:t>
            </w:r>
          </w:p>
        </w:tc>
      </w:tr>
      <w:tr>
        <w:trPr/>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10.2*</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blmn-063024_ex102.htm">
              <w:r>
                <w:rPr>
                  <w:rStyle w:val="InternetLink"/>
                  <w:rFonts w:ascii="Times New Roman;sans-serif" w:hAnsi="Times New Roman;sans-serif"/>
                  <w:b w:val="false"/>
                  <w:color w:val="0000FF"/>
                  <w:sz w:val="22"/>
                  <w:u w:val="single"/>
                </w:rPr>
                <w:t>Form of Restricted Stock Unit Retention Award Agreement for restricted stock granted to executive management under the Bloomin’ Brands, Inc. 2020 Omnibus Incentive Compensation Plan</w:t>
              </w:r>
            </w:hyperlink>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Filed herewith</w:t>
            </w:r>
          </w:p>
        </w:tc>
      </w:tr>
      <w:tr>
        <w:trPr/>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31.1</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blmn-063024_ex311.htm">
              <w:r>
                <w:rPr>
                  <w:rStyle w:val="InternetLink"/>
                  <w:rFonts w:ascii="Times New Roman;sans-serif" w:hAnsi="Times New Roman;sans-serif"/>
                  <w:b w:val="false"/>
                  <w:color w:val="0000FF"/>
                  <w:sz w:val="22"/>
                  <w:u w:val="single"/>
                </w:rPr>
                <w:t>Certification of Chief Executive Officer pursuant to Section 302 of the Sarbanes-Oxley Act of 2002</w:t>
              </w:r>
            </w:hyperlink>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Filed herewith</w:t>
            </w:r>
          </w:p>
        </w:tc>
      </w:tr>
      <w:tr>
        <w:trPr/>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31.2</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blmn-063024_ex312.htm">
              <w:r>
                <w:rPr>
                  <w:rStyle w:val="InternetLink"/>
                  <w:rFonts w:ascii="Times New Roman;sans-serif" w:hAnsi="Times New Roman;sans-serif"/>
                  <w:b w:val="false"/>
                  <w:color w:val="0000FF"/>
                  <w:sz w:val="22"/>
                  <w:u w:val="single"/>
                </w:rPr>
                <w:t>Certification of Chief Financial Officer pursuant to Section 302 of the Sarbanes-Oxley Act of 2002</w:t>
              </w:r>
            </w:hyperlink>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Filed herewith</w:t>
            </w:r>
          </w:p>
        </w:tc>
      </w:tr>
      <w:tr>
        <w:trPr/>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32.1</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blmn-063024_ex321.htm">
              <w:r>
                <w:rPr>
                  <w:rStyle w:val="InternetLink"/>
                  <w:rFonts w:ascii="Times New Roman;sans-serif" w:hAnsi="Times New Roman;sans-serif"/>
                  <w:b w:val="false"/>
                  <w:color w:val="0000FF"/>
                  <w:sz w:val="22"/>
                  <w:u w:val="single"/>
                </w:rPr>
                <w:t>Certification of Chief Executive Officer pursuant to 18 U.S.C. Section 1350, as adopted pursuant to Section 906 of the Sarbanes-Oxley Act of 2002 (1)</w:t>
              </w:r>
            </w:hyperlink>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Furnished herewith</w:t>
            </w:r>
          </w:p>
        </w:tc>
      </w:tr>
      <w:tr>
        <w:trPr/>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32.2</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blmn-063024_ex322.htm">
              <w:r>
                <w:rPr>
                  <w:rStyle w:val="InternetLink"/>
                  <w:rFonts w:ascii="Times New Roman;sans-serif" w:hAnsi="Times New Roman;sans-serif"/>
                  <w:b w:val="false"/>
                  <w:color w:val="0000FF"/>
                  <w:sz w:val="22"/>
                  <w:u w:val="single"/>
                </w:rPr>
                <w:t>Certification of Chief Financial Officer pursuant to 18 U.S.C. Section 1350, as adopted pursuant to Section 906 of the Sarbanes-Oxley Act of 2002 (1)</w:t>
              </w:r>
            </w:hyperlink>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Furnished herewith</w:t>
            </w:r>
          </w:p>
        </w:tc>
      </w:tr>
      <w:tr>
        <w:trPr/>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101.INS</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Inline XBRL Instance Document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Filed herewith</w:t>
            </w:r>
          </w:p>
        </w:tc>
      </w:tr>
      <w:tr>
        <w:trPr/>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101.SCH</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Inline XBRL Taxonomy Extension Schema Document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Filed herewith</w:t>
            </w:r>
          </w:p>
        </w:tc>
      </w:tr>
      <w:tr>
        <w:trPr/>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101.CAL</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Inline XBRL Taxonomy Extension Calculation Linkbase Document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Filed herewith</w:t>
            </w:r>
          </w:p>
        </w:tc>
      </w:tr>
      <w:tr>
        <w:trPr/>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101.DEF</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Inline XBRL Taxonomy Extension Definition Linkbase Document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Filed herewith</w:t>
            </w:r>
          </w:p>
        </w:tc>
      </w:tr>
      <w:tr>
        <w:trPr/>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101.LAB</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Inline XBRL Taxonomy Extension Label Linkbase Document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Filed herewith</w:t>
            </w:r>
          </w:p>
        </w:tc>
      </w:tr>
      <w:tr>
        <w:trPr/>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101.PRE</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Inline XBRL Taxonomy Extension Presentation Linkbase Document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Filed herewith</w:t>
            </w:r>
          </w:p>
        </w:tc>
      </w:tr>
      <w:tr>
        <w:trPr/>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104</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Cover Page Interactive Data File (formatted as inline XBRL and contained in Exhibit 101)</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Filed herewith</w:t>
            </w:r>
          </w:p>
        </w:tc>
      </w:tr>
      <w:tr>
        <w:trPr/>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Management contract or compensatory plan or arrangement required to be filed as an exhibit.</w:t>
            </w:r>
          </w:p>
        </w:tc>
      </w:tr>
      <w:tr>
        <w:trPr/>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(1) These certifications are not deemed to be “filed” for purposes of Section 18 of the Exchange Act, or otherwise subject to the liability of that section. These certifications will not be deemed to be incorporated by reference into any filing under the Securities Act or the Exchange Act, except to the extent that the registrant specifically incorporates them by reference.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0aee04ce58ba4067b6daada9a9c52dcb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SIGNATURE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7525" w:type="dxa"/>
        <w:jc w:val="left"/>
        <w:tblInd w:w="0" w:type="dxa"/>
        <w:tblLayout w:type="fixed"/>
        <w:tblCellMar>
          <w:top w:w="28" w:type="dxa"/>
          <w:left w:w="28" w:type="dxa"/>
          <w:bottom w:w="28" w:type="dxa"/>
          <w:right w:w="28" w:type="dxa"/>
        </w:tblCellMar>
      </w:tblPr>
      <w:tblGrid>
        <w:gridCol w:w="222"/>
        <w:gridCol w:w="196"/>
        <w:gridCol w:w="197"/>
        <w:gridCol w:w="519"/>
        <w:gridCol w:w="519"/>
        <w:gridCol w:w="521"/>
        <w:gridCol w:w="208"/>
        <w:gridCol w:w="208"/>
        <w:gridCol w:w="210"/>
        <w:gridCol w:w="1381"/>
        <w:gridCol w:w="1381"/>
        <w:gridCol w:w="1963"/>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August 7, 2024</w:t>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BLOOMIN’ BRANDS, INC.</w:t>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(Registrant)</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/s/ Philip Pace</w:t>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c>
          <w:tcPr>
            <w:tcW w:w="472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Philip Pace</w:t>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Senior Vice President, Chief Accounting Officer </w:t>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(Principal Accounting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[Remainder of page intentionally left blank]</w:t>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10.2</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00" w:after="100"/>
        <w:jc w:val="center"/>
        <w:rPr/>
      </w:pPr>
      <w:r>
        <w:rPr/>
      </w:r>
    </w:p>
    <w:p>
      <w:pPr>
        <w:pStyle w:val="TextBody"/>
        <w:bidi w:val="0"/>
        <w:spacing w:before="0" w:after="0"/>
        <w:jc w:val="center"/>
        <w:rPr/>
      </w:pPr>
      <w:r>
        <w:rPr/>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lineRule="auto" w:line="288" w:before="0" w:after="0"/>
        <w:jc w:val="right"/>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Restricted Stock Unit Award Agreement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Under the Bloomin’ Brands, Inc. 2020 Omnibus Incentive Compensation Plan</w:t>
      </w:r>
    </w:p>
    <w:p>
      <w:pPr>
        <w:pStyle w:val="TextBody"/>
        <w:bidi w:val="0"/>
        <w:spacing w:before="0" w:after="0"/>
        <w:jc w:val="center"/>
        <w:rPr/>
      </w:pPr>
      <w:r>
        <w:rPr/>
      </w:r>
    </w:p>
    <w:p>
      <w:pPr>
        <w:pStyle w:val="TextBody"/>
        <w:bidi w:val="0"/>
        <w:spacing w:before="0" w:after="0"/>
        <w:ind w:left="0" w:right="0" w:firstLine="1440"/>
        <w:jc w:val="both"/>
        <w:rPr/>
      </w:pPr>
      <w:r>
        <w:rPr/>
      </w:r>
    </w:p>
    <w:p>
      <w:pPr>
        <w:pStyle w:val="TextBody"/>
        <w:bidi w:val="0"/>
        <w:spacing w:lineRule="auto" w:line="288" w:before="0" w:after="0"/>
        <w:jc w:val="both"/>
        <w:rPr/>
      </w:pPr>
      <w:r>
        <w:rPr>
          <w:color w:val="000000"/>
        </w:rPr>
        <w:t>    </w:t>
      </w:r>
      <w:r>
        <w:rPr>
          <w:rFonts w:ascii="Times New Roman;sans-serif" w:hAnsi="Times New Roman;sans-serif"/>
          <w:b w:val="false"/>
          <w:color w:val="000000"/>
          <w:sz w:val="24"/>
        </w:rPr>
        <w:t>Bloomin’ Brands, Inc.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hereby issues to the Participant an award (the “</w:t>
      </w:r>
      <w:r>
        <w:rPr>
          <w:rFonts w:ascii="Times New Roman;sans-serif" w:hAnsi="Times New Roman;sans-serif"/>
          <w:b w:val="false"/>
          <w:color w:val="000000"/>
          <w:sz w:val="24"/>
          <w:u w:val="single"/>
        </w:rPr>
        <w:t>Award</w:t>
      </w:r>
      <w:r>
        <w:rPr>
          <w:color w:val="000000"/>
        </w:rPr>
        <w:t>”</w:t>
      </w:r>
      <w:r>
        <w:rPr>
          <w:rFonts w:ascii="Times New Roman;sans-serif" w:hAnsi="Times New Roman;sans-serif"/>
          <w:b w:val="false"/>
          <w:color w:val="000000"/>
          <w:sz w:val="24"/>
        </w:rPr>
        <w:t>) of Restricted Stock Units (the “</w:t>
      </w:r>
      <w:r>
        <w:rPr>
          <w:rFonts w:ascii="Times New Roman;sans-serif" w:hAnsi="Times New Roman;sans-serif"/>
          <w:b w:val="false"/>
          <w:color w:val="000000"/>
          <w:sz w:val="24"/>
          <w:u w:val="single"/>
        </w:rPr>
        <w:t>RSUs</w:t>
      </w:r>
      <w:r>
        <w:rPr>
          <w:color w:val="000000"/>
        </w:rPr>
        <w:t>”</w:t>
      </w:r>
      <w:r>
        <w:rPr>
          <w:rFonts w:ascii="Times New Roman;sans-serif" w:hAnsi="Times New Roman;sans-serif"/>
          <w:b w:val="false"/>
          <w:color w:val="000000"/>
          <w:sz w:val="24"/>
        </w:rPr>
        <w:t>). Each RSU represents an unfunded, unsecured promise of the Company to deliver to the Participant one Share, subject to the vesting and other restrictions, terms and conditions set forth in the Bloomin’ Brands, Inc. 2020 Omnibus Incentive Compensation Plan (the “</w:t>
      </w:r>
      <w:r>
        <w:rPr>
          <w:rFonts w:ascii="Times New Roman;sans-serif" w:hAnsi="Times New Roman;sans-serif"/>
          <w:b w:val="false"/>
          <w:color w:val="000000"/>
          <w:sz w:val="24"/>
          <w:u w:val="single"/>
        </w:rPr>
        <w:t>Plan</w:t>
      </w:r>
      <w:r>
        <w:rPr>
          <w:color w:val="000000"/>
        </w:rPr>
        <w:t>”</w:t>
      </w:r>
      <w:r>
        <w:rPr>
          <w:rFonts w:ascii="Times New Roman;sans-serif" w:hAnsi="Times New Roman;sans-serif"/>
          <w:b w:val="false"/>
          <w:color w:val="000000"/>
          <w:sz w:val="24"/>
        </w:rPr>
        <w:t xml:space="preserve">) and those set forth in this Agreement, including the Terms and Conditions of RSU Award attached hereto as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(collectively, the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Any capitalized terms used in this Agreement and not defined herein shall have the meanings ascribed to such terms in the Plan.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Award of RSUs:</w:t>
      </w:r>
    </w:p>
    <w:p>
      <w:pPr>
        <w:pStyle w:val="TextBody"/>
        <w:bidi w:val="0"/>
        <w:spacing w:before="0" w:after="0"/>
        <w:jc w:val="left"/>
        <w:rPr/>
      </w:pPr>
      <w:r>
        <w:rPr/>
      </w:r>
    </w:p>
    <w:tbl>
      <w:tblPr>
        <w:tblW w:w="4365" w:type="dxa"/>
        <w:jc w:val="left"/>
        <w:tblInd w:w="0" w:type="dxa"/>
        <w:tblLayout w:type="fixed"/>
        <w:tblCellMar>
          <w:top w:w="28" w:type="dxa"/>
          <w:left w:w="28" w:type="dxa"/>
          <w:bottom w:w="28" w:type="dxa"/>
          <w:right w:w="28" w:type="dxa"/>
        </w:tblCellMar>
      </w:tblPr>
      <w:tblGrid>
        <w:gridCol w:w="794"/>
        <w:gridCol w:w="696"/>
        <w:gridCol w:w="700"/>
        <w:gridCol w:w="635"/>
        <w:gridCol w:w="635"/>
        <w:gridCol w:w="905"/>
      </w:tblGrid>
      <w:tr>
        <w:trPr/>
        <w:tc>
          <w:tcPr>
            <w:tcW w:w="7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4"/>
                <w:u w:val="single"/>
              </w:rPr>
              <w:t>Name/Participant</w:t>
            </w:r>
            <w:r>
              <w:rPr>
                <w:rFonts w:ascii="Times New Roman;sans-serif" w:hAnsi="Times New Roman;sans-serif"/>
                <w:b w:val="false"/>
                <w:color w:val="000000"/>
                <w:sz w:val="24"/>
              </w:rPr>
              <w:t>:</w:t>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&lt;name&gt;</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4"/>
                <w:u w:val="single"/>
              </w:rPr>
              <w:t>Type of Grant</w:t>
            </w:r>
            <w:r>
              <w:rPr>
                <w:rFonts w:ascii="Times New Roman;sans-serif" w:hAnsi="Times New Roman;sans-serif"/>
                <w:b w:val="false"/>
                <w:color w:val="000000"/>
                <w:sz w:val="24"/>
              </w:rPr>
              <w:t xml:space="preserve">: </w:t>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Restricted Stock Unit</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4"/>
                <w:u w:val="single"/>
              </w:rPr>
              <w:t>Date of Grant</w:t>
            </w:r>
            <w:r>
              <w:rPr>
                <w:rFonts w:ascii="Times New Roman;sans-serif" w:hAnsi="Times New Roman;sans-serif"/>
                <w:b w:val="false"/>
                <w:color w:val="000000"/>
                <w:sz w:val="24"/>
              </w:rPr>
              <w:t>:</w:t>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&lt;date&gt;</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4"/>
                <w:u w:val="single"/>
              </w:rPr>
              <w:t>Total Shares Granted</w:t>
            </w:r>
            <w:r>
              <w:rPr>
                <w:rFonts w:ascii="Times New Roman;sans-serif" w:hAnsi="Times New Roman;sans-serif"/>
                <w:b w:val="false"/>
                <w:color w:val="000000"/>
                <w:sz w:val="24"/>
              </w:rPr>
              <w:t>:</w:t>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&lt;shares&gt;</w:t>
            </w:r>
          </w:p>
        </w:tc>
      </w:tr>
    </w:tbl>
    <w:p>
      <w:pPr>
        <w:pStyle w:val="TextBody"/>
        <w:bidi w:val="0"/>
        <w:spacing w:before="0" w:after="0"/>
        <w:jc w:val="both"/>
        <w:rPr/>
      </w:pPr>
      <w:r>
        <w:rPr/>
      </w:r>
    </w:p>
    <w:p>
      <w:pPr>
        <w:pStyle w:val="TextBody"/>
        <w:bidi w:val="0"/>
        <w:spacing w:lineRule="auto" w:line="288"/>
        <w:ind w:left="0" w:right="0" w:firstLine="720"/>
        <w:jc w:val="both"/>
        <w:rPr/>
      </w:pPr>
      <w:r>
        <w:rPr>
          <w:rFonts w:ascii="Times New Roman;sans-serif" w:hAnsi="Times New Roman;sans-serif"/>
          <w:b w:val="false"/>
          <w:color w:val="000000"/>
          <w:sz w:val="24"/>
        </w:rPr>
        <w:t xml:space="preserve">The Participant, by accepting this award online on </w:t>
      </w:r>
      <w:r>
        <w:rPr>
          <w:rFonts w:ascii="Times New Roman;sans-serif" w:hAnsi="Times New Roman;sans-serif"/>
          <w:b w:val="false"/>
          <w:color w:val="000000"/>
          <w:sz w:val="24"/>
          <w:u w:val="single"/>
        </w:rPr>
        <w:t>www.netbenefits.com</w:t>
      </w:r>
      <w:r>
        <w:rPr>
          <w:rFonts w:ascii="Times New Roman;sans-serif" w:hAnsi="Times New Roman;sans-serif"/>
          <w:b w:val="false"/>
          <w:color w:val="000000"/>
          <w:sz w:val="24"/>
        </w:rPr>
        <w:t xml:space="preserve">, acknowledges and agrees that the RSUs are granted under and governed by the terms, and subject to the conditions, of this Agreement, including the Terms and Conditions of RSU Award attached hereto as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 and the Plan.</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A</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Terms and Conditions of RSU Award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Condition to the Participant’s Rights Under this Agreement</w:t>
      </w:r>
      <w:r>
        <w:rPr>
          <w:rFonts w:ascii="Times New Roman;sans-serif" w:hAnsi="Times New Roman;sans-serif"/>
          <w:b w:val="false"/>
          <w:color w:val="000000"/>
          <w:sz w:val="24"/>
        </w:rPr>
        <w:t>. This Agreement shall not become effective, and the Participant shall have no rights with respect to the Award or the RSUs, unless and until the Participant has fully executed this Agreement by accepting the Award online as described above. Notwithstanding the foregoing, if the Participant does not otherwise reject this Award in a writing to the Compensation department within 90 days of the Date of Grant or such other manner as the Company may specify from time to time in its sole discretion, the Participant shall be deemed to have accepted the Award, and the terms and conditions hereof, as of the Date of Grant.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Vesting</w:t>
      </w:r>
      <w:r>
        <w:rPr>
          <w:rFonts w:ascii="Times New Roman;sans-serif" w:hAnsi="Times New Roman;sans-serif"/>
          <w:b w:val="false"/>
          <w:color w:val="000000"/>
          <w:sz w:val="24"/>
        </w:rPr>
        <w:t>. Subject in each case to the Participant’s Continuous Service on each applicable vesting date, the RSUs awarded under this Agreement shall vest in accordance with the schedule set forth below unless, prior to any vesting date set forth, the applicable RSUs are forfeited or have become subject to accelerated vesting under the terms and conditions of the Plan:</w:t>
      </w:r>
    </w:p>
    <w:p>
      <w:pPr>
        <w:pStyle w:val="TextBody"/>
        <w:bidi w:val="0"/>
        <w:spacing w:before="0" w:after="0"/>
        <w:jc w:val="both"/>
        <w:rPr/>
      </w:pPr>
      <w:r>
        <w:rPr/>
      </w:r>
    </w:p>
    <w:tbl>
      <w:tblPr>
        <w:tblW w:w="6794" w:type="dxa"/>
        <w:jc w:val="left"/>
        <w:tblInd w:w="0" w:type="dxa"/>
        <w:tblLayout w:type="fixed"/>
        <w:tblCellMar>
          <w:top w:w="28" w:type="dxa"/>
          <w:left w:w="28" w:type="dxa"/>
          <w:bottom w:w="28" w:type="dxa"/>
          <w:right w:w="28" w:type="dxa"/>
        </w:tblCellMar>
      </w:tblPr>
      <w:tblGrid>
        <w:gridCol w:w="1418"/>
        <w:gridCol w:w="1246"/>
        <w:gridCol w:w="1250"/>
        <w:gridCol w:w="842"/>
        <w:gridCol w:w="842"/>
        <w:gridCol w:w="1196"/>
      </w:tblGrid>
      <w:tr>
        <w:trPr/>
        <w:tc>
          <w:tcPr>
            <w:tcW w:w="1418"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Award Vesting Date</w:t>
            </w:r>
          </w:p>
        </w:tc>
        <w:tc>
          <w:tcPr>
            <w:tcW w:w="28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Award Vesting Percentage</w:t>
            </w:r>
          </w:p>
        </w:tc>
      </w:tr>
      <w:tr>
        <w:trPr/>
        <w:tc>
          <w:tcPr>
            <w:tcW w:w="39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12-Month Anniversary of Date of Grant</w:t>
            </w:r>
          </w:p>
        </w:tc>
        <w:tc>
          <w:tcPr>
            <w:tcW w:w="28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50%</w:t>
            </w:r>
          </w:p>
        </w:tc>
      </w:tr>
      <w:tr>
        <w:trPr/>
        <w:tc>
          <w:tcPr>
            <w:tcW w:w="39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18-Month Anniversary of Date of Grant</w:t>
            </w:r>
          </w:p>
        </w:tc>
        <w:tc>
          <w:tcPr>
            <w:tcW w:w="28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tc>
      </w:tr>
      <w:tr>
        <w:trPr/>
        <w:tc>
          <w:tcPr>
            <w:tcW w:w="391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24-Month Anniversary of Date of Grant</w:t>
            </w:r>
          </w:p>
        </w:tc>
        <w:tc>
          <w:tcPr>
            <w:tcW w:w="288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Prior to actual settlement of any RSU that has vested, the RSU will represent an unfunded, unsecured obligation of the Company in accordance with Section 17.13 of the Plan.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Termination of Continuous Service</w:t>
      </w:r>
      <w:r>
        <w:rPr>
          <w:rFonts w:ascii="Times New Roman;sans-serif" w:hAnsi="Times New Roman;sans-serif"/>
          <w:b w:val="false"/>
          <w:color w:val="000000"/>
          <w:sz w:val="24"/>
        </w:rPr>
        <w:t>. Except to the extent provided otherwise in this Agreement or unless the Committee determines otherwise:</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If the Participant’s Continuous Service voluntarily terminates or terminates for Cause (as defined in Section 4 hereof) then all RSUs underlying the Award that are not vested on the date of such termination shall be automatically and immediately forfeited for no consideration. If the Participant's Continuous Service terminates involuntarily without Cause, the next tranche of RSUs underlying the Award that are scheduled to vest, will become immediately vested upon such termination and any remaining RSUs underlying the Award that are unvested on the date of such termination will be automatically and immediately forfeited for no consideration.</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If the Participant’s Continuous Service terminates due to death or Disability, then all RSUs that are not vested shall become immediately vested in full upon such termination.</w:t>
      </w:r>
    </w:p>
    <w:p>
      <w:pPr>
        <w:pStyle w:val="TextBody"/>
        <w:bidi w:val="0"/>
        <w:spacing w:before="0" w:after="0"/>
        <w:ind w:left="0" w:right="0" w:firstLine="1800"/>
        <w:jc w:val="both"/>
        <w:rPr/>
      </w:pPr>
      <w:r>
        <w:rPr/>
      </w:r>
    </w:p>
    <w:p>
      <w:pPr>
        <w:pStyle w:val="TextBody"/>
        <w:bidi w:val="0"/>
        <w:ind w:left="0" w:right="0" w:firstLine="180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If the Participant retires (i) on or after age sixty (60) with five (5) years of service with the Company or an Affiliate or (ii) on or after age fifty-five (55) with ten (10) years of service with the Company or an Affiliate ("Retirement") prior to the vesting or forfeiture of the RSUs pursuant to Section 2 hereof, then the number of RSUs that vest shall be determined as of the date of the Participant's Retirement on a pro rata basis determined based on the number of full months of employment completed from the Date of Grant to the date of the Participant's Retirement divided by the number of full months of the original vesting period.</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Termination for Cause</w:t>
      </w:r>
      <w:r>
        <w:rPr>
          <w:rFonts w:ascii="Times New Roman;sans-serif" w:hAnsi="Times New Roman;sans-serif"/>
          <w:b w:val="false"/>
          <w:color w:val="000000"/>
          <w:sz w:val="24"/>
        </w:rPr>
        <w: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If the Participant’s Continuous Service is terminated by the Company for Cause (as defined below), then all unvested RSUs shall be automatically and immediately forfeited for no consideration. </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For purposes of this Section 4, “Cause” shall have the same meaning ascribed to such term in any employment agreement or arrangement between the Company (or any Affiliate) and the Participant. If no such agreement or arrangement applies to the Participant or if any such agreement or arrangement that applies to the Participant does not define Cause, then “Cause” shall mean:</w:t>
      </w:r>
    </w:p>
    <w:p>
      <w:pPr>
        <w:pStyle w:val="TextBody"/>
        <w:bidi w:val="0"/>
        <w:spacing w:before="0" w:after="0"/>
        <w:jc w:val="left"/>
        <w:rPr/>
      </w:pPr>
      <w:r>
        <w:rPr/>
      </w:r>
    </w:p>
    <w:p>
      <w:pPr>
        <w:pStyle w:val="TextBody"/>
        <w:bidi w:val="0"/>
        <w:spacing w:lineRule="auto" w:line="288" w:before="0" w:after="0"/>
        <w:ind w:left="0" w:right="0" w:firstLine="2340"/>
        <w:jc w:val="both"/>
        <w:rPr/>
      </w:pPr>
      <w:r>
        <w:rPr>
          <w:rFonts w:ascii="Times New Roman;sans-serif" w:hAnsi="Times New Roman;sans-serif"/>
          <w:b w:val="false"/>
          <w:color w:val="000000"/>
          <w:sz w:val="24"/>
        </w:rPr>
        <w:t>(i)    failure of the Participant to perform the duties required of the Participant pursuant to his or her employment agreement or otherwise applicable to the Participant in connection with his or her employment</w:t>
      </w:r>
      <w:r>
        <w:rPr>
          <w:color w:val="000000"/>
        </w:rPr>
        <w:t xml:space="preserve"> </w:t>
      </w:r>
      <w:r>
        <w:rPr>
          <w:rFonts w:ascii="Times New Roman;sans-serif" w:hAnsi="Times New Roman;sans-serif"/>
          <w:b w:val="false"/>
          <w:color w:val="000000"/>
          <w:sz w:val="24"/>
        </w:rPr>
        <w:t xml:space="preserve">in a manner satisfactory to the Company, in its sole discretion; provided, however, for purposes of this subparagraph (i), Cause will not exist unless the Company first gives the Participant written notice (“Notice of Deficiency”). The Notice of Deficiency shall specify the deficiencies in the Participant’s performance of his or her duties. The Participant shall have a period of thirty (30) days, commencing on receipt of the Notice of Deficiency, in which to cure the deficiencies contained in the Notice of Deficiency. In the event the Participant does not cure the deficiencies to the satisfaction of the Company, in its sole discretion, within such thirty (30) day period (or if during such thirty (30) day period the Company determines that the Participant is not making reasonable, good faith efforts to cure the deficiencies to the satisfaction of the Company), then a termination by the Company as a result of such deficiencies will be for Cause; </w:t>
      </w:r>
    </w:p>
    <w:p>
      <w:pPr>
        <w:pStyle w:val="TextBody"/>
        <w:bidi w:val="0"/>
        <w:spacing w:before="0" w:after="0"/>
        <w:jc w:val="left"/>
        <w:rPr/>
      </w:pPr>
      <w:r>
        <w:rPr/>
      </w:r>
    </w:p>
    <w:p>
      <w:pPr>
        <w:pStyle w:val="TextBody"/>
        <w:bidi w:val="0"/>
        <w:spacing w:lineRule="auto" w:line="288" w:before="0" w:after="0"/>
        <w:ind w:left="0" w:right="0" w:firstLine="23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    any dishonesty by the Participant in the Participant’s dealings with the Company, the commission of fraud by the Participant, negligence in the performance of the duties of the Participant, insubordination, willful misconduct, or the conviction (or plea of guilty or nolo contendere) of the Participant of, or indictment or charge with respect to, any felony, or any other crime involving dishonesty or moral turpitude; </w:t>
      </w:r>
    </w:p>
    <w:p>
      <w:pPr>
        <w:pStyle w:val="TextBody"/>
        <w:bidi w:val="0"/>
        <w:spacing w:before="0" w:after="0"/>
        <w:jc w:val="left"/>
        <w:rPr/>
      </w:pPr>
      <w:r>
        <w:rPr/>
      </w:r>
    </w:p>
    <w:p>
      <w:pPr>
        <w:pStyle w:val="TextBody"/>
        <w:bidi w:val="0"/>
        <w:spacing w:lineRule="auto" w:line="288" w:before="0" w:after="0"/>
        <w:ind w:left="0" w:right="0" w:firstLine="2340"/>
        <w:jc w:val="both"/>
        <w:rPr>
          <w:rFonts w:ascii="Times New Roman;sans-serif" w:hAnsi="Times New Roman;sans-serif"/>
          <w:b w:val="false"/>
          <w:color w:val="000000"/>
          <w:sz w:val="24"/>
        </w:rPr>
      </w:pPr>
      <w:r>
        <w:rPr>
          <w:rFonts w:ascii="Times New Roman;sans-serif" w:hAnsi="Times New Roman;sans-serif"/>
          <w:b w:val="false"/>
          <w:color w:val="000000"/>
          <w:sz w:val="24"/>
        </w:rPr>
        <w:t>(iii)    any violation of any non-competition, non-solicitation, non-disclosure or confidentiality covenant or similar restriction applicable to the Participant; or</w:t>
      </w:r>
    </w:p>
    <w:p>
      <w:pPr>
        <w:pStyle w:val="TextBody"/>
        <w:bidi w:val="0"/>
        <w:spacing w:before="0" w:after="0"/>
        <w:ind w:left="0" w:right="0" w:firstLine="720"/>
        <w:jc w:val="left"/>
        <w:rPr/>
      </w:pPr>
      <w:r>
        <w:rPr/>
      </w:r>
    </w:p>
    <w:p>
      <w:pPr>
        <w:pStyle w:val="TextBody"/>
        <w:bidi w:val="0"/>
        <w:spacing w:lineRule="auto" w:line="288" w:before="0" w:after="240"/>
        <w:ind w:left="0" w:right="0" w:firstLine="2340"/>
        <w:jc w:val="both"/>
        <w:rPr>
          <w:rFonts w:ascii="Times New Roman;sans-serif" w:hAnsi="Times New Roman;sans-serif"/>
          <w:b w:val="false"/>
          <w:color w:val="000000"/>
          <w:sz w:val="24"/>
        </w:rPr>
      </w:pPr>
      <w:r>
        <w:rPr>
          <w:rFonts w:ascii="Times New Roman;sans-serif" w:hAnsi="Times New Roman;sans-serif"/>
          <w:b w:val="false"/>
          <w:color w:val="000000"/>
          <w:sz w:val="24"/>
        </w:rPr>
        <w:t>(iv)    any violation of any current or future material published policy of the Company or its Affiliates (material published policies include, but are not limited to, the Company’s discrimination and harassment policy, management dating policy, responsible alcohol policy, insider trading policy and security policy).</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Change in Control</w:t>
      </w:r>
      <w:r>
        <w:rPr>
          <w:rFonts w:ascii="Times New Roman;sans-serif" w:hAnsi="Times New Roman;sans-serif"/>
          <w:b w:val="false"/>
          <w:color w:val="000000"/>
          <w:sz w:val="24"/>
        </w:rPr>
        <w:t>.</w:t>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If a Change in Control occurs, and the RSUs remain outstanding following such Change in Control or are exchanged or converted into securities or other similar rights of any surviving, acquiring or successor entity in accordance with Section 12.1(ii) of the Plan or otherwise, then the vesting and transfer restrictions and other terms and conditions hereof shall continue to apply to the RSUs or any securities or other similar rights issued to the Participant upon exchange or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conversion of the RSUs, as applicable.</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If a Change in Control occurs, pursuant to which the RSUs will be cancelled in exchange for cash consideration to Participant in accordance with Section 12.1(i) of the Plan, then:</w:t>
      </w:r>
    </w:p>
    <w:p>
      <w:pPr>
        <w:pStyle w:val="TextBody"/>
        <w:bidi w:val="0"/>
        <w:spacing w:before="0" w:after="0"/>
        <w:jc w:val="left"/>
        <w:rPr/>
      </w:pPr>
      <w:r>
        <w:rPr/>
      </w:r>
    </w:p>
    <w:p>
      <w:pPr>
        <w:pStyle w:val="TextBody"/>
        <w:bidi w:val="0"/>
        <w:spacing w:lineRule="auto" w:line="288" w:before="0" w:after="0"/>
        <w:ind w:left="0" w:right="0" w:firstLine="2114"/>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with respect to a Participant who is an Employee at the level of Vice President or above at the time of such Change in Control, all RSUs that remain unvested and have not been previously forfeited shall be converted upon such Change in Control into an award representing the right to receive such cash consideration, provided, however, that such award will be subject to the vesting and transfer restrictions and other terms and conditions hereof and will be payable to the Participant only to the extent it has vested; and</w:t>
      </w:r>
    </w:p>
    <w:p>
      <w:pPr>
        <w:pStyle w:val="TextBody"/>
        <w:bidi w:val="0"/>
        <w:spacing w:before="0" w:after="0"/>
        <w:jc w:val="left"/>
        <w:rPr/>
      </w:pPr>
      <w:r>
        <w:rPr/>
      </w:r>
    </w:p>
    <w:p>
      <w:pPr>
        <w:pStyle w:val="TextBody"/>
        <w:bidi w:val="0"/>
        <w:spacing w:lineRule="auto" w:line="288" w:before="0" w:after="0"/>
        <w:ind w:left="0" w:right="0" w:firstLine="2047"/>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with respect to any other Participant, then all RSUs that remain unvested and have not been previously forfeited shall become immediately vested in full effective immediately prior to such Change in Control.</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RSUs Non-Transferable</w:t>
      </w:r>
      <w:r>
        <w:rPr>
          <w:rFonts w:ascii="Times New Roman;sans-serif" w:hAnsi="Times New Roman;sans-serif"/>
          <w:b w:val="false"/>
          <w:color w:val="000000"/>
          <w:sz w:val="24"/>
        </w:rPr>
        <w:t>. The Participant shall not directly or indirectly sell, transfer, pledge, assign or otherwise encumber any unvested RSUs or any interest in them, or make any commitment or agreement to do any of the foregoing, except to the extent permitted by Section 11.3 of the Plan.</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Settlement</w:t>
      </w:r>
      <w:r>
        <w:rPr>
          <w:rFonts w:ascii="Times New Roman;sans-serif" w:hAnsi="Times New Roman;sans-serif"/>
          <w:b w:val="false"/>
          <w:color w:val="000000"/>
          <w:sz w:val="24"/>
        </w:rPr>
        <w:t>. The Company shall, as soon as practicable upon the vesting of any RSUs (but in no event later than two and a half (2 ½) months following the end of the year in which vesting occurs), effect delivery of Shares to fully settle such vested RSUs to the Participant (or, in the event of the Participant’s death, to the Beneficiary). No Shares will be issued pursuant to this Award unless and until all legal requirements applicable to such issuance have been complied with to the satisfaction of the Committee.</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Section 409A</w:t>
      </w:r>
      <w:r>
        <w:rPr>
          <w:rFonts w:ascii="Times New Roman;sans-serif" w:hAnsi="Times New Roman;sans-serif"/>
          <w:b w:val="false"/>
          <w:color w:val="000000"/>
          <w:sz w:val="24"/>
        </w:rPr>
        <w:t>. This Agreement is intended to comply with Section 409A of the Code or an exemption thereunder and shall be construed and interpreted in a manner that is consistent with the requirements for avoiding additional taxes or penalties under Section 409A of the Code. Notwithstanding the foregoing, the Company makes no representations that the payments and benefits provided under this Agreement comply with Section 409A of the Code and in no event shall the Company be liable for all or any portion of any taxes, penalties, interest or other expenses that may be incurred by the Participant on account of non-compliance with Section 409A of the Code.</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9.</w:t>
      </w:r>
      <w:r>
        <w:rPr>
          <w:rFonts w:ascii="Times New Roman;sans-serif" w:hAnsi="Times New Roman;sans-serif"/>
          <w:b w:val="false"/>
          <w:color w:val="000000"/>
          <w:sz w:val="24"/>
          <w:u w:val="single"/>
        </w:rPr>
        <w:t>Electronic Delivery and Acceptance</w:t>
      </w:r>
      <w:r>
        <w:rPr>
          <w:rFonts w:ascii="Times New Roman;sans-serif" w:hAnsi="Times New Roman;sans-serif"/>
          <w:b w:val="false"/>
          <w:color w:val="000000"/>
          <w:sz w:val="24"/>
        </w:rPr>
        <w:t xml:space="preserve">. The Company may in its sole discretion, decide to deliver any documents related to the RSUs granted under the Plan and participation in </w:t>
      </w:r>
    </w:p>
    <w:p>
      <w:pPr>
        <w:pStyle w:val="TextBody"/>
        <w:bidi w:val="0"/>
        <w:ind w:left="0" w:right="0" w:firstLine="108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Plan, or future RSUs that may be granted under the Plan, by electronic means or to request the Participant’s consent to participate in the Plan by electronic means. The Participant hereby consents to receive such documents by electronic delivery and, if requested, to participate in the Plan through an on-line (and/or voice activated) system established and maintained by the Company or a third party designated by the Company.</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4"/>
        </w:rPr>
        <w:t>10.</w:t>
      </w:r>
      <w:r>
        <w:rPr>
          <w:rFonts w:ascii="Times New Roman;sans-serif" w:hAnsi="Times New Roman;sans-serif"/>
          <w:b w:val="false"/>
          <w:color w:val="000000"/>
          <w:sz w:val="24"/>
          <w:u w:val="single"/>
        </w:rPr>
        <w:t>Data Privacy</w:t>
      </w:r>
      <w:r>
        <w:rPr>
          <w:rFonts w:ascii="Times New Roman;sans-serif" w:hAnsi="Times New Roman;sans-serif"/>
          <w:b w:val="false"/>
          <w:color w:val="000000"/>
          <w:sz w:val="24"/>
        </w:rPr>
        <w:t>.</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The Participant hereby explicitly and unambiguously consents to the collection, use and transfer, in electronic or other form, of his or her Personal Data as described in this document by and among, as applicable, the Company and its Affiliates for the purposes of implementing, administering and managing the Participant’s participation in the Plan.</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(b)    The Participant understands that the Company and its Affiliates may process certain personal information about the Participant, including, but not limited to, his or her name, home address and telephone number, date of birth, social security number or other identification number, salary, nationality, job title, any shares of stock or directorships held in the Company, details of all options or any other entitlement to shares of stock awarded, canceled, exercised, vested, unvested or outstanding in the Participant’s favor, for the purposes of implementing, administering and managing the Plan (“</w:t>
      </w:r>
      <w:r>
        <w:rPr>
          <w:rFonts w:ascii="Times New Roman;sans-serif" w:hAnsi="Times New Roman;sans-serif"/>
          <w:b w:val="false"/>
          <w:color w:val="000000"/>
          <w:sz w:val="24"/>
          <w:u w:val="single"/>
        </w:rPr>
        <w:t>Personal Data</w:t>
      </w:r>
      <w:r>
        <w:rPr>
          <w:color w:val="000000"/>
        </w:rPr>
        <w:t>”</w:t>
      </w:r>
      <w:r>
        <w:rPr>
          <w:rFonts w:ascii="Times New Roman;sans-serif" w:hAnsi="Times New Roman;sans-serif"/>
          <w:b w:val="false"/>
          <w:color w:val="000000"/>
          <w:sz w:val="24"/>
        </w:rPr>
        <w:t>). The Participant understands that Personal Data may be transferred to any third parties assisting in the implementation, administration and management of the Plan, that these recipients may be located in the Participant’s country or elsewhere and that the recipients’ country may have different data privacy laws and protections than the Participant’s country. The Participant authorizes the recipients to receive, possess, use, retain and transfer the Personal Data, in electronic or other form, for the purposes of implementing, administering and managing his or her participation in the Plan, including any requisite transfer of such Personal Data as may be required to a broker or other third party with whom the Participant may elect to deposit any Shares acquired upon settlement of these Performance Awards. The Participant understands that the Company will retain the Personal Data only as long as is necessary to implement, administer and manage the Participant’s participation in the Plan. The Participant understands that he or she may, at any time, view Personal Data, request additional information about the storage and processing of Personal Data, require any necessary amendments to Personal Data or refuse or withdraw the consents herein, in any case without cost, by contacting in writing the Company’s human resources representative. The Participant understands, however, that refusing or withdrawing his or her consent may affect the Participant’s ability to participate in the Plan. Participants may obtain more information about how their Personal Data may be processed in conjunction with Plan participation by contacting the Company’s human resources representative.</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Government and Other Regulations</w:t>
      </w:r>
      <w:r>
        <w:rPr>
          <w:rFonts w:ascii="Times New Roman;sans-serif" w:hAnsi="Times New Roman;sans-serif"/>
          <w:b w:val="false"/>
          <w:color w:val="000000"/>
          <w:sz w:val="24"/>
        </w:rPr>
        <w:t>. The grant of RSUs is subject to all laws, regulations and orders of any governmental authority which may be applicable thereto and, notwithstanding any of the provisions hereof, the Participant acknowledges that the Company will not be obligated to issue any Shares hereunder if the grant or vesting thereof or the issuance of such Shares, as the case may be, would constitute a violation by the Participant or the Company of any such law, regulation or order or any provision thereof. The Company shall not be obligated to take any affirmative action in order to cause the vesting of the RSUs or the issuance of Shares pursuant hereto to comply with any such law, regulation, order or provision.</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Miscellaneous Provisions</w:t>
      </w:r>
      <w:r>
        <w:rPr>
          <w:rFonts w:ascii="Times New Roman;sans-serif" w:hAnsi="Times New Roman;sans-serif"/>
          <w:b w:val="false"/>
          <w:color w:val="000000"/>
          <w:sz w:val="24"/>
        </w:rPr>
        <w: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No Participant or Beneficiary shall have any rights as a stockholder with respect to Shares subject to an Award, including without limitation any right to vote or to receive or accrue dividends (ordinary or extraordinary, whether in cash, securities or other property) or distributions or any equivalent thereof, until such Shares are delivered to the Participant or the Beneficiary, and no adjustment or accrual shall be made for dividends (ordinary or extraordinary, whether in cash, securities or other property) or distributions of other rights for which the record date is prior to the date such Shares are delivered.</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The RSUs are granted under and subject to the terms and conditions of the Plan, which is incorporated herein and made part hereof by this reference. In the event of a conflict between the terms of the Plan and this Agreement, the terms of the Plan, as interpreted by the Board or the Committee, shall govern. In the event of a conflict between the terms of the Plan and this Agreement, the terms of the Plan, as interpreted by the Board or the Committee, shall govern and all decisions under and interpretations of the Plan or this Agreement by the Committee or the Board shall be final, binding and conclusive upon the Participant and his heirs and legal representatives. The Participant hereby acknowledges receipt of a true copy of the Plan and that the Participant has read the Plan carefully and fully understands its content.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This Agreement and the Plan constitute the entire contract between the parties hereto with regard to the subject matter hereof. This Agreement and the Plan supersede any other agreements, representations or understandings (whether oral or written and whether express or implied) which relate to the subject matter hereof.</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If the Participant has received this Agreement or any other document related to the Plan translated into a language other than English and if the translated version is different than the English version, the English version will control.</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The provisions of this Agreement are severable and if any one or more provisions are determined to be illegal or otherwise unenforceable, in whole or in part, the remaining provisions shall nevertheless be binding and enforceable.</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This Agreement may be executed or deemed executed in two or more counterparts, each of which shall be deemed an original, but all of which shall constitute one and the same instrument.</w:t>
      </w:r>
      <w:r>
        <w:rPr>
          <w:color w:val="000000"/>
        </w:rPr>
        <w:t>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4"/>
        </w:rPr>
        <w:t>IN WITNESS WHEREOF</w:t>
      </w:r>
      <w:r>
        <w:rPr>
          <w:rFonts w:ascii="Times New Roman;sans-serif" w:hAnsi="Times New Roman;sans-serif"/>
          <w:b w:val="false"/>
          <w:color w:val="000000"/>
          <w:sz w:val="24"/>
        </w:rPr>
        <w:t>, the Company has caused this grant of RSUs to be executed, as of the Date of Grant.</w:t>
      </w:r>
    </w:p>
    <w:p>
      <w:pPr>
        <w:pStyle w:val="TextBody"/>
        <w:bidi w:val="0"/>
        <w:spacing w:before="0" w:after="0"/>
        <w:ind w:left="0" w:right="0" w:firstLine="720"/>
        <w:jc w:val="left"/>
        <w:rPr/>
      </w:pPr>
      <w:r>
        <w:rPr/>
      </w:r>
    </w:p>
    <w:tbl>
      <w:tblPr>
        <w:tblW w:w="6537" w:type="dxa"/>
        <w:jc w:val="center"/>
        <w:tblInd w:w="0" w:type="dxa"/>
        <w:tblLayout w:type="fixed"/>
        <w:tblCellMar>
          <w:top w:w="28" w:type="dxa"/>
          <w:left w:w="28" w:type="dxa"/>
          <w:bottom w:w="28" w:type="dxa"/>
          <w:right w:w="28" w:type="dxa"/>
        </w:tblCellMar>
      </w:tblPr>
      <w:tblGrid>
        <w:gridCol w:w="124"/>
        <w:gridCol w:w="109"/>
        <w:gridCol w:w="109"/>
        <w:gridCol w:w="149"/>
        <w:gridCol w:w="149"/>
        <w:gridCol w:w="151"/>
        <w:gridCol w:w="109"/>
        <w:gridCol w:w="109"/>
        <w:gridCol w:w="109"/>
        <w:gridCol w:w="341"/>
        <w:gridCol w:w="341"/>
        <w:gridCol w:w="341"/>
        <w:gridCol w:w="341"/>
        <w:gridCol w:w="341"/>
        <w:gridCol w:w="341"/>
        <w:gridCol w:w="341"/>
        <w:gridCol w:w="341"/>
        <w:gridCol w:w="357"/>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BLOOMIN’ BRANDS,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ELECTRONIC 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8"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David Deno,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8"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(or Kelly Lefferts, Chief Legal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8"/>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8"/>
        <w:jc w:val="both"/>
        <w:rPr/>
      </w:pPr>
      <w:r>
        <w:rPr/>
      </w:r>
    </w:p>
    <w:p>
      <w:pPr>
        <w:pStyle w:val="TextBody"/>
        <w:bidi w:val="0"/>
        <w:spacing w:lineRule="auto" w:line="288" w:before="0" w:after="288"/>
        <w:jc w:val="center"/>
        <w:rPr>
          <w:rFonts w:ascii="Times New Roman;sans-serif" w:hAnsi="Times New Roman;sans-serif"/>
          <w:b/>
          <w:color w:val="000000"/>
          <w:sz w:val="20"/>
        </w:rPr>
      </w:pPr>
      <w:r>
        <w:rPr>
          <w:rFonts w:ascii="Times New Roman;sans-serif" w:hAnsi="Times New Roman;sans-serif"/>
          <w:b/>
          <w:color w:val="000000"/>
          <w:sz w:val="20"/>
        </w:rPr>
        <w:t>SCHEDULE I</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AWARD GRANTEES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077"/>
        <w:gridCol w:w="1809"/>
        <w:gridCol w:w="1810"/>
        <w:gridCol w:w="109"/>
        <w:gridCol w:w="109"/>
        <w:gridCol w:w="109"/>
        <w:gridCol w:w="606"/>
        <w:gridCol w:w="597"/>
        <w:gridCol w:w="600"/>
        <w:gridCol w:w="109"/>
        <w:gridCol w:w="109"/>
        <w:gridCol w:w="109"/>
        <w:gridCol w:w="599"/>
        <w:gridCol w:w="599"/>
        <w:gridCol w:w="854"/>
      </w:tblGrid>
      <w:tr>
        <w:trPr/>
        <w:tc>
          <w:tcPr>
            <w:tcW w:w="2077"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5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AND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AWARD 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AWARD DOLLAR VALUE</w:t>
            </w:r>
          </w:p>
        </w:tc>
      </w:tr>
      <w:tr>
        <w:trPr/>
        <w:tc>
          <w:tcPr>
            <w:tcW w:w="569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Michael Healy,</w:t>
              <w:br/>
              <w:t>Chief Financial Officer and Executive Vice President, Global Business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$500,000</w:t>
            </w:r>
          </w:p>
        </w:tc>
      </w:tr>
      <w:tr>
        <w:trPr/>
        <w:tc>
          <w:tcPr>
            <w:tcW w:w="5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Brett Patterson,</w:t>
              <w:br/>
              <w:t>Executive Vice President, President of Outback Steakhouse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$500,000</w:t>
            </w:r>
          </w:p>
        </w:tc>
      </w:tr>
      <w:tr>
        <w:trPr/>
        <w:tc>
          <w:tcPr>
            <w:tcW w:w="5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Kelly Lefferts,</w:t>
              <w:br/>
              <w:t>Executive Vice President, Chief Legal Officer and Secretary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$400,000</w:t>
            </w:r>
          </w:p>
        </w:tc>
      </w:tr>
      <w:tr>
        <w:trPr/>
        <w:tc>
          <w:tcPr>
            <w:tcW w:w="5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Pierre Berenstein,</w:t>
              <w:br/>
              <w:t>Executive Vice President, Chief Customer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$400,000</w:t>
            </w:r>
          </w:p>
        </w:tc>
      </w:tr>
      <w:tr>
        <w:trPr/>
        <w:tc>
          <w:tcPr>
            <w:tcW w:w="5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Lissette Gonzalez,</w:t>
              <w:br/>
              <w:t>Executive Vice President, Chief Supply Chain and Operations Excellence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$300,000</w:t>
            </w:r>
          </w:p>
        </w:tc>
      </w:tr>
      <w:tr>
        <w:trPr/>
        <w:tc>
          <w:tcPr>
            <w:tcW w:w="5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 Graff,</w:t>
              <w:br/>
              <w:t>Executive Vice President, President of Bonefish Grill and Fine Dining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$300,000</w:t>
            </w:r>
          </w:p>
        </w:tc>
      </w:tr>
      <w:tr>
        <w:trPr/>
        <w:tc>
          <w:tcPr>
            <w:tcW w:w="5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Suzann Trevisan,</w:t>
              <w:br/>
              <w:t>Senior Vice President, Chief Human Resources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$300,000</w:t>
            </w:r>
          </w:p>
        </w:tc>
      </w:tr>
      <w:tr>
        <w:trPr/>
        <w:tc>
          <w:tcPr>
            <w:tcW w:w="5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Philip Pace,</w:t>
              <w:br/>
              <w:t>Senior Vice President, Chief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$200,000</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31.1</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CERTIFICATION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 David J. Deno, certify that:</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ans-serif" w:hAnsi="Times New Roman;sans-serif"/>
          <w:b w:val="false"/>
          <w:color w:val="000000"/>
          <w:sz w:val="22"/>
        </w:rPr>
      </w:pPr>
      <w:r>
        <w:rPr>
          <w:rFonts w:ascii="Times New Roman;sans-serif" w:hAnsi="Times New Roman;sans-serif"/>
          <w:b w:val="false"/>
          <w:color w:val="000000"/>
          <w:sz w:val="22"/>
        </w:rPr>
        <w:t>1.I have reviewed this Quarterly Report on Form 10-Q of Bloomin’ Brands, Inc.;</w:t>
      </w:r>
    </w:p>
    <w:p>
      <w:pPr>
        <w:pStyle w:val="TextBody"/>
        <w:bidi w:val="0"/>
        <w:spacing w:before="0" w:after="0"/>
        <w:ind w:left="0" w:right="0" w:hanging="630"/>
        <w:jc w:val="left"/>
        <w:rPr/>
      </w:pPr>
      <w:r>
        <w:rPr/>
      </w:r>
    </w:p>
    <w:p>
      <w:pPr>
        <w:pStyle w:val="TextBody"/>
        <w:bidi w:val="0"/>
        <w:spacing w:lineRule="auto" w:line="288" w:before="0" w:after="0"/>
        <w:ind w:left="0" w:right="0" w:hanging="630"/>
        <w:jc w:val="both"/>
        <w:rPr>
          <w:rFonts w:ascii="Times New Roman;sans-serif" w:hAnsi="Times New Roman;sans-serif"/>
          <w:b w:val="false"/>
          <w:color w:val="000000"/>
          <w:sz w:val="22"/>
        </w:rPr>
      </w:pPr>
      <w:r>
        <w:rPr>
          <w:rFonts w:ascii="Times New Roman;sans-serif" w:hAnsi="Times New Roman;sans-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630"/>
        <w:jc w:val="left"/>
        <w:rPr/>
      </w:pPr>
      <w:r>
        <w:rPr/>
      </w:r>
    </w:p>
    <w:p>
      <w:pPr>
        <w:pStyle w:val="TextBody"/>
        <w:bidi w:val="0"/>
        <w:spacing w:lineRule="auto" w:line="288" w:before="0" w:after="0"/>
        <w:ind w:left="0" w:right="0" w:hanging="630"/>
        <w:jc w:val="both"/>
        <w:rPr>
          <w:rFonts w:ascii="Times New Roman;sans-serif" w:hAnsi="Times New Roman;sans-serif"/>
          <w:b w:val="false"/>
          <w:color w:val="000000"/>
          <w:sz w:val="22"/>
        </w:rPr>
      </w:pPr>
      <w:r>
        <w:rPr>
          <w:rFonts w:ascii="Times New Roman;sans-serif" w:hAnsi="Times New Roman;sans-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630"/>
        <w:jc w:val="left"/>
        <w:rPr/>
      </w:pPr>
      <w:r>
        <w:rPr/>
      </w:r>
    </w:p>
    <w:p>
      <w:pPr>
        <w:pStyle w:val="TextBody"/>
        <w:bidi w:val="0"/>
        <w:spacing w:lineRule="auto" w:line="288" w:before="0" w:after="0"/>
        <w:ind w:left="0" w:right="0" w:hanging="630"/>
        <w:jc w:val="both"/>
        <w:rPr>
          <w:rFonts w:ascii="Times New Roman;sans-serif" w:hAnsi="Times New Roman;sans-serif"/>
          <w:b w:val="false"/>
          <w:color w:val="000000"/>
          <w:sz w:val="22"/>
        </w:rPr>
      </w:pPr>
      <w:r>
        <w:rPr>
          <w:rFonts w:ascii="Times New Roman;sans-serif" w:hAnsi="Times New Roman;sans-serif"/>
          <w:b w:val="false"/>
          <w:color w:val="000000"/>
          <w:sz w:val="22"/>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63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630"/>
        <w:jc w:val="both"/>
        <w:rPr>
          <w:rFonts w:ascii="Times New Roman;sans-serif" w:hAnsi="Times New Roman;sans-serif"/>
          <w:b w:val="false"/>
          <w:color w:val="000000"/>
          <w:sz w:val="22"/>
        </w:rPr>
      </w:pPr>
      <w:r>
        <w:rPr>
          <w:rFonts w:ascii="Times New Roman;sans-serif" w:hAnsi="Times New Roman;sans-serif"/>
          <w:b w:val="false"/>
          <w:color w:val="000000"/>
          <w:sz w:val="22"/>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36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30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(b)Any fraud, whether or not material, that involves management or other employees who have a significant role in the registrant’s internal control over financial reporting. </w:t>
      </w:r>
    </w:p>
    <w:tbl>
      <w:tblPr>
        <w:tblW w:w="5009" w:type="dxa"/>
        <w:jc w:val="center"/>
        <w:tblInd w:w="0" w:type="dxa"/>
        <w:tblLayout w:type="fixed"/>
        <w:tblCellMar>
          <w:top w:w="28" w:type="dxa"/>
          <w:left w:w="28" w:type="dxa"/>
          <w:bottom w:w="28" w:type="dxa"/>
          <w:right w:w="28" w:type="dxa"/>
        </w:tblCellMar>
      </w:tblPr>
      <w:tblGrid>
        <w:gridCol w:w="222"/>
        <w:gridCol w:w="196"/>
        <w:gridCol w:w="197"/>
        <w:gridCol w:w="519"/>
        <w:gridCol w:w="519"/>
        <w:gridCol w:w="521"/>
        <w:gridCol w:w="828"/>
        <w:gridCol w:w="828"/>
        <w:gridCol w:w="1179"/>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August 7, 2024</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David J. Deno</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David J. Deno</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Chief Executive Officer</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31.2</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CERTIFICATION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 W. Michael Healy, certify that:</w:t>
      </w:r>
    </w:p>
    <w:p>
      <w:pPr>
        <w:pStyle w:val="TextBody"/>
        <w:bidi w:val="0"/>
        <w:spacing w:before="0" w:after="0"/>
        <w:jc w:val="both"/>
        <w:rPr/>
      </w:pPr>
      <w:r>
        <w:rPr/>
      </w:r>
    </w:p>
    <w:p>
      <w:pPr>
        <w:pStyle w:val="TextBody"/>
        <w:bidi w:val="0"/>
        <w:spacing w:lineRule="auto" w:line="288" w:before="0" w:after="0"/>
        <w:ind w:left="0" w:right="0" w:hanging="630"/>
        <w:jc w:val="left"/>
        <w:rPr>
          <w:rFonts w:ascii="Times New Roman;sans-serif" w:hAnsi="Times New Roman;sans-serif"/>
          <w:b w:val="false"/>
          <w:color w:val="000000"/>
          <w:sz w:val="22"/>
        </w:rPr>
      </w:pPr>
      <w:r>
        <w:rPr>
          <w:rFonts w:ascii="Times New Roman;sans-serif" w:hAnsi="Times New Roman;sans-serif"/>
          <w:b w:val="false"/>
          <w:color w:val="000000"/>
          <w:sz w:val="22"/>
        </w:rPr>
        <w:t>1.I have reviewed this Quarterly Report on Form 10-Q of Bloomin’ Brands, Inc.;</w:t>
      </w:r>
    </w:p>
    <w:p>
      <w:pPr>
        <w:pStyle w:val="TextBody"/>
        <w:bidi w:val="0"/>
        <w:spacing w:before="0" w:after="0"/>
        <w:ind w:left="0" w:right="0" w:hanging="630"/>
        <w:jc w:val="left"/>
        <w:rPr/>
      </w:pPr>
      <w:r>
        <w:rPr/>
      </w:r>
    </w:p>
    <w:p>
      <w:pPr>
        <w:pStyle w:val="TextBody"/>
        <w:bidi w:val="0"/>
        <w:spacing w:lineRule="auto" w:line="288" w:before="0" w:after="0"/>
        <w:ind w:left="0" w:right="0" w:hanging="630"/>
        <w:jc w:val="both"/>
        <w:rPr>
          <w:rFonts w:ascii="Times New Roman;sans-serif" w:hAnsi="Times New Roman;sans-serif"/>
          <w:b w:val="false"/>
          <w:color w:val="000000"/>
          <w:sz w:val="22"/>
        </w:rPr>
      </w:pPr>
      <w:r>
        <w:rPr>
          <w:rFonts w:ascii="Times New Roman;sans-serif" w:hAnsi="Times New Roman;sans-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630"/>
        <w:jc w:val="left"/>
        <w:rPr/>
      </w:pPr>
      <w:r>
        <w:rPr/>
      </w:r>
    </w:p>
    <w:p>
      <w:pPr>
        <w:pStyle w:val="TextBody"/>
        <w:bidi w:val="0"/>
        <w:spacing w:lineRule="auto" w:line="288" w:before="0" w:after="0"/>
        <w:ind w:left="0" w:right="0" w:hanging="630"/>
        <w:jc w:val="both"/>
        <w:rPr>
          <w:rFonts w:ascii="Times New Roman;sans-serif" w:hAnsi="Times New Roman;sans-serif"/>
          <w:b w:val="false"/>
          <w:color w:val="000000"/>
          <w:sz w:val="22"/>
        </w:rPr>
      </w:pPr>
      <w:r>
        <w:rPr>
          <w:rFonts w:ascii="Times New Roman;sans-serif" w:hAnsi="Times New Roman;sans-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630"/>
        <w:jc w:val="left"/>
        <w:rPr/>
      </w:pPr>
      <w:r>
        <w:rPr/>
      </w:r>
    </w:p>
    <w:p>
      <w:pPr>
        <w:pStyle w:val="TextBody"/>
        <w:bidi w:val="0"/>
        <w:spacing w:lineRule="auto" w:line="288" w:before="0" w:after="0"/>
        <w:ind w:left="0" w:right="0" w:hanging="630"/>
        <w:jc w:val="both"/>
        <w:rPr>
          <w:rFonts w:ascii="Times New Roman;sans-serif" w:hAnsi="Times New Roman;sans-serif"/>
          <w:b w:val="false"/>
          <w:color w:val="000000"/>
          <w:sz w:val="22"/>
        </w:rPr>
      </w:pPr>
      <w:r>
        <w:rPr>
          <w:rFonts w:ascii="Times New Roman;sans-serif" w:hAnsi="Times New Roman;sans-serif"/>
          <w:b w:val="false"/>
          <w:color w:val="000000"/>
          <w:sz w:val="22"/>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63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630"/>
        <w:jc w:val="both"/>
        <w:rPr>
          <w:rFonts w:ascii="Times New Roman;sans-serif" w:hAnsi="Times New Roman;sans-serif"/>
          <w:b w:val="false"/>
          <w:color w:val="000000"/>
          <w:sz w:val="22"/>
        </w:rPr>
      </w:pPr>
      <w:r>
        <w:rPr>
          <w:rFonts w:ascii="Times New Roman;sans-serif" w:hAnsi="Times New Roman;sans-serif"/>
          <w:b w:val="false"/>
          <w:color w:val="000000"/>
          <w:sz w:val="22"/>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36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30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(b)Any fraud, whether or not material, that involves management or other employees who have a significant role in the registrant’s internal control over financial reporting. </w:t>
      </w:r>
    </w:p>
    <w:tbl>
      <w:tblPr>
        <w:tblW w:w="7274" w:type="dxa"/>
        <w:jc w:val="center"/>
        <w:tblInd w:w="0" w:type="dxa"/>
        <w:tblLayout w:type="fixed"/>
        <w:tblCellMar>
          <w:top w:w="28" w:type="dxa"/>
          <w:left w:w="28" w:type="dxa"/>
          <w:bottom w:w="28" w:type="dxa"/>
          <w:right w:w="28" w:type="dxa"/>
        </w:tblCellMar>
      </w:tblPr>
      <w:tblGrid>
        <w:gridCol w:w="222"/>
        <w:gridCol w:w="196"/>
        <w:gridCol w:w="197"/>
        <w:gridCol w:w="519"/>
        <w:gridCol w:w="519"/>
        <w:gridCol w:w="521"/>
        <w:gridCol w:w="1495"/>
        <w:gridCol w:w="1495"/>
        <w:gridCol w:w="2110"/>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August 7, 2024</w:t>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W. Michael Healy</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 Michael Healy</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Executive Vice President and Chief Financial Officer</w:t>
              <w:b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32.1</w:t>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CERTIFICATION PURSUANT TO 18 U.S.C. SECTION 1350, AS ADOPTED PURSUANT TO SECTION 906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connection with the Quarterly Report of Bloomin’ Brands, Inc. (the “Company”) on Form 10-Q for the quarter ended June 30, 2024 as filed with the Securities and Exchange Commission on the date hereof (the “Report”), I, David J. Deno, Chief Executive Officer of the Company, hereby certify, pursuant to 18 U.S.C. Section 1350, as adopted pursuant to Section 906 of the Sarbanes-Oxley Act of 2002, to the best of my knowledge, that:</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(1)The Report fully complies with the requirements of Section 13(a) or 15(d) of the Securities Exchange Act of 1934; and</w:t>
      </w:r>
    </w:p>
    <w:p>
      <w:pPr>
        <w:pStyle w:val="TextBody"/>
        <w:bidi w:val="0"/>
        <w:spacing w:before="0" w:after="0"/>
        <w:jc w:val="both"/>
        <w:rPr/>
      </w:pPr>
      <w:r>
        <w:rPr/>
      </w:r>
    </w:p>
    <w:p>
      <w:pPr>
        <w:pStyle w:val="TextBody"/>
        <w:bidi w:val="0"/>
        <w:spacing w:lineRule="auto" w:line="288" w:before="0" w:after="30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(2)The information contained in the Report fairly presents, in all material respects, the financial condition and results of operations of the Company for the dates and periods covered by the Report.</w:t>
      </w:r>
    </w:p>
    <w:tbl>
      <w:tblPr>
        <w:tblW w:w="5009" w:type="dxa"/>
        <w:jc w:val="center"/>
        <w:tblInd w:w="0" w:type="dxa"/>
        <w:tblLayout w:type="fixed"/>
        <w:tblCellMar>
          <w:top w:w="28" w:type="dxa"/>
          <w:left w:w="28" w:type="dxa"/>
          <w:bottom w:w="28" w:type="dxa"/>
          <w:right w:w="28" w:type="dxa"/>
        </w:tblCellMar>
      </w:tblPr>
      <w:tblGrid>
        <w:gridCol w:w="222"/>
        <w:gridCol w:w="196"/>
        <w:gridCol w:w="197"/>
        <w:gridCol w:w="519"/>
        <w:gridCol w:w="519"/>
        <w:gridCol w:w="521"/>
        <w:gridCol w:w="828"/>
        <w:gridCol w:w="828"/>
        <w:gridCol w:w="1179"/>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August 7, 2024</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David J. Deno</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David J. Deno</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Chief Executive Officer</w:t>
              <w:br/>
              <w:t>(Principal Executive Officer)</w:t>
            </w:r>
          </w:p>
        </w:tc>
      </w:tr>
    </w:tbl>
    <w:p>
      <w:pPr>
        <w:pStyle w:val="TextBody"/>
        <w:bidi w:val="0"/>
        <w:spacing w:before="0" w:after="0"/>
        <w:jc w:val="left"/>
        <w:rPr/>
      </w:pPr>
      <w:r>
        <w:rPr/>
      </w:r>
    </w:p>
    <w:p>
      <w:pPr>
        <w:pStyle w:val="TextBody"/>
        <w:bidi w:val="0"/>
        <w:spacing w:lineRule="auto" w:line="288"/>
        <w:jc w:val="both"/>
        <w:rPr>
          <w:rFonts w:ascii="Times New Roman;sans-serif" w:hAnsi="Times New Roman;sans-serif"/>
          <w:b w:val="false"/>
          <w:color w:val="000000"/>
          <w:sz w:val="22"/>
        </w:rPr>
      </w:pPr>
      <w:r>
        <w:rPr>
          <w:rFonts w:ascii="Times New Roman;sans-serif" w:hAnsi="Times New Roman;sans-serif"/>
          <w:b w:val="false"/>
          <w:color w:val="000000"/>
          <w:sz w:val="22"/>
        </w:rPr>
        <w:t>A signed original of this written statement required by Section 906 has been provided to, and will be retained by, Bloomin’ Brands, Inc.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32.2</w:t>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CERTIFICATION PURSUANT TO 18 U.S.C. SECTION 1350, AS ADOPTED PURSUANT TO SECTION 906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connection with the Quarterly Report of Bloomin’ Brands, Inc. (the “Company”) on Form 10-Q for the quarter ended June 30, 2024 as filed with the Securities and Exchange Commission on the date hereof (the “Report”), I, W. Michael Healy, Executive Vice President and Chief Financial Officer of the Company, hereby certify, pursuant to 18 U.S.C. Section 1350, as adopted pursuant to Section 906 of the Sarbanes-Oxley Act of 2002, to the best of my knowledge, that:</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(1)The Report fully complies with the requirements of Section 13(a) or 15(d) of the Securities Exchange Act of 1934; and</w:t>
      </w:r>
    </w:p>
    <w:p>
      <w:pPr>
        <w:pStyle w:val="TextBody"/>
        <w:bidi w:val="0"/>
        <w:spacing w:before="0" w:after="0"/>
        <w:jc w:val="both"/>
        <w:rPr/>
      </w:pPr>
      <w:r>
        <w:rPr/>
      </w:r>
    </w:p>
    <w:p>
      <w:pPr>
        <w:pStyle w:val="TextBody"/>
        <w:bidi w:val="0"/>
        <w:spacing w:lineRule="auto" w:line="288" w:before="0" w:after="30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(2)The information contained in the Report fairly presents, in all material respects, the financial condition and results of operations of the Company for the dates and periods covered by the Report.</w:t>
      </w:r>
    </w:p>
    <w:tbl>
      <w:tblPr>
        <w:tblW w:w="7274" w:type="dxa"/>
        <w:jc w:val="center"/>
        <w:tblInd w:w="0" w:type="dxa"/>
        <w:tblLayout w:type="fixed"/>
        <w:tblCellMar>
          <w:top w:w="28" w:type="dxa"/>
          <w:left w:w="28" w:type="dxa"/>
          <w:bottom w:w="28" w:type="dxa"/>
          <w:right w:w="28" w:type="dxa"/>
        </w:tblCellMar>
      </w:tblPr>
      <w:tblGrid>
        <w:gridCol w:w="222"/>
        <w:gridCol w:w="196"/>
        <w:gridCol w:w="197"/>
        <w:gridCol w:w="519"/>
        <w:gridCol w:w="519"/>
        <w:gridCol w:w="521"/>
        <w:gridCol w:w="1495"/>
        <w:gridCol w:w="1495"/>
        <w:gridCol w:w="2110"/>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August 7, 2024</w:t>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W. Michael Healy</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 Michael Healy</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Executive Vice President and Chief Financial Officer</w:t>
              <w:br/>
              <w:t>(Principal Financial Officer)</w:t>
            </w:r>
          </w:p>
        </w:tc>
      </w:tr>
    </w:tbl>
    <w:p>
      <w:pPr>
        <w:pStyle w:val="TextBody"/>
        <w:bidi w:val="0"/>
        <w:spacing w:before="0" w:after="0"/>
        <w:jc w:val="left"/>
        <w:rPr/>
      </w:pPr>
      <w:r>
        <w:rPr/>
      </w:r>
    </w:p>
    <w:p>
      <w:pPr>
        <w:pStyle w:val="TextBody"/>
        <w:bidi w:val="0"/>
        <w:spacing w:lineRule="auto" w:line="288"/>
        <w:jc w:val="both"/>
        <w:rPr>
          <w:rFonts w:ascii="Times New Roman;sans-serif" w:hAnsi="Times New Roman;sans-serif"/>
          <w:b w:val="false"/>
          <w:color w:val="000000"/>
          <w:sz w:val="22"/>
        </w:rPr>
      </w:pPr>
      <w:r>
        <w:rPr>
          <w:rFonts w:ascii="Times New Roman;sans-serif" w:hAnsi="Times New Roman;sans-serif"/>
          <w:b w:val="false"/>
          <w:color w:val="000000"/>
          <w:sz w:val="22"/>
        </w:rPr>
        <w:t>A signed original of this written statement required by Section 906 has been provided to, and will be retained by, Bloomin’ Brands, Inc.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0001546417/000154641724000113/blmn-033124_ex104.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24089</Words>
  <Characters>134450</Characters>
  <CharactersWithSpaces>156242</CharactersWithSpaces>
  <Paragraphs>4362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