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both"/>
        <w:rPr/>
      </w:pPr>
      <w:r>
        <w:rPr/>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2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UNITED STATES</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SECURITIES AND EXCHANGE COMMISSION</w: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Washington, D.C. 20549</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FORM 8-K</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CURRENT REPORT</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PURSUANT TO SECTION 13 OR 15(d) OF THE SECURITIES EXCHANGE ACT OF 1934</w:t>
      </w:r>
    </w:p>
    <w:p>
      <w:pPr>
        <w:pStyle w:val="TextBody"/>
        <w:bidi w:val="0"/>
        <w:spacing w:before="0" w:after="0"/>
        <w:jc w:val="left"/>
        <w:rPr/>
      </w:pPr>
      <w:r>
        <w:rPr/>
      </w:r>
    </w:p>
    <w:p>
      <w:pPr>
        <w:pStyle w:val="TextBody"/>
        <w:bidi w:val="0"/>
        <w:spacing w:lineRule="auto" w:line="288" w:before="0" w:after="0"/>
        <w:jc w:val="center"/>
        <w:rPr/>
      </w:pPr>
      <w:r>
        <w:rPr>
          <w:rFonts w:ascii="Times New Roman;serif" w:hAnsi="Times New Roman;serif"/>
          <w:b w:val="false"/>
          <w:color w:val="000000"/>
          <w:sz w:val="22"/>
        </w:rPr>
        <w:t>Date of Report (Date of earliest event reported)</w:t>
      </w:r>
      <w:r>
        <w:rPr>
          <w:color w:val="000000"/>
        </w:rPr>
        <w:t xml:space="preserve"> </w:t>
      </w:r>
      <w:r>
        <w:rPr>
          <w:rFonts w:ascii="Times New Roman;serif" w:hAnsi="Times New Roman;serif"/>
          <w:b/>
          <w:color w:val="000000"/>
          <w:sz w:val="22"/>
        </w:rPr>
        <w:t>August 5, 2026</w:t>
      </w:r>
    </w:p>
    <w:p>
      <w:pPr>
        <w:pStyle w:val="TextBody"/>
        <w:bidi w:val="0"/>
        <w:spacing w:before="0" w:after="0"/>
        <w:jc w:val="center"/>
        <w:rPr/>
      </w:pPr>
      <w:r>
        <w:rPr/>
      </w:r>
    </w:p>
    <w:p>
      <w:pPr>
        <w:pStyle w:val="TextBody"/>
        <w:bidi w:val="0"/>
        <w:spacing w:before="0" w:after="0"/>
        <w:jc w:val="center"/>
        <w:rPr/>
      </w:pPr>
      <w:r>
        <w:rPr/>
        <w:drawing>
          <wp:inline distT="0" distB="0" distL="0" distR="0">
            <wp:extent cx="962025" cy="15335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962025" cy="1533525"/>
                    </a:xfrm>
                    <a:prstGeom prst="rect">
                      <a:avLst/>
                    </a:prstGeom>
                  </pic:spPr>
                </pic:pic>
              </a:graphicData>
            </a:graphic>
          </wp:inline>
        </w:drawing>
      </w:r>
      <w:bookmarkStart w:id="0" w:name="i-1"/>
      <w:bookmarkEnd w:id="0"/>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48"/>
        </w:rPr>
      </w:pPr>
      <w:r>
        <w:rPr>
          <w:rFonts w:ascii="Times New Roman;serif" w:hAnsi="Times New Roman;serif"/>
          <w:b/>
          <w:color w:val="000000"/>
          <w:sz w:val="48"/>
        </w:rPr>
        <w:t>BLOOMIN’ BRANDS, INC.</w: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(Exact name of registrant as specified in its charter)</w:t>
      </w:r>
    </w:p>
    <w:tbl>
      <w:tblPr>
        <w:tblW w:w="8728" w:type="dxa"/>
        <w:jc w:val="center"/>
        <w:tblInd w:w="0" w:type="dxa"/>
        <w:tblLayout w:type="fixed"/>
        <w:tblCellMar>
          <w:top w:w="28" w:type="dxa"/>
          <w:left w:w="28" w:type="dxa"/>
          <w:bottom w:w="28" w:type="dxa"/>
          <w:right w:w="28" w:type="dxa"/>
        </w:tblCellMar>
      </w:tblPr>
      <w:tblGrid>
        <w:gridCol w:w="1520"/>
        <w:gridCol w:w="1335"/>
        <w:gridCol w:w="1344"/>
        <w:gridCol w:w="882"/>
        <w:gridCol w:w="882"/>
        <w:gridCol w:w="890"/>
        <w:gridCol w:w="548"/>
        <w:gridCol w:w="548"/>
        <w:gridCol w:w="779"/>
      </w:tblGrid>
      <w:tr>
        <w:trPr/>
        <w:tc>
          <w:tcPr>
            <w:tcW w:w="1520"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c>
          <w:tcPr>
            <w:tcW w:w="1344"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Delaware</w:t>
            </w:r>
          </w:p>
        </w:tc>
        <w:tc>
          <w:tcPr>
            <w:tcW w:w="26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001-35625</w:t>
            </w:r>
          </w:p>
        </w:tc>
        <w:tc>
          <w:tcPr>
            <w:tcW w:w="18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20-8023465</w:t>
            </w:r>
          </w:p>
        </w:tc>
      </w:tr>
      <w:tr>
        <w:trPr/>
        <w:tc>
          <w:tcPr>
            <w:tcW w:w="41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(State or other jurisdiction of incorporation)</w:t>
            </w:r>
          </w:p>
        </w:tc>
        <w:tc>
          <w:tcPr>
            <w:tcW w:w="26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(Commission File Number)</w:t>
            </w:r>
          </w:p>
        </w:tc>
        <w:tc>
          <w:tcPr>
            <w:tcW w:w="18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(IRS Employer</w:t>
              <w:br/>
              <w:t>Identification No.)</w:t>
            </w:r>
          </w:p>
        </w:tc>
      </w:tr>
    </w:tbl>
    <w:p>
      <w:pPr>
        <w:pStyle w:val="TextBody"/>
        <w:bidi w:val="0"/>
        <w:spacing w:before="0" w:after="0"/>
        <w:jc w:val="left"/>
        <w:rPr/>
      </w:pPr>
      <w:r>
        <w:rPr/>
      </w:r>
    </w:p>
    <w:p>
      <w:pPr>
        <w:pStyle w:val="TextBody"/>
        <w:bidi w:val="0"/>
        <w:spacing w:lineRule="auto" w:line="288" w:before="0" w:after="0"/>
        <w:jc w:val="center"/>
        <w:rPr/>
      </w:pPr>
      <w:r>
        <w:rPr>
          <w:rFonts w:ascii="Times New Roman;serif" w:hAnsi="Times New Roman;serif"/>
          <w:b/>
          <w:color w:val="000000"/>
          <w:sz w:val="22"/>
        </w:rPr>
        <w:t xml:space="preserve">2202 North West Shore Boulevard, Suite 500, Tampa, </w:t>
      </w:r>
      <w:r>
        <w:rPr>
          <w:rFonts w:ascii="Times New Roman;serif" w:hAnsi="Times New Roman;serif"/>
          <w:b/>
          <w:color w:val="000000"/>
          <w:sz w:val="20"/>
        </w:rPr>
        <w:t>FL</w:t>
      </w:r>
      <w:r>
        <w:rPr>
          <w:color w:val="000000"/>
        </w:rPr>
        <w:t xml:space="preserve"> </w:t>
      </w:r>
      <w:r>
        <w:rPr>
          <w:rFonts w:ascii="Times New Roman;serif" w:hAnsi="Times New Roman;serif"/>
          <w:b/>
          <w:color w:val="000000"/>
          <w:sz w:val="22"/>
        </w:rPr>
        <w:t xml:space="preserve">33607 </w: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(Address of principal executive offices) (Zip Code)</w:t>
      </w:r>
    </w:p>
    <w:p>
      <w:pPr>
        <w:pStyle w:val="TextBody"/>
        <w:bidi w:val="0"/>
        <w:spacing w:before="0" w:after="0"/>
        <w:jc w:val="left"/>
        <w:rPr/>
      </w:pPr>
      <w:r>
        <w:rPr/>
      </w:r>
    </w:p>
    <w:p>
      <w:pPr>
        <w:pStyle w:val="TextBody"/>
        <w:bidi w:val="0"/>
        <w:spacing w:lineRule="auto" w:line="288" w:before="0" w:after="0"/>
        <w:jc w:val="center"/>
        <w:rPr/>
      </w:pPr>
      <w:r>
        <w:rPr>
          <w:rFonts w:ascii="Times New Roman;serif" w:hAnsi="Times New Roman;serif"/>
          <w:b w:val="false"/>
          <w:color w:val="000000"/>
          <w:sz w:val="22"/>
        </w:rPr>
        <w:t>Registrant’s telephone number, including area code  </w:t>
      </w:r>
      <w:r>
        <w:rPr>
          <w:rFonts w:ascii="Times New Roman;serif" w:hAnsi="Times New Roman;serif"/>
          <w:b/>
          <w:color w:val="000000"/>
          <w:sz w:val="22"/>
        </w:rPr>
        <w:t>(</w:t>
      </w:r>
      <w:r>
        <w:rPr>
          <w:rFonts w:ascii="Times New Roman;serif" w:hAnsi="Times New Roman;serif"/>
          <w:b/>
          <w:color w:val="000000"/>
          <w:sz w:val="20"/>
        </w:rPr>
        <w:t>813</w:t>
      </w:r>
      <w:r>
        <w:rPr>
          <w:rFonts w:ascii="Times New Roman;serif" w:hAnsi="Times New Roman;serif"/>
          <w:b/>
          <w:color w:val="000000"/>
          <w:sz w:val="22"/>
        </w:rPr>
        <w:t xml:space="preserve">) </w:t>
      </w:r>
      <w:r>
        <w:rPr>
          <w:rFonts w:ascii="Times New Roman;serif" w:hAnsi="Times New Roman;serif"/>
          <w:b/>
          <w:color w:val="000000"/>
          <w:sz w:val="20"/>
        </w:rPr>
        <w:t>282-1225</w:t>
      </w:r>
      <w:r>
        <w:rPr>
          <w:color w:val="000000"/>
        </w:rPr>
        <w:t xml:space="preserve"> </w:t>
      </w:r>
    </w:p>
    <w:p>
      <w:pPr>
        <w:pStyle w:val="TextBody"/>
        <w:bidi w:val="0"/>
        <w:spacing w:before="0" w:after="0"/>
        <w:jc w:val="left"/>
        <w:rPr/>
      </w:pPr>
      <w:r>
        <w:rPr/>
      </w:r>
    </w:p>
    <w:p>
      <w:pPr>
        <w:pStyle w:val="TextBody"/>
        <w:bidi w:val="0"/>
        <w:spacing w:lineRule="auto" w:line="288" w:before="0" w:after="0"/>
        <w:jc w:val="center"/>
        <w:rPr/>
      </w:pPr>
      <w:r>
        <w:rPr>
          <w:color w:val="000000"/>
        </w:rPr>
        <w:t> </w:t>
      </w:r>
      <w:r>
        <w:rPr>
          <w:rFonts w:ascii="Times New Roman;serif" w:hAnsi="Times New Roman;serif"/>
          <w:b/>
          <w:color w:val="000000"/>
          <w:sz w:val="22"/>
        </w:rPr>
        <w:t>N/A</w: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(Former name or former address, if changed since last report)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r>
    </w:p>
    <w:p>
      <w:pPr>
        <w:pStyle w:val="TextBody"/>
        <w:bidi w:val="0"/>
        <w:spacing w:lineRule="auto" w:line="288" w:before="0" w:after="0"/>
        <w:ind w:left="0" w:right="0" w:hanging="540"/>
        <w:jc w:val="left"/>
        <w:rPr/>
      </w:pPr>
      <w:r>
        <w:rPr>
          <w:color w:val="000000"/>
        </w:rPr>
        <w:t>☐    </w:t>
      </w:r>
      <w:r>
        <w:rPr>
          <w:rFonts w:ascii="Times New Roman;serif" w:hAnsi="Times New Roman;serif"/>
          <w:b w:val="false"/>
          <w:color w:val="000000"/>
          <w:sz w:val="22"/>
        </w:rPr>
        <w:t>Written communications pursuant to Rule 425 under the Securities Act (17 CFR 230.425)</w:t>
      </w:r>
    </w:p>
    <w:p>
      <w:pPr>
        <w:pStyle w:val="TextBody"/>
        <w:bidi w:val="0"/>
        <w:spacing w:lineRule="auto" w:line="288" w:before="0" w:after="0"/>
        <w:ind w:left="0" w:right="0" w:hanging="540"/>
        <w:jc w:val="left"/>
        <w:rPr/>
      </w:pPr>
      <w:r>
        <w:rPr>
          <w:color w:val="000000"/>
        </w:rPr>
        <w:t>☐    </w:t>
      </w:r>
      <w:r>
        <w:rPr>
          <w:rFonts w:ascii="Times New Roman;serif" w:hAnsi="Times New Roman;serif"/>
          <w:b w:val="false"/>
          <w:color w:val="000000"/>
          <w:sz w:val="22"/>
        </w:rPr>
        <w:t>Soliciting material pursuant to Rule 14a-12 under the Exchange Act (17 CFR 240.14a-12)</w:t>
      </w:r>
    </w:p>
    <w:p>
      <w:pPr>
        <w:pStyle w:val="TextBody"/>
        <w:bidi w:val="0"/>
        <w:spacing w:lineRule="auto" w:line="288" w:before="0" w:after="0"/>
        <w:ind w:left="0" w:right="0" w:hanging="540"/>
        <w:jc w:val="left"/>
        <w:rPr/>
      </w:pPr>
      <w:r>
        <w:rPr>
          <w:color w:val="000000"/>
        </w:rPr>
        <w:t>☐    </w:t>
      </w:r>
      <w:r>
        <w:rPr>
          <w:rFonts w:ascii="Times New Roman;serif" w:hAnsi="Times New Roman;serif"/>
          <w:b w:val="false"/>
          <w:color w:val="000000"/>
          <w:sz w:val="22"/>
        </w:rPr>
        <w:t>Pre-commencement communications pursuant to Rule 14d-2(b) under the Exchange Act (17 CFR 240.14d-2(b))</w:t>
      </w:r>
    </w:p>
    <w:p>
      <w:pPr>
        <w:pStyle w:val="TextBody"/>
        <w:bidi w:val="0"/>
        <w:spacing w:lineRule="auto" w:line="288" w:before="0" w:after="0"/>
        <w:ind w:left="0" w:right="0" w:hanging="540"/>
        <w:jc w:val="left"/>
        <w:rPr/>
      </w:pPr>
      <w:r>
        <w:rPr>
          <w:color w:val="000000"/>
        </w:rPr>
        <w:t>☐    </w:t>
      </w:r>
      <w:r>
        <w:rPr>
          <w:rFonts w:ascii="Times New Roman;serif" w:hAnsi="Times New Roman;serif"/>
          <w:b w:val="false"/>
          <w:color w:val="000000"/>
          <w:sz w:val="22"/>
        </w:rPr>
        <w:t>Pre-commencement communications pursuant to Rule 13e-4(c) under the Exchange Act (17 CFR 240.13e-4(c))</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Securities registered pursuant to Section 12(b) of the Act:</w:t>
      </w:r>
    </w:p>
    <w:tbl>
      <w:tblPr>
        <w:tblW w:w="7971" w:type="dxa"/>
        <w:jc w:val="center"/>
        <w:tblInd w:w="0" w:type="dxa"/>
        <w:tblLayout w:type="fixed"/>
        <w:tblCellMar>
          <w:top w:w="28" w:type="dxa"/>
          <w:left w:w="28" w:type="dxa"/>
          <w:bottom w:w="28" w:type="dxa"/>
          <w:right w:w="28" w:type="dxa"/>
        </w:tblCellMar>
      </w:tblPr>
      <w:tblGrid>
        <w:gridCol w:w="477"/>
        <w:gridCol w:w="420"/>
        <w:gridCol w:w="422"/>
        <w:gridCol w:w="425"/>
        <w:gridCol w:w="425"/>
        <w:gridCol w:w="425"/>
        <w:gridCol w:w="109"/>
        <w:gridCol w:w="109"/>
        <w:gridCol w:w="109"/>
        <w:gridCol w:w="484"/>
        <w:gridCol w:w="484"/>
        <w:gridCol w:w="486"/>
        <w:gridCol w:w="109"/>
        <w:gridCol w:w="109"/>
        <w:gridCol w:w="109"/>
        <w:gridCol w:w="956"/>
        <w:gridCol w:w="956"/>
        <w:gridCol w:w="1357"/>
      </w:tblGrid>
      <w:tr>
        <w:trPr/>
        <w:tc>
          <w:tcPr>
            <w:tcW w:w="477"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r>
      <w:tr>
        <w:trPr/>
        <w:tc>
          <w:tcPr>
            <w:tcW w:w="259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Name of each exchange on which registered</w:t>
            </w:r>
          </w:p>
        </w:tc>
      </w:tr>
      <w:tr>
        <w:trPr/>
        <w:tc>
          <w:tcPr>
            <w:tcW w:w="131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Common Stock</w:t>
            </w:r>
          </w:p>
        </w:tc>
        <w:tc>
          <w:tcPr>
            <w:tcW w:w="127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$0.01 par value</w:t>
            </w:r>
          </w:p>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BLMN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 xml:space="preserve">The Nasdaq Stock Market LLC </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(Nasdaq Global Select Market)</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is an emerging growth company as defined in Rule 405 of the Securities Act of 1933 (§230.405 of this chapter) or Rule 12b-2 of the Securities Exchange Act of 1934 (§240.12b-2 of this chapter).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Emerging growth company </w:t>
      </w:r>
      <w:r>
        <w:rPr>
          <w:color w:val="000000"/>
        </w:rPr>
        <w:t xml:space="preserve">☐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 xml:space="preserve">☐ </w:t>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bottom w:val="single" w:sz="2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2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2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2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bottom w:val="single" w:sz="2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ind w:left="0" w:right="0" w:hanging="1440"/>
        <w:jc w:val="left"/>
        <w:rPr/>
      </w:pPr>
      <w:r>
        <w:rPr>
          <w:rFonts w:ascii="Times New Roman;serif" w:hAnsi="Times New Roman;serif"/>
          <w:b/>
          <w:color w:val="000000"/>
          <w:sz w:val="22"/>
        </w:rPr>
        <w:t>Item 2.02</w:t>
      </w:r>
      <w:r>
        <w:rPr>
          <w:color w:val="000000"/>
        </w:rPr>
        <w:t>    </w:t>
      </w:r>
      <w:r>
        <w:rPr>
          <w:rFonts w:ascii="Times New Roman;serif" w:hAnsi="Times New Roman;serif"/>
          <w:b/>
          <w:color w:val="000000"/>
          <w:sz w:val="22"/>
        </w:rPr>
        <w:t xml:space="preserve">Results of Operations and Financial Condition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On August 5, 2026, Bloomin’ Brands, Inc. issued a press release reporting its financial results for the thirteen weeks ended June 28, 2026. A copy of the release is attached as Exhibit 99.1. In addition, the slide presentation accompanying the Company’s conference call will be posted on the Company’s website.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The information in Item 2.02 of this Current Report on Form 8-K, including Exhibit 99.1, shall not be deemed “filed” for purposes of Section 18 of the Securities Exchange Act of 1934, as amended (the “Exchange Act”), or otherwise subject to the liabilities of that section, nor shall it be deemed incorporated by reference into any other filing under the Securities Act or the Exchange Act, except as expressly set forth by specific reference in such a filing.</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Item 9.01    Financial Statements and Exhibits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(d) Exhibits.</w:t>
      </w:r>
    </w:p>
    <w:tbl>
      <w:tblPr>
        <w:tblW w:w="9145" w:type="dxa"/>
        <w:jc w:val="center"/>
        <w:tblInd w:w="0" w:type="dxa"/>
        <w:tblLayout w:type="fixed"/>
        <w:tblCellMar>
          <w:top w:w="28" w:type="dxa"/>
          <w:left w:w="28" w:type="dxa"/>
          <w:bottom w:w="28" w:type="dxa"/>
          <w:right w:w="28" w:type="dxa"/>
        </w:tblCellMar>
      </w:tblPr>
      <w:tblGrid>
        <w:gridCol w:w="124"/>
        <w:gridCol w:w="109"/>
        <w:gridCol w:w="109"/>
        <w:gridCol w:w="290"/>
        <w:gridCol w:w="290"/>
        <w:gridCol w:w="291"/>
        <w:gridCol w:w="109"/>
        <w:gridCol w:w="109"/>
        <w:gridCol w:w="109"/>
        <w:gridCol w:w="2224"/>
        <w:gridCol w:w="2224"/>
        <w:gridCol w:w="315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4" w:type="dxa"/>
            <w:tcBorders/>
            <w:vAlign w:val="center"/>
          </w:tcPr>
          <w:p>
            <w:pPr>
              <w:pStyle w:val="TableContents"/>
              <w:bidi w:val="0"/>
              <w:spacing w:before="0" w:after="283"/>
              <w:jc w:val="left"/>
              <w:rPr>
                <w:sz w:val="4"/>
                <w:szCs w:val="4"/>
              </w:rPr>
            </w:pPr>
            <w:r>
              <w:rPr>
                <w:sz w:val="4"/>
                <w:szCs w:val="4"/>
              </w:rPr>
            </w:r>
          </w:p>
        </w:tc>
        <w:tc>
          <w:tcPr>
            <w:tcW w:w="2224" w:type="dxa"/>
            <w:tcBorders/>
            <w:vAlign w:val="center"/>
          </w:tcPr>
          <w:p>
            <w:pPr>
              <w:pStyle w:val="TableContents"/>
              <w:bidi w:val="0"/>
              <w:spacing w:before="0" w:after="283"/>
              <w:jc w:val="left"/>
              <w:rPr>
                <w:sz w:val="4"/>
                <w:szCs w:val="4"/>
              </w:rPr>
            </w:pPr>
            <w:r>
              <w:rPr>
                <w:sz w:val="4"/>
                <w:szCs w:val="4"/>
              </w:rPr>
            </w:r>
          </w:p>
        </w:tc>
        <w:tc>
          <w:tcPr>
            <w:tcW w:w="31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Exhibit </w:t>
            </w:r>
          </w:p>
          <w:p>
            <w:pPr>
              <w:pStyle w:val="TableContents"/>
              <w:bidi w:val="0"/>
              <w:spacing w:lineRule="auto" w:line="240" w:before="0" w:after="0"/>
              <w:jc w:val="left"/>
              <w:rPr>
                <w:rFonts w:ascii="Times New Roman;serif" w:hAnsi="Times New Roman;serif"/>
                <w:b w:val="false"/>
                <w:color w:val="000000"/>
                <w:sz w:val="22"/>
                <w:u w:val="single"/>
              </w:rPr>
            </w:pPr>
            <w:r>
              <w:rPr>
                <w:rFonts w:ascii="Times New Roman;serif" w:hAnsi="Times New Roman;serif"/>
                <w:b w:val="false"/>
                <w:color w:val="000000"/>
                <w:sz w:val="22"/>
                <w:u w:val="single"/>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5"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p>
            <w:pPr>
              <w:pStyle w:val="TableContents"/>
              <w:bidi w:val="0"/>
              <w:spacing w:lineRule="auto" w:line="240" w:before="0" w:after="0"/>
              <w:jc w:val="left"/>
              <w:rPr>
                <w:rFonts w:ascii="Times New Roman;serif" w:hAnsi="Times New Roman;serif"/>
                <w:b w:val="false"/>
                <w:color w:val="000000"/>
                <w:sz w:val="22"/>
                <w:u w:val="single"/>
              </w:rPr>
            </w:pPr>
            <w:r>
              <w:rPr>
                <w:rFonts w:ascii="Times New Roman;serif" w:hAnsi="Times New Roman;serif"/>
                <w:b w:val="false"/>
                <w:color w:val="000000"/>
                <w:sz w:val="22"/>
                <w:u w:val="single"/>
              </w:rPr>
              <w:t>Description</w:t>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05"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5"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991-earningsq226pressrel.htm">
              <w:r>
                <w:rPr>
                  <w:rStyle w:val="InternetLink"/>
                  <w:rFonts w:ascii="Times New Roman;serif" w:hAnsi="Times New Roman;serif"/>
                  <w:b w:val="false"/>
                  <w:color w:val="000080"/>
                  <w:sz w:val="22"/>
                  <w:u w:val="single"/>
                </w:rPr>
                <w:t xml:space="preserve">Press Release of Bloomin’ Brands, Inc. dated </w:t>
              </w:r>
            </w:hyperlink>
            <w:hyperlink w:anchor="ex991-earningsq226pressrel.htm">
              <w:r>
                <w:rPr>
                  <w:rStyle w:val="InternetLink"/>
                  <w:rFonts w:ascii="Times New Roman;serif" w:hAnsi="Times New Roman;serif"/>
                  <w:b w:val="false"/>
                  <w:color w:val="000080"/>
                  <w:sz w:val="22"/>
                  <w:u w:val="single"/>
                </w:rPr>
                <w:t>August</w:t>
              </w:r>
            </w:hyperlink>
            <w:hyperlink w:anchor="ex991-earningsq226pressrel.htm">
              <w:r>
                <w:rPr>
                  <w:rStyle w:val="InternetLink"/>
                  <w:rFonts w:ascii="Times New Roman;serif" w:hAnsi="Times New Roman;serif"/>
                  <w:b w:val="false"/>
                  <w:color w:val="000080"/>
                  <w:sz w:val="22"/>
                  <w:u w:val="single"/>
                </w:rPr>
                <w:t xml:space="preserve"> </w:t>
              </w:r>
            </w:hyperlink>
            <w:hyperlink w:anchor="ex991-earningsq226pressrel.htm">
              <w:r>
                <w:rPr>
                  <w:rStyle w:val="InternetLink"/>
                  <w:rFonts w:ascii="Times New Roman;serif" w:hAnsi="Times New Roman;serif"/>
                  <w:b w:val="false"/>
                  <w:color w:val="000080"/>
                  <w:sz w:val="22"/>
                  <w:u w:val="single"/>
                </w:rPr>
                <w:t>5</w:t>
              </w:r>
            </w:hyperlink>
            <w:hyperlink w:anchor="ex991-earningsq226pressrel.htm">
              <w:r>
                <w:rPr>
                  <w:rStyle w:val="InternetLink"/>
                  <w:rFonts w:ascii="Times New Roman;serif" w:hAnsi="Times New Roman;serif"/>
                  <w:b w:val="false"/>
                  <w:color w:val="000080"/>
                  <w:sz w:val="22"/>
                  <w:u w:val="single"/>
                </w:rPr>
                <w:t>, 2026</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Cover Page Interactive Data File (embedded within the Inline XBRL document)</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SIGNATURE</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pPr>
      <w:r>
        <w:rPr/>
      </w:r>
    </w:p>
    <w:p>
      <w:pPr>
        <w:pStyle w:val="TextBody"/>
        <w:bidi w:val="0"/>
        <w:spacing w:before="0" w:after="0"/>
        <w:jc w:val="left"/>
        <w:rPr/>
      </w:pPr>
      <w:r>
        <w:rPr/>
      </w:r>
    </w:p>
    <w:tbl>
      <w:tblPr>
        <w:tblW w:w="7707" w:type="dxa"/>
        <w:jc w:val="left"/>
        <w:tblInd w:w="0" w:type="dxa"/>
        <w:tblLayout w:type="fixed"/>
        <w:tblCellMar>
          <w:top w:w="28" w:type="dxa"/>
          <w:left w:w="28" w:type="dxa"/>
          <w:bottom w:w="28" w:type="dxa"/>
          <w:right w:w="28" w:type="dxa"/>
        </w:tblCellMar>
      </w:tblPr>
      <w:tblGrid>
        <w:gridCol w:w="222"/>
        <w:gridCol w:w="196"/>
        <w:gridCol w:w="197"/>
        <w:gridCol w:w="519"/>
        <w:gridCol w:w="519"/>
        <w:gridCol w:w="521"/>
        <w:gridCol w:w="144"/>
        <w:gridCol w:w="144"/>
        <w:gridCol w:w="146"/>
        <w:gridCol w:w="1490"/>
        <w:gridCol w:w="1490"/>
        <w:gridCol w:w="2119"/>
      </w:tblGrid>
      <w:tr>
        <w:trPr/>
        <w:tc>
          <w:tcPr>
            <w:tcW w:w="22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90" w:type="dxa"/>
            <w:tcBorders/>
            <w:vAlign w:val="center"/>
          </w:tcPr>
          <w:p>
            <w:pPr>
              <w:pStyle w:val="TableContents"/>
              <w:bidi w:val="0"/>
              <w:spacing w:before="0" w:after="283"/>
              <w:jc w:val="left"/>
              <w:rPr>
                <w:sz w:val="4"/>
                <w:szCs w:val="4"/>
              </w:rPr>
            </w:pPr>
            <w:r>
              <w:rPr>
                <w:sz w:val="4"/>
                <w:szCs w:val="4"/>
              </w:rPr>
            </w:r>
          </w:p>
        </w:tc>
        <w:tc>
          <w:tcPr>
            <w:tcW w:w="1490" w:type="dxa"/>
            <w:tcBorders/>
            <w:vAlign w:val="center"/>
          </w:tcPr>
          <w:p>
            <w:pPr>
              <w:pStyle w:val="TableContents"/>
              <w:bidi w:val="0"/>
              <w:spacing w:before="0" w:after="283"/>
              <w:jc w:val="left"/>
              <w:rPr>
                <w:sz w:val="4"/>
                <w:szCs w:val="4"/>
              </w:rPr>
            </w:pPr>
            <w:r>
              <w:rPr>
                <w:sz w:val="4"/>
                <w:szCs w:val="4"/>
              </w:rPr>
            </w:r>
          </w:p>
        </w:tc>
        <w:tc>
          <w:tcPr>
            <w:tcW w:w="2119" w:type="dxa"/>
            <w:tcBorders/>
            <w:vAlign w:val="center"/>
          </w:tcPr>
          <w:p>
            <w:pPr>
              <w:pStyle w:val="TableContents"/>
              <w:bidi w:val="0"/>
              <w:spacing w:before="0" w:after="283"/>
              <w:jc w:val="left"/>
              <w:rPr>
                <w:sz w:val="4"/>
                <w:szCs w:val="4"/>
              </w:rPr>
            </w:pPr>
            <w:r>
              <w:rPr>
                <w:sz w:val="4"/>
                <w:szCs w:val="4"/>
              </w:rPr>
            </w:r>
          </w:p>
        </w:tc>
      </w:tr>
      <w:tr>
        <w:trPr/>
        <w:tc>
          <w:tcPr>
            <w:tcW w:w="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BLOOMIN’ BRANDS, INC.</w:t>
            </w:r>
          </w:p>
        </w:tc>
      </w:tr>
      <w:tr>
        <w:trPr/>
        <w:tc>
          <w:tcPr>
            <w:tcW w:w="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(Registrant)</w:t>
            </w:r>
          </w:p>
        </w:tc>
      </w:tr>
      <w:tr>
        <w:trPr/>
        <w:tc>
          <w:tcPr>
            <w:tcW w:w="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Date:</w:t>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August 5, 2026</w:t>
            </w:r>
          </w:p>
        </w:tc>
        <w:tc>
          <w:tcPr>
            <w:tcW w:w="4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By:</w:t>
            </w:r>
          </w:p>
        </w:tc>
        <w:tc>
          <w:tcPr>
            <w:tcW w:w="5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 Eric Christel</w:t>
            </w:r>
          </w:p>
        </w:tc>
      </w:tr>
      <w:tr>
        <w:trPr/>
        <w:tc>
          <w:tcPr>
            <w:tcW w:w="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Eric Christel</w:t>
            </w:r>
          </w:p>
        </w:tc>
      </w:tr>
      <w:tr>
        <w:trPr/>
        <w:tc>
          <w:tcPr>
            <w:tcW w:w="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Executive Vice President and Chief Financial Officer</w:t>
              <w:br/>
              <w:t>(Principal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6439" w:type="dxa"/>
        <w:jc w:val="center"/>
        <w:tblInd w:w="0" w:type="dxa"/>
        <w:tblLayout w:type="fixed"/>
        <w:tblCellMar>
          <w:top w:w="28" w:type="dxa"/>
          <w:left w:w="28" w:type="dxa"/>
          <w:bottom w:w="28" w:type="dxa"/>
          <w:right w:w="28" w:type="dxa"/>
        </w:tblCellMar>
      </w:tblPr>
      <w:tblGrid>
        <w:gridCol w:w="428"/>
        <w:gridCol w:w="376"/>
        <w:gridCol w:w="377"/>
        <w:gridCol w:w="109"/>
        <w:gridCol w:w="109"/>
        <w:gridCol w:w="109"/>
        <w:gridCol w:w="1089"/>
        <w:gridCol w:w="1089"/>
        <w:gridCol w:w="1091"/>
        <w:gridCol w:w="109"/>
        <w:gridCol w:w="109"/>
        <w:gridCol w:w="109"/>
        <w:gridCol w:w="390"/>
        <w:gridCol w:w="390"/>
        <w:gridCol w:w="555"/>
      </w:tblGrid>
      <w:tr>
        <w:trPr/>
        <w:tc>
          <w:tcPr>
            <w:tcW w:w="428"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r>
      <w:tr>
        <w:trPr/>
        <w:tc>
          <w:tcPr>
            <w:tcW w:w="1181" w:type="dxa"/>
            <w:gridSpan w:val="3"/>
            <w:vMerge w:val="restart"/>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685800" cy="1104900"/>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3"/>
                          <a:stretch>
                            <a:fillRect/>
                          </a:stretch>
                        </pic:blipFill>
                        <pic:spPr bwMode="auto">
                          <a:xfrm>
                            <a:off x="0" y="0"/>
                            <a:ext cx="685800" cy="1104900"/>
                          </a:xfrm>
                          <a:prstGeom prst="rect">
                            <a:avLst/>
                          </a:prstGeom>
                        </pic:spPr>
                      </pic:pic>
                    </a:graphicData>
                  </a:graphic>
                </wp:inline>
              </w:drawing>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84"/>
              </w:rPr>
            </w:pPr>
            <w:r>
              <w:rPr>
                <w:rFonts w:ascii="Times New Roman;serif" w:hAnsi="Times New Roman;serif"/>
                <w:b w:val="false"/>
                <w:color w:val="000000"/>
                <w:sz w:val="84"/>
              </w:rPr>
              <w:t>NEWS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2"/>
              </w:rPr>
            </w:pPr>
            <w:r>
              <w:rPr>
                <w:rFonts w:ascii="Times New Roman;serif" w:hAnsi="Times New Roman;serif"/>
                <w:b/>
                <w:color w:val="000000"/>
                <w:sz w:val="22"/>
              </w:rPr>
              <w:t>Exhibit 99.1</w:t>
            </w:r>
          </w:p>
        </w:tc>
      </w:tr>
      <w:tr>
        <w:trPr/>
        <w:tc>
          <w:tcPr>
            <w:tcW w:w="118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Tara Kurian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SVP, IR, FP&amp;A, and International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(813) 830-5311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Bloomin’ Brands Announces 2026 Q2 Financial Results</w:t>
      </w:r>
    </w:p>
    <w:p>
      <w:pPr>
        <w:pStyle w:val="TextBody"/>
        <w:bidi w:val="0"/>
        <w:spacing w:lineRule="auto" w:line="276" w:before="0" w:after="0"/>
        <w:jc w:val="center"/>
        <w:rPr/>
      </w:pPr>
      <w:r>
        <w:rPr>
          <w:rFonts w:ascii="Times New Roman;serif" w:hAnsi="Times New Roman;serif"/>
          <w:b/>
          <w:color w:val="000000"/>
          <w:sz w:val="22"/>
        </w:rPr>
        <w:t>Q2 Diluted EPS of $0.37</w:t>
      </w:r>
      <w:r>
        <w:rPr>
          <w:color w:val="000000"/>
        </w:rPr>
        <w:t xml:space="preserve"> </w:t>
      </w:r>
      <w:r>
        <w:rPr>
          <w:rFonts w:ascii="Times New Roman;serif" w:hAnsi="Times New Roman;serif"/>
          <w:b/>
          <w:color w:val="000000"/>
          <w:sz w:val="22"/>
        </w:rPr>
        <w:t xml:space="preserve">and Q2 Adjusted Diluted EPS of $0.39 </w:t>
      </w:r>
    </w:p>
    <w:p>
      <w:pPr>
        <w:pStyle w:val="TextBody"/>
        <w:bidi w:val="0"/>
        <w:spacing w:lineRule="auto" w:line="276" w:before="0" w:after="0"/>
        <w:jc w:val="center"/>
        <w:rPr>
          <w:rFonts w:ascii="Times New Roman;serif" w:hAnsi="Times New Roman;serif"/>
          <w:b/>
          <w:color w:val="000000"/>
          <w:sz w:val="22"/>
        </w:rPr>
      </w:pPr>
      <w:r>
        <w:rPr>
          <w:rFonts w:ascii="Times New Roman;serif" w:hAnsi="Times New Roman;serif"/>
          <w:b/>
          <w:color w:val="000000"/>
          <w:sz w:val="22"/>
        </w:rPr>
        <w:t>Raises Full-Year Diluted and Adjusted Diluted EPS Guidance</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both"/>
        <w:rPr/>
      </w:pPr>
      <w:r>
        <w:rPr>
          <w:rFonts w:ascii="Times New Roman;serif" w:hAnsi="Times New Roman;serif"/>
          <w:b/>
          <w:color w:val="000000"/>
          <w:sz w:val="22"/>
        </w:rPr>
        <w:t>TAMPA, Fla., August 5, 2026</w:t>
      </w:r>
      <w:r>
        <w:rPr>
          <w:color w:val="000000"/>
        </w:rPr>
        <w:t xml:space="preserve"> </w:t>
      </w:r>
      <w:r>
        <w:rPr>
          <w:rFonts w:ascii="Times New Roman;serif" w:hAnsi="Times New Roman;serif"/>
          <w:b w:val="false"/>
          <w:color w:val="000000"/>
          <w:sz w:val="22"/>
        </w:rPr>
        <w:t>- Bloomin’ Brands, Inc. (Nasdaq: BLMN) today reported results for the second quarter 2026 (“Q2 2026”) compared to the second quarter 2025 (“Q2 2025”).</w:t>
      </w:r>
    </w:p>
    <w:p>
      <w:pPr>
        <w:pStyle w:val="TextBody"/>
        <w:bidi w:val="0"/>
        <w:spacing w:before="0" w:after="0"/>
        <w:jc w:val="both"/>
        <w:rPr/>
      </w:pPr>
      <w:r>
        <w:rPr/>
      </w:r>
    </w:p>
    <w:p>
      <w:pPr>
        <w:pStyle w:val="TextBody"/>
        <w:bidi w:val="0"/>
        <w:spacing w:lineRule="auto" w:line="288" w:before="0" w:after="60"/>
        <w:jc w:val="left"/>
        <w:rPr/>
      </w:pPr>
      <w:r>
        <w:rPr>
          <w:rFonts w:ascii="Times New Roman;serif" w:hAnsi="Times New Roman;serif"/>
          <w:b/>
          <w:color w:val="000000"/>
          <w:sz w:val="22"/>
          <w:u w:val="single"/>
        </w:rPr>
        <w:t>CEO Comments</w:t>
      </w:r>
      <w:r>
        <w:rPr>
          <w:color w:val="000000"/>
        </w:rPr>
        <w:t xml:space="preserve"> </w:t>
      </w:r>
    </w:p>
    <w:p>
      <w:pPr>
        <w:pStyle w:val="TextBody"/>
        <w:bidi w:val="0"/>
        <w:spacing w:lineRule="auto" w:line="276" w:before="0" w:after="0"/>
        <w:jc w:val="both"/>
        <w:rPr>
          <w:color w:val="000000"/>
        </w:rPr>
      </w:pPr>
      <w:r>
        <w:rPr>
          <w:color w:val="000000"/>
        </w:rPr>
        <w:t>“</w:t>
      </w:r>
      <w:r>
        <w:rPr>
          <w:rFonts w:ascii="Times New Roman;serif" w:hAnsi="Times New Roman;serif"/>
          <w:b w:val="false"/>
          <w:color w:val="000000"/>
          <w:sz w:val="22"/>
        </w:rPr>
        <w:t>I am pleased with our financial results in the second quarter and our continued progress on the Outback Turnaround, which has led us to raise our full year earnings guidance,” said Mike Spanos, CEO. “We remain focused on consistency of execution across food, service, experience, and affordability to deliver a great guest experience.”</w:t>
      </w:r>
    </w:p>
    <w:p>
      <w:pPr>
        <w:pStyle w:val="TextBody"/>
        <w:bidi w:val="0"/>
        <w:spacing w:before="0" w:after="0"/>
        <w:jc w:val="both"/>
        <w:rPr/>
      </w:pPr>
      <w:r>
        <w:rPr/>
      </w:r>
    </w:p>
    <w:p>
      <w:pPr>
        <w:pStyle w:val="TextBody"/>
        <w:bidi w:val="0"/>
        <w:spacing w:lineRule="auto" w:line="288" w:before="0" w:after="60"/>
        <w:jc w:val="both"/>
        <w:rPr>
          <w:rFonts w:ascii="Times New Roman;serif" w:hAnsi="Times New Roman;serif"/>
          <w:b/>
          <w:color w:val="000000"/>
          <w:sz w:val="22"/>
          <w:u w:val="single"/>
        </w:rPr>
      </w:pPr>
      <w:r>
        <w:rPr>
          <w:rFonts w:ascii="Times New Roman;serif" w:hAnsi="Times New Roman;serif"/>
          <w:b/>
          <w:color w:val="000000"/>
          <w:sz w:val="22"/>
          <w:u w:val="single"/>
        </w:rPr>
        <w:t>Diluted EPS and Adjusted Diluted EPS</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The following table reconciles Diluted earnings per share from continuing operations to Adjusted diluted earnings per share from continuing operations for the periods indicated (unaudited):</w:t>
      </w:r>
    </w:p>
    <w:tbl>
      <w:tblPr>
        <w:tblW w:w="7051" w:type="dxa"/>
        <w:jc w:val="left"/>
        <w:tblInd w:w="0" w:type="dxa"/>
        <w:tblLayout w:type="fixed"/>
        <w:tblCellMar>
          <w:top w:w="28" w:type="dxa"/>
          <w:left w:w="28" w:type="dxa"/>
          <w:bottom w:w="28" w:type="dxa"/>
          <w:right w:w="28" w:type="dxa"/>
        </w:tblCellMar>
      </w:tblPr>
      <w:tblGrid>
        <w:gridCol w:w="1042"/>
        <w:gridCol w:w="914"/>
        <w:gridCol w:w="923"/>
        <w:gridCol w:w="109"/>
        <w:gridCol w:w="109"/>
        <w:gridCol w:w="109"/>
        <w:gridCol w:w="109"/>
        <w:gridCol w:w="109"/>
        <w:gridCol w:w="109"/>
        <w:gridCol w:w="109"/>
        <w:gridCol w:w="109"/>
        <w:gridCol w:w="196"/>
        <w:gridCol w:w="466"/>
        <w:gridCol w:w="109"/>
        <w:gridCol w:w="109"/>
        <w:gridCol w:w="109"/>
        <w:gridCol w:w="109"/>
        <w:gridCol w:w="196"/>
        <w:gridCol w:w="466"/>
        <w:gridCol w:w="109"/>
        <w:gridCol w:w="109"/>
        <w:gridCol w:w="109"/>
        <w:gridCol w:w="109"/>
        <w:gridCol w:w="213"/>
        <w:gridCol w:w="508"/>
        <w:gridCol w:w="120"/>
        <w:gridCol w:w="109"/>
        <w:gridCol w:w="154"/>
      </w:tblGrid>
      <w:tr>
        <w:trPr/>
        <w:tc>
          <w:tcPr>
            <w:tcW w:w="1042"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79"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9" w:type="dxa"/>
            <w:gridSpan w:val="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right w:val="single" w:sz="8"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879"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right w:val="single" w:sz="8" w:space="0" w:color="000000"/>
            </w:tcBorders>
            <w:tcMar>
              <w:top w:w="0" w:type="dxa"/>
              <w:left w:w="0" w:type="dxa"/>
              <w:bottom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7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7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7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7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7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79"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 earnings per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0.37 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0.29 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08"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0.08 </w:t>
            </w:r>
          </w:p>
        </w:tc>
        <w:tc>
          <w:tcPr>
            <w:tcW w:w="120" w:type="dxa"/>
            <w:tcBorders>
              <w:top w:val="single" w:sz="16" w:space="0" w:color="000000"/>
              <w:right w:val="single" w:sz="8" w:space="0" w:color="000000"/>
            </w:tcBorders>
            <w:shd w:fill="CCEE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79" w:type="dxa"/>
            <w:gridSpan w:val="3"/>
            <w:tcBorders>
              <w:left w:val="single" w:sz="8" w:space="0" w:color="000000"/>
            </w:tcBorders>
            <w:shd w:fill="FFFFFF" w:val="clear"/>
            <w:tcMar>
              <w:top w:w="0" w:type="dxa"/>
              <w:left w:w="14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(0.01)</w:t>
            </w:r>
          </w:p>
        </w:tc>
        <w:tc>
          <w:tcPr>
            <w:tcW w:w="120"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79"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diluted earnings per share (1)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0.39 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0.32 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08"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0.07 </w:t>
            </w:r>
          </w:p>
        </w:tc>
        <w:tc>
          <w:tcPr>
            <w:tcW w:w="120" w:type="dxa"/>
            <w:tcBorders>
              <w:top w:val="single" w:sz="16" w:space="0" w:color="000000"/>
              <w:right w:val="single" w:sz="8" w:space="0" w:color="000000"/>
            </w:tcBorders>
            <w:shd w:fill="CCEE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7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7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7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1431" w:type="dxa"/>
            <w:gridSpan w:val="8"/>
            <w:tcBorders/>
          </w:tcPr>
          <w:p>
            <w:pPr>
              <w:pStyle w:val="TableContents"/>
              <w:bidi w:val="0"/>
              <w:spacing w:before="0" w:after="283"/>
              <w:jc w:val="left"/>
              <w:rPr>
                <w:sz w:val="4"/>
                <w:szCs w:val="4"/>
              </w:rPr>
            </w:pPr>
            <w:r>
              <w:rPr>
                <w:sz w:val="4"/>
                <w:szCs w:val="4"/>
              </w:rPr>
            </w:r>
          </w:p>
        </w:tc>
      </w:tr>
      <w:tr>
        <w:trPr/>
        <w:tc>
          <w:tcPr>
            <w:tcW w:w="287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7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7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7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79" w:type="dxa"/>
            <w:gridSpan w:val="3"/>
            <w:tcBorders>
              <w:left w:val="single" w:sz="8" w:space="0" w:color="000000"/>
              <w:bottom w:val="single" w:sz="8" w:space="0" w:color="000000"/>
            </w:tcBorders>
            <w:shd w:fill="FFFFFF" w:val="clear"/>
            <w:tcMar>
              <w:top w:w="0" w:type="dxa"/>
              <w:left w:w="14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1" w:type="dxa"/>
            <w:gridSpan w:val="3"/>
            <w:tcBorders>
              <w:top w:val="doub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doub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double" w:sz="8" w:space="0" w:color="000000"/>
              <w:bottom w:val="single" w:sz="8" w:space="0" w:color="000000"/>
              <w:right w:val="single" w:sz="8" w:space="0" w:color="000000"/>
            </w:tcBorders>
            <w:shd w:fill="FFFFFF" w:val="clear"/>
            <w:tcMar>
              <w:lef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12"/>
        </w:rPr>
      </w:pPr>
      <w:r>
        <w:rPr>
          <w:rFonts w:ascii="Times New Roman;serif" w:hAnsi="Times New Roman;serif"/>
          <w:b w:val="false"/>
          <w:color w:val="000000"/>
          <w:sz w:val="12"/>
        </w:rPr>
        <w:t>___________________</w:t>
      </w:r>
    </w:p>
    <w:p>
      <w:pPr>
        <w:pStyle w:val="TextBody"/>
        <w:bidi w:val="0"/>
        <w:spacing w:lineRule="auto" w:line="288" w:before="0" w:after="0"/>
        <w:ind w:left="0" w:right="0" w:hanging="720"/>
        <w:jc w:val="both"/>
        <w:rPr>
          <w:rFonts w:ascii="Times New Roman;serif" w:hAnsi="Times New Roman;serif"/>
          <w:b w:val="false"/>
          <w:color w:val="000000"/>
          <w:sz w:val="18"/>
        </w:rPr>
      </w:pPr>
      <w:r>
        <w:rPr>
          <w:rFonts w:ascii="Times New Roman;serif" w:hAnsi="Times New Roman;serif"/>
          <w:b w:val="false"/>
          <w:color w:val="000000"/>
          <w:sz w:val="18"/>
        </w:rPr>
        <w:t>(1)Adjustments for Q2 2026 and Q2 2025 primarily relate to costs in connection with transformational and restructuring initiatives. Q2 2025 also includes costs associated with the foreign currency forward contracts. See non-GAAP Measures later in this release. Also see Tables Five and Six for further details regarding the nature of diluted earnings per share adjustments for the periods presented.</w:t>
      </w:r>
    </w:p>
    <w:p>
      <w:pPr>
        <w:pStyle w:val="TextBody"/>
        <w:bidi w:val="0"/>
        <w:spacing w:before="0" w:after="0"/>
        <w:ind w:left="0" w:right="0" w:hanging="360"/>
        <w:jc w:val="both"/>
        <w:rPr/>
      </w:pPr>
      <w:r>
        <w:rPr/>
      </w:r>
    </w:p>
    <w:p>
      <w:pPr>
        <w:pStyle w:val="TextBody"/>
        <w:bidi w:val="0"/>
        <w:spacing w:lineRule="auto" w:line="288" w:before="0" w:after="60"/>
        <w:jc w:val="both"/>
        <w:rPr>
          <w:rFonts w:ascii="Times New Roman;serif" w:hAnsi="Times New Roman;serif"/>
          <w:b/>
          <w:color w:val="000000"/>
          <w:sz w:val="22"/>
          <w:u w:val="single"/>
        </w:rPr>
      </w:pPr>
      <w:r>
        <w:rPr>
          <w:rFonts w:ascii="Times New Roman;serif" w:hAnsi="Times New Roman;serif"/>
          <w:b/>
          <w:color w:val="000000"/>
          <w:sz w:val="22"/>
          <w:u w:val="single"/>
        </w:rPr>
        <w:t>Second Quarter Financial Results</w:t>
      </w:r>
    </w:p>
    <w:tbl>
      <w:tblPr>
        <w:tblW w:w="7736" w:type="dxa"/>
        <w:jc w:val="left"/>
        <w:tblInd w:w="0" w:type="dxa"/>
        <w:tblLayout w:type="fixed"/>
        <w:tblCellMar>
          <w:top w:w="28" w:type="dxa"/>
          <w:left w:w="28" w:type="dxa"/>
          <w:bottom w:w="28" w:type="dxa"/>
          <w:right w:w="28" w:type="dxa"/>
        </w:tblCellMar>
      </w:tblPr>
      <w:tblGrid>
        <w:gridCol w:w="1022"/>
        <w:gridCol w:w="895"/>
        <w:gridCol w:w="903"/>
        <w:gridCol w:w="196"/>
        <w:gridCol w:w="691"/>
        <w:gridCol w:w="256"/>
        <w:gridCol w:w="109"/>
        <w:gridCol w:w="109"/>
        <w:gridCol w:w="109"/>
        <w:gridCol w:w="196"/>
        <w:gridCol w:w="691"/>
        <w:gridCol w:w="256"/>
        <w:gridCol w:w="109"/>
        <w:gridCol w:w="109"/>
        <w:gridCol w:w="109"/>
        <w:gridCol w:w="193"/>
        <w:gridCol w:w="193"/>
        <w:gridCol w:w="455"/>
        <w:gridCol w:w="109"/>
        <w:gridCol w:w="109"/>
        <w:gridCol w:w="109"/>
        <w:gridCol w:w="109"/>
        <w:gridCol w:w="109"/>
        <w:gridCol w:w="109"/>
        <w:gridCol w:w="109"/>
        <w:gridCol w:w="109"/>
        <w:gridCol w:w="109"/>
        <w:gridCol w:w="154"/>
      </w:tblGrid>
      <w:tr>
        <w:trPr/>
        <w:tc>
          <w:tcPr>
            <w:tcW w:w="1022"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7" w:type="dxa"/>
            <w:gridSpan w:val="8"/>
            <w:tcBorders/>
          </w:tcPr>
          <w:p>
            <w:pPr>
              <w:pStyle w:val="TableContents"/>
              <w:bidi w:val="0"/>
              <w:spacing w:before="0" w:after="283"/>
              <w:jc w:val="left"/>
              <w:rPr>
                <w:sz w:val="4"/>
                <w:szCs w:val="4"/>
              </w:rPr>
            </w:pPr>
            <w:r>
              <w:rPr>
                <w:sz w:val="4"/>
                <w:szCs w:val="4"/>
              </w:rPr>
            </w:r>
          </w:p>
        </w:tc>
      </w:tr>
      <w:tr>
        <w:trPr/>
        <w:tc>
          <w:tcPr>
            <w:tcW w:w="28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(dollars in millions, unaudited)</w:t>
            </w:r>
          </w:p>
        </w:tc>
        <w:tc>
          <w:tcPr>
            <w:tcW w:w="11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Q2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Q2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revenues</w:t>
            </w:r>
          </w:p>
        </w:tc>
        <w:tc>
          <w:tcPr>
            <w:tcW w:w="19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1,015.8 </w:t>
            </w:r>
          </w:p>
        </w:tc>
        <w:tc>
          <w:tcPr>
            <w:tcW w:w="256"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1,002.4 </w:t>
            </w:r>
          </w:p>
        </w:tc>
        <w:tc>
          <w:tcPr>
            <w:tcW w:w="256"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455"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GAAP operating income margin</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0.8 </w:t>
            </w:r>
          </w:p>
        </w:tc>
        <w:tc>
          <w:tcPr>
            <w:tcW w:w="4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operating income margin (1)</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0.5 </w:t>
            </w:r>
          </w:p>
        </w:tc>
        <w:tc>
          <w:tcPr>
            <w:tcW w:w="4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Restaurant-level operating margin (1)</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0.4 </w:t>
            </w:r>
          </w:p>
        </w:tc>
        <w:tc>
          <w:tcPr>
            <w:tcW w:w="4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12"/>
        </w:rPr>
      </w:pPr>
      <w:r>
        <w:rPr>
          <w:rFonts w:ascii="Times New Roman;serif" w:hAnsi="Times New Roman;serif"/>
          <w:b w:val="false"/>
          <w:color w:val="000000"/>
          <w:sz w:val="12"/>
        </w:rPr>
        <w:t>___________________</w:t>
      </w:r>
    </w:p>
    <w:p>
      <w:pPr>
        <w:pStyle w:val="TextBody"/>
        <w:bidi w:val="0"/>
        <w:spacing w:lineRule="auto" w:line="288" w:before="0" w:after="0"/>
        <w:ind w:left="0" w:right="0" w:hanging="720"/>
        <w:jc w:val="both"/>
        <w:rPr>
          <w:rFonts w:ascii="Times New Roman;serif" w:hAnsi="Times New Roman;serif"/>
          <w:b w:val="false"/>
          <w:color w:val="000000"/>
          <w:sz w:val="18"/>
        </w:rPr>
      </w:pPr>
      <w:r>
        <w:rPr>
          <w:rFonts w:ascii="Times New Roman;serif" w:hAnsi="Times New Roman;serif"/>
          <w:b w:val="false"/>
          <w:color w:val="000000"/>
          <w:sz w:val="18"/>
        </w:rPr>
        <w:t>(1)See non-GAAP Measures later in this release. Also see Tables Four and Five for details regarding the nature of restaurant-level operating margin and operating income margin adjustments, respectively.</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2"/>
        </w:rPr>
        <w:t>The increase in Total revenues was primarily due to higher comparable restaurant sales partially offset by the net impact of restaurant closures and openings.</w:t>
      </w:r>
    </w:p>
    <w:p>
      <w:pPr>
        <w:pStyle w:val="TextBody"/>
        <w:bidi w:val="0"/>
        <w:spacing w:before="0" w:after="0"/>
        <w:jc w:val="both"/>
        <w:rPr/>
      </w:pPr>
      <w:r>
        <w:rPr/>
      </w:r>
    </w:p>
    <w:p>
      <w:pPr>
        <w:pStyle w:val="TextBody"/>
        <w:bidi w:val="0"/>
        <w:spacing w:lineRule="auto" w:line="256"/>
        <w:ind w:left="0" w:right="0" w:hanging="360"/>
        <w:jc w:val="both"/>
        <w:rPr/>
      </w:pPr>
      <w:r>
        <w:rPr>
          <w:color w:val="000000"/>
        </w:rPr>
        <w:t>•</w:t>
      </w:r>
      <w:r>
        <w:rPr>
          <w:rFonts w:ascii="Times New Roman;serif" w:hAnsi="Times New Roman;serif"/>
          <w:b w:val="false"/>
          <w:color w:val="000000"/>
          <w:sz w:val="22"/>
        </w:rPr>
        <w:t>GAAP operating income margin increased from Q2 2025 primarily due to an increase in restaurant-level operating margin, as detailed below, and lower costs in connection with transformational and restructuring initiatives. These impacts were partially offset by higher impairment and closing costs.</w:t>
      </w:r>
    </w:p>
    <w:p>
      <w:pPr>
        <w:pStyle w:val="TextBody"/>
        <w:bidi w:val="0"/>
        <w:spacing w:before="0" w:after="0"/>
        <w:jc w:val="righ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before="0" w:after="0"/>
        <w:jc w:val="both"/>
        <w:rPr/>
      </w:pPr>
      <w:r>
        <w:rPr/>
      </w:r>
    </w:p>
    <w:p>
      <w:pPr>
        <w:pStyle w:val="TextBody"/>
        <w:bidi w:val="0"/>
        <w:spacing w:lineRule="auto" w:line="256" w:before="0" w:after="0"/>
        <w:ind w:left="0" w:right="0" w:hanging="360"/>
        <w:jc w:val="both"/>
        <w:rPr/>
      </w:pPr>
      <w:r>
        <w:rPr>
          <w:color w:val="000000"/>
        </w:rPr>
        <w:t>•</w:t>
      </w:r>
      <w:r>
        <w:rPr>
          <w:rFonts w:ascii="Times New Roman;serif" w:hAnsi="Times New Roman;serif"/>
          <w:b w:val="false"/>
          <w:color w:val="000000"/>
          <w:sz w:val="22"/>
        </w:rPr>
        <w:t>Restaurant-level operating margin increased from Q2 2025 primarily due to: (i) higher average check per person, primarily due to pricing, (ii) productivity initiatives and (iii) lower pre-opening costs and health insurance expense. These impacts were partially offset by higher commodity, labor and operating costs, mainly due to inflation, and higher advertising expense.</w:t>
      </w:r>
    </w:p>
    <w:p>
      <w:pPr>
        <w:pStyle w:val="TextBody"/>
        <w:bidi w:val="0"/>
        <w:spacing w:before="0" w:after="0"/>
        <w:jc w:val="both"/>
        <w:rPr/>
      </w:pPr>
      <w:r>
        <w:rPr/>
      </w:r>
    </w:p>
    <w:p>
      <w:pPr>
        <w:pStyle w:val="TextBody"/>
        <w:bidi w:val="0"/>
        <w:spacing w:lineRule="auto" w:line="256" w:before="0" w:after="0"/>
        <w:ind w:left="0" w:right="0" w:hanging="360"/>
        <w:jc w:val="both"/>
        <w:rPr/>
      </w:pPr>
      <w:r>
        <w:rPr>
          <w:color w:val="000000"/>
        </w:rPr>
        <w:t>•</w:t>
      </w:r>
      <w:r>
        <w:rPr>
          <w:rFonts w:ascii="Times New Roman;serif" w:hAnsi="Times New Roman;serif"/>
          <w:b w:val="false"/>
          <w:color w:val="000000"/>
          <w:sz w:val="22"/>
        </w:rPr>
        <w:t>Adjusted operating income margin primarily excludes: (i) accelerated depreciation in Q2 2026 associated with equipment upgrades in connection with the turnaround strategy, (ii) Q2 2025 severance and other costs incurred as a result of transformational and restructuring initiatives and (iii) Q2 2025 costs associated with foreign currency forward contracts.</w:t>
      </w:r>
    </w:p>
    <w:p>
      <w:pPr>
        <w:pStyle w:val="TextBody"/>
        <w:bidi w:val="0"/>
        <w:spacing w:before="0" w:after="0"/>
        <w:jc w:val="both"/>
        <w:rPr/>
      </w:pPr>
      <w:r>
        <w:rPr/>
      </w:r>
    </w:p>
    <w:p>
      <w:pPr>
        <w:pStyle w:val="TextBody"/>
        <w:bidi w:val="0"/>
        <w:spacing w:lineRule="auto" w:line="256" w:before="0" w:after="60"/>
        <w:jc w:val="both"/>
        <w:rPr>
          <w:rFonts w:ascii="Times New Roman;serif" w:hAnsi="Times New Roman;serif"/>
          <w:b/>
          <w:color w:val="000000"/>
          <w:sz w:val="22"/>
          <w:u w:val="single"/>
        </w:rPr>
      </w:pPr>
      <w:r>
        <w:rPr>
          <w:rFonts w:ascii="Times New Roman;serif" w:hAnsi="Times New Roman;serif"/>
          <w:b/>
          <w:color w:val="000000"/>
          <w:sz w:val="22"/>
          <w:u w:val="single"/>
        </w:rPr>
        <w:t>Second Quarter Comparable Restaurant Sales</w:t>
      </w:r>
    </w:p>
    <w:tbl>
      <w:tblPr>
        <w:tblW w:w="6895" w:type="dxa"/>
        <w:jc w:val="left"/>
        <w:tblInd w:w="0" w:type="dxa"/>
        <w:tblLayout w:type="fixed"/>
        <w:tblCellMar>
          <w:top w:w="28" w:type="dxa"/>
          <w:left w:w="28" w:type="dxa"/>
          <w:bottom w:w="28" w:type="dxa"/>
          <w:right w:w="28" w:type="dxa"/>
        </w:tblCellMar>
      </w:tblPr>
      <w:tblGrid>
        <w:gridCol w:w="1633"/>
        <w:gridCol w:w="1438"/>
        <w:gridCol w:w="1444"/>
        <w:gridCol w:w="109"/>
        <w:gridCol w:w="109"/>
        <w:gridCol w:w="109"/>
        <w:gridCol w:w="386"/>
        <w:gridCol w:w="386"/>
        <w:gridCol w:w="909"/>
        <w:gridCol w:w="109"/>
        <w:gridCol w:w="109"/>
        <w:gridCol w:w="154"/>
      </w:tblGrid>
      <w:tr>
        <w:trPr/>
        <w:tc>
          <w:tcPr>
            <w:tcW w:w="1633" w:type="dxa"/>
            <w:tcBorders/>
            <w:vAlign w:val="center"/>
          </w:tcPr>
          <w:p>
            <w:pPr>
              <w:pStyle w:val="TableContents"/>
              <w:bidi w:val="0"/>
              <w:spacing w:before="0" w:after="283"/>
              <w:jc w:val="left"/>
              <w:rPr>
                <w:sz w:val="4"/>
                <w:szCs w:val="4"/>
              </w:rPr>
            </w:pPr>
            <w:r>
              <w:rPr>
                <w:sz w:val="4"/>
                <w:szCs w:val="4"/>
              </w:rPr>
            </w:r>
          </w:p>
        </w:tc>
        <w:tc>
          <w:tcPr>
            <w:tcW w:w="1438" w:type="dxa"/>
            <w:tcBorders/>
            <w:vAlign w:val="center"/>
          </w:tcPr>
          <w:p>
            <w:pPr>
              <w:pStyle w:val="TableContents"/>
              <w:bidi w:val="0"/>
              <w:spacing w:before="0" w:after="283"/>
              <w:jc w:val="left"/>
              <w:rPr>
                <w:sz w:val="4"/>
                <w:szCs w:val="4"/>
              </w:rPr>
            </w:pPr>
            <w:r>
              <w:rPr>
                <w:sz w:val="4"/>
                <w:szCs w:val="4"/>
              </w:rPr>
            </w:r>
          </w:p>
        </w:tc>
        <w:tc>
          <w:tcPr>
            <w:tcW w:w="14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THIRTEEN WEEKS ENDED JUNE 28,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COMPANY-OWNED</w:t>
            </w:r>
          </w:p>
        </w:tc>
        <w:tc>
          <w:tcPr>
            <w:tcW w:w="372" w:type="dxa"/>
            <w:gridSpan w:val="3"/>
            <w:tcBorders/>
          </w:tcPr>
          <w:p>
            <w:pPr>
              <w:pStyle w:val="TableContents"/>
              <w:bidi w:val="0"/>
              <w:spacing w:before="0" w:after="283"/>
              <w:jc w:val="left"/>
              <w:rPr>
                <w:sz w:val="4"/>
                <w:szCs w:val="4"/>
              </w:rPr>
            </w:pPr>
            <w:r>
              <w:rPr>
                <w:sz w:val="4"/>
                <w:szCs w:val="4"/>
              </w:rPr>
            </w:r>
          </w:p>
        </w:tc>
      </w:tr>
      <w:tr>
        <w:trPr/>
        <w:tc>
          <w:tcPr>
            <w:tcW w:w="4515"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Comparable restaurant sales (stores open 18 months or more):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u w:val="single"/>
              </w:rPr>
            </w:pPr>
            <w:r>
              <w:rPr>
                <w:rFonts w:ascii="Times New Roman;serif" w:hAnsi="Times New Roman;serif"/>
                <w:b/>
                <w:color w:val="000000"/>
                <w:sz w:val="18"/>
                <w:u w:val="single"/>
              </w:rPr>
              <w:t>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Outback Steakhouse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9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Carrabba’s Italian Grill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9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Bonefish Grill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8.1 </w:t>
            </w:r>
          </w:p>
        </w:tc>
        <w:tc>
          <w:tcPr>
            <w:tcW w:w="9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Fleming’s Prime Steakhouse &amp; Wine Bar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9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Combined 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9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ind w:left="0" w:right="0" w:hanging="1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60"/>
        <w:jc w:val="both"/>
        <w:rPr>
          <w:rFonts w:ascii="Times New Roman;serif" w:hAnsi="Times New Roman;serif"/>
          <w:b/>
          <w:color w:val="000000"/>
          <w:sz w:val="22"/>
          <w:u w:val="single"/>
        </w:rPr>
      </w:pPr>
      <w:r>
        <w:rPr>
          <w:rFonts w:ascii="Times New Roman;serif" w:hAnsi="Times New Roman;serif"/>
          <w:b/>
          <w:color w:val="000000"/>
          <w:sz w:val="22"/>
          <w:u w:val="single"/>
        </w:rPr>
        <w:t>Fiscal 2026 Financial Outlook</w:t>
      </w:r>
    </w:p>
    <w:p>
      <w:pPr>
        <w:pStyle w:val="TextBody"/>
        <w:bidi w:val="0"/>
        <w:spacing w:lineRule="auto" w:line="252" w:before="0" w:after="0"/>
        <w:jc w:val="both"/>
        <w:rPr>
          <w:rFonts w:ascii="Times New Roman;serif" w:hAnsi="Times New Roman;serif"/>
          <w:b w:val="false"/>
          <w:color w:val="000000"/>
          <w:sz w:val="22"/>
        </w:rPr>
      </w:pPr>
      <w:r>
        <w:rPr>
          <w:rFonts w:ascii="Times New Roman;serif" w:hAnsi="Times New Roman;serif"/>
          <w:b w:val="false"/>
          <w:color w:val="000000"/>
          <w:sz w:val="22"/>
        </w:rPr>
        <w:t>The table below presents our updated expectations for selected 2026 financial operating results. We are reaffirming all other aspects of our full-year financial guidance as previously communicated.</w:t>
      </w:r>
    </w:p>
    <w:p>
      <w:pPr>
        <w:pStyle w:val="TextBody"/>
        <w:bidi w:val="0"/>
        <w:spacing w:before="0" w:after="0"/>
        <w:jc w:val="both"/>
        <w:rPr/>
      </w:pPr>
      <w:r>
        <w:rPr/>
      </w:r>
    </w:p>
    <w:tbl>
      <w:tblPr>
        <w:tblW w:w="6051" w:type="dxa"/>
        <w:jc w:val="left"/>
        <w:tblInd w:w="0" w:type="dxa"/>
        <w:tblLayout w:type="fixed"/>
        <w:tblCellMar>
          <w:top w:w="28" w:type="dxa"/>
          <w:left w:w="28" w:type="dxa"/>
          <w:bottom w:w="28" w:type="dxa"/>
          <w:right w:w="28" w:type="dxa"/>
        </w:tblCellMar>
      </w:tblPr>
      <w:tblGrid>
        <w:gridCol w:w="1043"/>
        <w:gridCol w:w="916"/>
        <w:gridCol w:w="920"/>
        <w:gridCol w:w="109"/>
        <w:gridCol w:w="109"/>
        <w:gridCol w:w="109"/>
        <w:gridCol w:w="379"/>
        <w:gridCol w:w="379"/>
        <w:gridCol w:w="381"/>
        <w:gridCol w:w="109"/>
        <w:gridCol w:w="109"/>
        <w:gridCol w:w="109"/>
        <w:gridCol w:w="404"/>
        <w:gridCol w:w="404"/>
        <w:gridCol w:w="571"/>
      </w:tblGrid>
      <w:tr>
        <w:trPr/>
        <w:tc>
          <w:tcPr>
            <w:tcW w:w="1043"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Financial Results: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Prior Outlook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Current Outlook</w:t>
            </w:r>
          </w:p>
        </w:tc>
      </w:tr>
      <w:tr>
        <w:trPr/>
        <w:tc>
          <w:tcPr>
            <w:tcW w:w="28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r>
      <w:tr>
        <w:trPr/>
        <w:tc>
          <w:tcPr>
            <w:tcW w:w="28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r>
      <w:tr>
        <w:trPr/>
        <w:tc>
          <w:tcPr>
            <w:tcW w:w="28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r>
      <w:tr>
        <w:trPr/>
        <w:tc>
          <w:tcPr>
            <w:tcW w:w="28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r>
      <w:tr>
        <w:trPr/>
        <w:tc>
          <w:tcPr>
            <w:tcW w:w="28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r>
      <w:tr>
        <w:trPr/>
        <w:tc>
          <w:tcPr>
            <w:tcW w:w="28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r>
      <w:tr>
        <w:trPr/>
        <w:tc>
          <w:tcPr>
            <w:tcW w:w="28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r>
      <w:tr>
        <w:trPr/>
        <w:tc>
          <w:tcPr>
            <w:tcW w:w="28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r>
      <w:tr>
        <w:trPr/>
        <w:tc>
          <w:tcPr>
            <w:tcW w:w="28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r>
      <w:tr>
        <w:trPr/>
        <w:tc>
          <w:tcPr>
            <w:tcW w:w="28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r>
      <w:tr>
        <w:trPr/>
        <w:tc>
          <w:tcPr>
            <w:tcW w:w="28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r>
      <w:tr>
        <w:trPr/>
        <w:tc>
          <w:tcPr>
            <w:tcW w:w="28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r>
      <w:tr>
        <w:trPr/>
        <w:tc>
          <w:tcPr>
            <w:tcW w:w="2879"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 comparable restaurant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0.5% to 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 to 2.0%</w:t>
            </w:r>
          </w:p>
        </w:tc>
      </w:tr>
      <w:tr>
        <w:trPr/>
        <w:tc>
          <w:tcPr>
            <w:tcW w:w="28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r>
      <w:tr>
        <w:trPr/>
        <w:tc>
          <w:tcPr>
            <w:tcW w:w="28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r>
      <w:tr>
        <w:trPr/>
        <w:tc>
          <w:tcPr>
            <w:tcW w:w="28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r>
      <w:tr>
        <w:trPr/>
        <w:tc>
          <w:tcPr>
            <w:tcW w:w="28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r>
      <w:tr>
        <w:trPr/>
        <w:tc>
          <w:tcPr>
            <w:tcW w:w="28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r>
      <w:tr>
        <w:trPr/>
        <w:tc>
          <w:tcPr>
            <w:tcW w:w="28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r>
      <w:tr>
        <w:trPr/>
        <w:tc>
          <w:tcPr>
            <w:tcW w:w="28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r>
      <w:tr>
        <w:trPr/>
        <w:tc>
          <w:tcPr>
            <w:tcW w:w="28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 earnings per share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$0.70 to $0.85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$0.85 to $0.95</w:t>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diluted earnings per share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$0.75 to $0.90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$0.90 to $1.00</w:t>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r>
      <w:tr>
        <w:trPr/>
        <w:tc>
          <w:tcPr>
            <w:tcW w:w="28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r>
      <w:tr>
        <w:trPr/>
        <w:tc>
          <w:tcPr>
            <w:tcW w:w="28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r>
      <w:tr>
        <w:trPr/>
        <w:tc>
          <w:tcPr>
            <w:tcW w:w="28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r>
      <w:tr>
        <w:trPr/>
        <w:tc>
          <w:tcPr>
            <w:tcW w:w="28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r>
      <w:tr>
        <w:trPr/>
        <w:tc>
          <w:tcPr>
            <w:tcW w:w="28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r>
      <w:tr>
        <w:trPr/>
        <w:tc>
          <w:tcPr>
            <w:tcW w:w="28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r>
      <w:tr>
        <w:trPr/>
        <w:tc>
          <w:tcPr>
            <w:tcW w:w="28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r>
      <w:tr>
        <w:trPr/>
        <w:tc>
          <w:tcPr>
            <w:tcW w:w="28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r>
      <w:tr>
        <w:trPr/>
        <w:tc>
          <w:tcPr>
            <w:tcW w:w="28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r>
      <w:tr>
        <w:trPr/>
        <w:tc>
          <w:tcPr>
            <w:tcW w:w="28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r>
      <w:tr>
        <w:trPr/>
        <w:tc>
          <w:tcPr>
            <w:tcW w:w="28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r>
      <w:tr>
        <w:trPr/>
        <w:tc>
          <w:tcPr>
            <w:tcW w:w="28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r>
      <w:tr>
        <w:trPr/>
        <w:tc>
          <w:tcPr>
            <w:tcW w:w="28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r>
      <w:tr>
        <w:trPr/>
        <w:tc>
          <w:tcPr>
            <w:tcW w:w="28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r>
      <w:tr>
        <w:trPr/>
        <w:tc>
          <w:tcPr>
            <w:tcW w:w="28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r>
      <w:tr>
        <w:trPr/>
        <w:tc>
          <w:tcPr>
            <w:tcW w:w="28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r>
      <w:tr>
        <w:trPr/>
        <w:tc>
          <w:tcPr>
            <w:tcW w:w="28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r>
      <w:tr>
        <w:trPr/>
        <w:tc>
          <w:tcPr>
            <w:tcW w:w="28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r>
      <w:tr>
        <w:trPr/>
        <w:tc>
          <w:tcPr>
            <w:tcW w:w="28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r>
      <w:tr>
        <w:trPr/>
        <w:tc>
          <w:tcPr>
            <w:tcW w:w="28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r>
      <w:tr>
        <w:trPr/>
        <w:tc>
          <w:tcPr>
            <w:tcW w:w="28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r>
      <w:tr>
        <w:trPr/>
        <w:tc>
          <w:tcPr>
            <w:tcW w:w="28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r>
      <w:tr>
        <w:trPr/>
        <w:tc>
          <w:tcPr>
            <w:tcW w:w="28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r>
      <w:tr>
        <w:trPr/>
        <w:tc>
          <w:tcPr>
            <w:tcW w:w="28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r>
      <w:tr>
        <w:trPr/>
        <w:tc>
          <w:tcPr>
            <w:tcW w:w="28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r>
      <w:tr>
        <w:trPr/>
        <w:tc>
          <w:tcPr>
            <w:tcW w:w="28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r>
      <w:tr>
        <w:trPr/>
        <w:tc>
          <w:tcPr>
            <w:tcW w:w="28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r>
      <w:tr>
        <w:trPr/>
        <w:tc>
          <w:tcPr>
            <w:tcW w:w="28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r>
      <w:tr>
        <w:trPr/>
        <w:tc>
          <w:tcPr>
            <w:tcW w:w="28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r>
      <w:tr>
        <w:trPr/>
        <w:tc>
          <w:tcPr>
            <w:tcW w:w="28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r>
      <w:tr>
        <w:trPr/>
        <w:tc>
          <w:tcPr>
            <w:tcW w:w="28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r>
      <w:tr>
        <w:trPr/>
        <w:tc>
          <w:tcPr>
            <w:tcW w:w="28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52" w:before="0" w:after="0"/>
        <w:jc w:val="both"/>
        <w:rPr>
          <w:rFonts w:ascii="Times New Roman;serif" w:hAnsi="Times New Roman;serif"/>
          <w:b w:val="false"/>
          <w:color w:val="000000"/>
          <w:sz w:val="12"/>
        </w:rPr>
      </w:pPr>
      <w:r>
        <w:rPr>
          <w:rFonts w:ascii="Times New Roman;serif" w:hAnsi="Times New Roman;serif"/>
          <w:b w:val="false"/>
          <w:color w:val="000000"/>
          <w:sz w:val="12"/>
        </w:rPr>
        <w:t>___________________</w:t>
      </w:r>
    </w:p>
    <w:p>
      <w:pPr>
        <w:pStyle w:val="TextBody"/>
        <w:bidi w:val="0"/>
        <w:spacing w:lineRule="auto" w:line="288" w:before="0" w:after="0"/>
        <w:ind w:left="0" w:right="0" w:hanging="540"/>
        <w:jc w:val="both"/>
        <w:rPr>
          <w:rFonts w:ascii="Times New Roman;serif" w:hAnsi="Times New Roman;serif"/>
          <w:b w:val="false"/>
          <w:color w:val="000000"/>
          <w:sz w:val="18"/>
        </w:rPr>
      </w:pPr>
      <w:r>
        <w:rPr>
          <w:rFonts w:ascii="Times New Roman;serif" w:hAnsi="Times New Roman;serif"/>
          <w:b w:val="false"/>
          <w:color w:val="000000"/>
          <w:sz w:val="18"/>
        </w:rPr>
        <w:t>(1)Assumes diluted weighted average shares of approximately 86 million.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60"/>
        <w:jc w:val="both"/>
        <w:rPr>
          <w:rFonts w:ascii="Times New Roman;serif" w:hAnsi="Times New Roman;serif"/>
          <w:b/>
          <w:color w:val="000000"/>
          <w:sz w:val="22"/>
          <w:u w:val="single"/>
        </w:rPr>
      </w:pPr>
      <w:r>
        <w:rPr>
          <w:rFonts w:ascii="Times New Roman;serif" w:hAnsi="Times New Roman;serif"/>
          <w:b/>
          <w:color w:val="000000"/>
          <w:sz w:val="22"/>
          <w:u w:val="single"/>
        </w:rPr>
        <w:t>Q3 2026 Financial Outlook</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The table below presents our expectations for selected fiscal Q3 2026 financial operating results.</w:t>
      </w:r>
    </w:p>
    <w:tbl>
      <w:tblPr>
        <w:tblW w:w="5235" w:type="dxa"/>
        <w:jc w:val="center"/>
        <w:tblInd w:w="0" w:type="dxa"/>
        <w:tblLayout w:type="fixed"/>
        <w:tblCellMar>
          <w:top w:w="28" w:type="dxa"/>
          <w:left w:w="28" w:type="dxa"/>
          <w:bottom w:w="28" w:type="dxa"/>
          <w:right w:w="28" w:type="dxa"/>
        </w:tblCellMar>
      </w:tblPr>
      <w:tblGrid>
        <w:gridCol w:w="1043"/>
        <w:gridCol w:w="916"/>
        <w:gridCol w:w="920"/>
        <w:gridCol w:w="109"/>
        <w:gridCol w:w="109"/>
        <w:gridCol w:w="109"/>
        <w:gridCol w:w="109"/>
        <w:gridCol w:w="109"/>
        <w:gridCol w:w="109"/>
        <w:gridCol w:w="109"/>
        <w:gridCol w:w="479"/>
        <w:gridCol w:w="479"/>
        <w:gridCol w:w="481"/>
        <w:gridCol w:w="154"/>
      </w:tblGrid>
      <w:tr>
        <w:trPr/>
        <w:tc>
          <w:tcPr>
            <w:tcW w:w="1043"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Financial Results: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6"/>
              </w:rPr>
              <w:t>Q3 2026 Outlook</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8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79"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 comparable restaurant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9"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 to 2.0%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 earnings per share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($0.28) to ($0.23)</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diluted earnings per share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($0.27) to ($0.22)</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8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12"/>
        </w:rPr>
      </w:pPr>
      <w:r>
        <w:rPr>
          <w:rFonts w:ascii="Times New Roman;serif" w:hAnsi="Times New Roman;serif"/>
          <w:b w:val="false"/>
          <w:color w:val="000000"/>
          <w:sz w:val="12"/>
        </w:rPr>
        <w:t>___________________</w:t>
      </w:r>
    </w:p>
    <w:p>
      <w:pPr>
        <w:pStyle w:val="TextBody"/>
        <w:bidi w:val="0"/>
        <w:spacing w:lineRule="auto" w:line="288" w:before="0" w:after="0"/>
        <w:ind w:left="0" w:right="0" w:hanging="540"/>
        <w:jc w:val="both"/>
        <w:rPr>
          <w:rFonts w:ascii="Times New Roman;serif" w:hAnsi="Times New Roman;serif"/>
          <w:b w:val="false"/>
          <w:color w:val="000000"/>
          <w:sz w:val="18"/>
        </w:rPr>
      </w:pPr>
      <w:r>
        <w:rPr>
          <w:rFonts w:ascii="Times New Roman;serif" w:hAnsi="Times New Roman;serif"/>
          <w:b w:val="false"/>
          <w:color w:val="000000"/>
          <w:sz w:val="18"/>
        </w:rPr>
        <w:t>(1)Assumes diluted weighted average shares of approximately 86 million.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60"/>
        <w:jc w:val="both"/>
        <w:rPr>
          <w:rFonts w:ascii="Times New Roman;serif" w:hAnsi="Times New Roman;serif"/>
          <w:b/>
          <w:color w:val="000000"/>
          <w:sz w:val="22"/>
          <w:u w:val="single"/>
        </w:rPr>
      </w:pPr>
      <w:r>
        <w:rPr>
          <w:rFonts w:ascii="Times New Roman;serif" w:hAnsi="Times New Roman;serif"/>
          <w:b/>
          <w:color w:val="000000"/>
          <w:sz w:val="22"/>
          <w:u w:val="single"/>
        </w:rPr>
        <w:t>Conference Call</w:t>
      </w:r>
    </w:p>
    <w:p>
      <w:pPr>
        <w:pStyle w:val="TextBody"/>
        <w:bidi w:val="0"/>
        <w:spacing w:lineRule="auto" w:line="288" w:before="0" w:after="0"/>
        <w:jc w:val="both"/>
        <w:rPr/>
      </w:pPr>
      <w:r>
        <w:rPr>
          <w:rFonts w:ascii="Times New Roman;serif" w:hAnsi="Times New Roman;serif"/>
          <w:b w:val="false"/>
          <w:color w:val="000000"/>
          <w:sz w:val="22"/>
        </w:rPr>
        <w:t xml:space="preserve">The Company will host a conference call today, August 5, 2026 at 8:00 AM EDT. The conference call will be webcast live from the Company’s website at </w:t>
      </w:r>
      <w:r>
        <w:rPr>
          <w:rFonts w:ascii="Times New Roman;serif" w:hAnsi="Times New Roman;serif"/>
          <w:b w:val="false"/>
          <w:color w:val="0000FF"/>
          <w:sz w:val="22"/>
          <w:u w:val="single"/>
        </w:rPr>
        <w:t>http://www.bloominbrands.com</w:t>
      </w:r>
      <w:r>
        <w:rPr>
          <w:color w:val="000000"/>
        </w:rPr>
        <w:t xml:space="preserve"> </w:t>
      </w:r>
      <w:r>
        <w:rPr>
          <w:rFonts w:ascii="Times New Roman;serif" w:hAnsi="Times New Roman;serif"/>
          <w:b w:val="false"/>
          <w:color w:val="000000"/>
          <w:sz w:val="22"/>
        </w:rPr>
        <w:t>under the Investors section. A replay of this webcast will be available on the Company’s website after the call.</w:t>
      </w:r>
    </w:p>
    <w:p>
      <w:pPr>
        <w:pStyle w:val="TextBody"/>
        <w:bidi w:val="0"/>
        <w:spacing w:before="0" w:after="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60"/>
        <w:jc w:val="both"/>
        <w:rPr>
          <w:rFonts w:ascii="Times New Roman;serif" w:hAnsi="Times New Roman;serif"/>
          <w:b/>
          <w:color w:val="000000"/>
          <w:sz w:val="22"/>
          <w:u w:val="single"/>
        </w:rPr>
      </w:pPr>
      <w:r>
        <w:rPr>
          <w:rFonts w:ascii="Times New Roman;serif" w:hAnsi="Times New Roman;serif"/>
          <w:b/>
          <w:color w:val="000000"/>
          <w:sz w:val="22"/>
          <w:u w:val="single"/>
        </w:rPr>
        <w:t>About Bloomin’ Brands, Inc.</w:t>
      </w:r>
    </w:p>
    <w:p>
      <w:pPr>
        <w:pStyle w:val="TextBody"/>
        <w:bidi w:val="0"/>
        <w:spacing w:lineRule="auto" w:line="288"/>
        <w:jc w:val="both"/>
        <w:rPr>
          <w:rFonts w:ascii="Times New Roman;serif" w:hAnsi="Times New Roman;serif"/>
          <w:b w:val="false"/>
          <w:color w:val="000000"/>
          <w:sz w:val="22"/>
        </w:rPr>
      </w:pPr>
      <w:r>
        <w:rPr>
          <w:rFonts w:ascii="Times New Roman;serif" w:hAnsi="Times New Roman;serif"/>
          <w:b w:val="false"/>
          <w:color w:val="000000"/>
          <w:sz w:val="22"/>
        </w:rPr>
        <w:t>Bloomin’ Brands, Inc. is one of the largest full-service dining restaurant companies in the world with a portfolio of leading, differentiated restaurant concepts. The Company’s restaurant portfolio includes Outback Steakhouse, Carrabba’s Italian Grill, Bonefish Grill and Fleming’s Prime Steakhouse &amp; Wine Bar. The Company owns, operates and franchises more than 1,440 restaurants in 46 states, Guam and 12 countries. For more information, please visit www.bloominbrands.com.</w:t>
      </w:r>
    </w:p>
    <w:p>
      <w:pPr>
        <w:pStyle w:val="TextBody"/>
        <w:bidi w:val="0"/>
        <w:spacing w:before="0" w:after="0"/>
        <w:jc w:val="righ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60"/>
        <w:jc w:val="left"/>
        <w:rPr>
          <w:rFonts w:ascii="Times New Roman;serif" w:hAnsi="Times New Roman;serif"/>
          <w:b/>
          <w:color w:val="000000"/>
          <w:sz w:val="22"/>
          <w:u w:val="single"/>
        </w:rPr>
      </w:pPr>
      <w:r>
        <w:rPr>
          <w:rFonts w:ascii="Times New Roman;serif" w:hAnsi="Times New Roman;serif"/>
          <w:b/>
          <w:color w:val="000000"/>
          <w:sz w:val="22"/>
          <w:u w:val="single"/>
        </w:rPr>
        <w:t>Non-GAAP Measures</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In addition to the results provided in accordance with GAAP, this press release and related tables include certain non-GAAP measures, which present operating results on an adjusted basis. These are supplemental measures of performance that are not required by or presented in accordance with GAAP and include: (i) Restaurant-level operating income and the corresponding margin, (ii) Adjusted income from operations and the corresponding margin, (iii) Adjusted segment income from operations and the corresponding margin, (iv) Adjusted net income and (v) Adjusted diluted earnings per share.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Restaurant-level operating margin is a non-GAAP financial measure widely regarded in the industry as a useful metric to evaluate restaurant-level operating efficiency and performance of ongoing restaurant-level operations, and we use it for these purposes.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We believe that our use of non-GAAP financial measures permits investors to assess the operating performance of our business relative to our performance based on GAAP results and relative to other companies within the restaurant industry by isolating the effects of certain items that may vary from period to period without correlation to core operating performance or that vary widely among similar companies. However, our inclusion of these adjusted measures should not be construed as an indication that our future results will be unaffected by unusual or infrequent items or that the items for which we have made adjustments are unusual or infrequent or will not recur. We believe that the disclosure of these non-GAAP measures is useful to investors as they form part of the basis for how our management team and Board of Directors evaluate our operating performance, allocate resources and administer employee incentive plans.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These non-GAAP financial measures are not intended to replace GAAP financial measures, and they are not necessarily standardized or comparable to similarly titled measures used by other companies. We maintain internal guidelines with respect to the types of adjustments we include in our non-GAAP measures. These guidelines endeavor to differentiate between types of gains and expenses that are reflective of our core operations in a period, and those that may vary from period to period without correlation to our core performance in that period. However, implementation of these guidelines necessarily involves the application of judgment, and the treatment of any items not directly addressed by, or changes to, our guidelines will be considered by our disclosure committee. You should refer to the reconciliations of non-GAAP measures in Tables Four, Five and Six included later in this release for descriptions of the actual adjustments made in the current period and the corresponding prior period.</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60"/>
        <w:jc w:val="both"/>
        <w:rPr>
          <w:rFonts w:ascii="Times New Roman;serif" w:hAnsi="Times New Roman;serif"/>
          <w:b/>
          <w:color w:val="000000"/>
          <w:sz w:val="22"/>
          <w:u w:val="single"/>
        </w:rPr>
      </w:pPr>
      <w:r>
        <w:rPr>
          <w:rFonts w:ascii="Times New Roman;serif" w:hAnsi="Times New Roman;serif"/>
          <w:b/>
          <w:color w:val="000000"/>
          <w:sz w:val="22"/>
          <w:u w:val="single"/>
        </w:rPr>
        <w:t>Forward-Looking Statements</w:t>
      </w:r>
    </w:p>
    <w:p>
      <w:pPr>
        <w:pStyle w:val="TextBody"/>
        <w:bidi w:val="0"/>
        <w:spacing w:lineRule="auto" w:line="288"/>
        <w:jc w:val="both"/>
        <w:rPr>
          <w:rFonts w:ascii="Times New Roman;serif" w:hAnsi="Times New Roman;serif"/>
          <w:b w:val="false"/>
          <w:color w:val="000000"/>
          <w:sz w:val="22"/>
        </w:rPr>
      </w:pPr>
      <w:r>
        <w:rPr>
          <w:rFonts w:ascii="Times New Roman;serif" w:hAnsi="Times New Roman;serif"/>
          <w:b w:val="false"/>
          <w:color w:val="000000"/>
          <w:sz w:val="22"/>
        </w:rPr>
        <w:t xml:space="preserve">Certain statements contained herein, including statements under the headings “CEO Comments”, “Fiscal 2026 Financial Outlook” and “Q3 2026 Financial Outlook” are not based on historical fact and are “forward-looking statements” within the meaning of applicable securities laws. Generally, these statements can be identified by the use of words such as “guidance,” “believes,” “estimates,” “anticipates,” “expects,” “on track,” “feels,” “forecasts,” “seeks,” “projects,” “intends,” “plans,” “may,” “will,” “should,” “could,” “would” and similar expressions intended to identify forward-looking statements, although not all forward-looking statements contain these identifying words. These forward-looking statements include all matters that are not historical facts. By their nature, forward-looking statements involve risks and uncertainties that could cause actual results to differ materially from the Company’s forward-looking statements. These risks and uncertainties include, but are not limited to: our ability to execute and achieve the expected benefits of our actions to focus on operational priorities, including our turnaround plans and cost-saving initiatives to fund such plans; consumer reaction to public health and food safety issues; increases in labor costs and fluctuations in the availability of employees and our ability to attract, train, and retain key personnel; increases in unemployment rates and taxes; competition; interruption or breach of our systems or loss of consumer or employee information; price and availability of commodities and other impacts of inflation and tariffs; our dependence on a limited number of suppliers and distributors; political, social and legal conditions in international markets and their effects on foreign operations and foreign currency exchange rates; the impacts of our operations in Brazil as a minority investor and franchisor; our ability to address corporate citizenship and sustainability matters and investor expectations; local, regional, national and international economic conditions; changes in patterns of consumer traffic, consumer tastes and dietary habits; the effects of changes in tax laws; costs, diversion of </w:t>
      </w:r>
    </w:p>
    <w:p>
      <w:pPr>
        <w:pStyle w:val="TextBody"/>
        <w:bidi w:val="0"/>
        <w:spacing w:before="0" w:after="0"/>
        <w:jc w:val="righ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management attention and reputational damage from any claims or litigation; government actions and policies, including the impact of U.S. government shutdowns; challenges associated with our remodeling, relocation and expansion plans; our ability to preserve the value of and grow our brands, including due to our limited control with respect to and the challenges facing the operations of our franchisees; consumer confidence and spending patterns; the effects of a health pandemic, weather, acts of God and other disasters and the ability or success in executing related business continuity plans; the Company’s ability to make debt payments and planned investments and the Company’s compliance with debt covenants; the cost and availability of credit; interest rate changes; and any impairments in the carrying value of goodwill and other assets. Further information on potential factors that could affect the financial results of the Company and its forward-looking statements is included in its most recent Form 10-K and subsequent filings with the Securities and Exchange Commission. The Company assumes no obligation to update any forward-looking statement, except as may be required by law. These forward-looking statements speak only as of the date of this release. All forward-looking statements are qualified in their entirety by this cautionary statement.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2"/>
        </w:rPr>
      </w:pPr>
      <w:r>
        <w:rPr>
          <w:rFonts w:ascii="Times New Roman;serif" w:hAnsi="Times New Roman;serif"/>
          <w:b w:val="false"/>
          <w:i/>
          <w:color w:val="000000"/>
          <w:sz w:val="22"/>
        </w:rPr>
        <w:t>Note: Numerical figures included in this release have been subject to rounding adjustments.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tbl>
      <w:tblPr>
        <w:tblW w:w="9903" w:type="dxa"/>
        <w:jc w:val="left"/>
        <w:tblInd w:w="0" w:type="dxa"/>
        <w:tblLayout w:type="fixed"/>
        <w:tblCellMar>
          <w:top w:w="28" w:type="dxa"/>
          <w:left w:w="28" w:type="dxa"/>
          <w:bottom w:w="28" w:type="dxa"/>
          <w:right w:w="28" w:type="dxa"/>
        </w:tblCellMar>
      </w:tblPr>
      <w:tblGrid>
        <w:gridCol w:w="1456"/>
        <w:gridCol w:w="1280"/>
        <w:gridCol w:w="1284"/>
        <w:gridCol w:w="228"/>
        <w:gridCol w:w="859"/>
        <w:gridCol w:w="127"/>
        <w:gridCol w:w="109"/>
        <w:gridCol w:w="109"/>
        <w:gridCol w:w="109"/>
        <w:gridCol w:w="228"/>
        <w:gridCol w:w="859"/>
        <w:gridCol w:w="127"/>
        <w:gridCol w:w="109"/>
        <w:gridCol w:w="109"/>
        <w:gridCol w:w="109"/>
        <w:gridCol w:w="202"/>
        <w:gridCol w:w="900"/>
        <w:gridCol w:w="112"/>
        <w:gridCol w:w="109"/>
        <w:gridCol w:w="109"/>
        <w:gridCol w:w="109"/>
        <w:gridCol w:w="202"/>
        <w:gridCol w:w="899"/>
        <w:gridCol w:w="159"/>
      </w:tblGrid>
      <w:tr>
        <w:trPr/>
        <w:tc>
          <w:tcPr>
            <w:tcW w:w="1456"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1284"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9903"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TABLE ONE</w:t>
            </w:r>
          </w:p>
        </w:tc>
      </w:tr>
      <w:tr>
        <w:trPr/>
        <w:tc>
          <w:tcPr>
            <w:tcW w:w="9903"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BLOOMIN’ BRANDS, INC.</w:t>
            </w:r>
          </w:p>
        </w:tc>
      </w:tr>
      <w:tr>
        <w:trPr/>
        <w:tc>
          <w:tcPr>
            <w:tcW w:w="9903"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CONSOLIDATED STATEMENTS OF OPERATIONS</w:t>
            </w:r>
          </w:p>
        </w:tc>
      </w:tr>
      <w:tr>
        <w:trPr/>
        <w:tc>
          <w:tcPr>
            <w:tcW w:w="9903" w:type="dxa"/>
            <w:gridSpan w:val="24"/>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(UNAUDITED)</w:t>
            </w:r>
          </w:p>
        </w:tc>
      </w:tr>
      <w:tr>
        <w:trPr/>
        <w:tc>
          <w:tcPr>
            <w:tcW w:w="4020"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5"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THIRTEEN WEEKS ENDED</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1"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TWENTY-SIX WEEKS ENDED</w:t>
            </w:r>
          </w:p>
        </w:tc>
      </w:tr>
      <w:tr>
        <w:trPr/>
        <w:tc>
          <w:tcPr>
            <w:tcW w:w="40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 except per share data)</w:t>
            </w:r>
          </w:p>
        </w:tc>
        <w:tc>
          <w:tcPr>
            <w:tcW w:w="121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2026</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2026</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 2025</w:t>
            </w:r>
          </w:p>
        </w:tc>
      </w:tr>
      <w:tr>
        <w:trPr/>
        <w:tc>
          <w:tcPr>
            <w:tcW w:w="4020"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Revenues</w:t>
            </w:r>
          </w:p>
        </w:tc>
        <w:tc>
          <w:tcPr>
            <w:tcW w:w="1214"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Restaurant sales</w:t>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997,957 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984,771 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2,039,783 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2,014,288 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Franchise and other revenues</w:t>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17,852 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17,595 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35,699 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37,672 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revenues</w:t>
            </w:r>
          </w:p>
        </w:tc>
        <w:tc>
          <w:tcPr>
            <w:tcW w:w="1087"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1,015,809 </w:t>
            </w:r>
          </w:p>
        </w:tc>
        <w:tc>
          <w:tcPr>
            <w:tcW w:w="127"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1,002,366 </w:t>
            </w:r>
          </w:p>
        </w:tc>
        <w:tc>
          <w:tcPr>
            <w:tcW w:w="127"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2,075,482 </w:t>
            </w:r>
          </w:p>
        </w:tc>
        <w:tc>
          <w:tcPr>
            <w:tcW w:w="112"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2,051,960 </w:t>
            </w:r>
          </w:p>
        </w:tc>
        <w:tc>
          <w:tcPr>
            <w:tcW w:w="15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Costs and expenses</w:t>
            </w:r>
          </w:p>
        </w:tc>
        <w:tc>
          <w:tcPr>
            <w:tcW w:w="1214"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Food and beverage</w:t>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306,397 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298,332 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623,810 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611,636 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Labor and other related</w:t>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312,670 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315,494 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632,879 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630,744 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restaurant operating</w:t>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254,833 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253,225 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513,647 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511,360 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46,010 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44,598 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92,306 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88,545 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General and administrative</w:t>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53,664 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59,527 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105,970 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120,904 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impaired assets and restaurant closings</w:t>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3,972 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1,540 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9,504 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costs and expenses</w:t>
            </w:r>
          </w:p>
        </w:tc>
        <w:tc>
          <w:tcPr>
            <w:tcW w:w="1087"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977,546 </w:t>
            </w:r>
          </w:p>
        </w:tc>
        <w:tc>
          <w:tcPr>
            <w:tcW w:w="127"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972,716 </w:t>
            </w:r>
          </w:p>
        </w:tc>
        <w:tc>
          <w:tcPr>
            <w:tcW w:w="127"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1,978,116 </w:t>
            </w:r>
          </w:p>
        </w:tc>
        <w:tc>
          <w:tcPr>
            <w:tcW w:w="112"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1,965,079 </w:t>
            </w:r>
          </w:p>
        </w:tc>
        <w:tc>
          <w:tcPr>
            <w:tcW w:w="15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from operations</w:t>
            </w:r>
          </w:p>
        </w:tc>
        <w:tc>
          <w:tcPr>
            <w:tcW w:w="1087"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38,263 </w:t>
            </w:r>
          </w:p>
        </w:tc>
        <w:tc>
          <w:tcPr>
            <w:tcW w:w="127"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29,650 </w:t>
            </w:r>
          </w:p>
        </w:tc>
        <w:tc>
          <w:tcPr>
            <w:tcW w:w="127"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97,366 </w:t>
            </w:r>
          </w:p>
        </w:tc>
        <w:tc>
          <w:tcPr>
            <w:tcW w:w="112"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86,881 </w:t>
            </w:r>
          </w:p>
        </w:tc>
        <w:tc>
          <w:tcPr>
            <w:tcW w:w="15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4020"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4020"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 net</w:t>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(11,141)</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(10,699)</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(23,553)</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(21,886)</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before benefit for income taxes</w:t>
            </w:r>
          </w:p>
        </w:tc>
        <w:tc>
          <w:tcPr>
            <w:tcW w:w="1087"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27,122 </w:t>
            </w:r>
          </w:p>
        </w:tc>
        <w:tc>
          <w:tcPr>
            <w:tcW w:w="127"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18,951 </w:t>
            </w:r>
          </w:p>
        </w:tc>
        <w:tc>
          <w:tcPr>
            <w:tcW w:w="127"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73,813 </w:t>
            </w:r>
          </w:p>
        </w:tc>
        <w:tc>
          <w:tcPr>
            <w:tcW w:w="112"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64,995 </w:t>
            </w:r>
          </w:p>
        </w:tc>
        <w:tc>
          <w:tcPr>
            <w:tcW w:w="15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Benefit for income taxes</w:t>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(6,672)</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(8,748)</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(16,963)</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(7,845)</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from equity method investment, net of tax</w:t>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(864)</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(1,806)</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(1,042)</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(3,097)</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from continuing operations</w:t>
            </w:r>
          </w:p>
        </w:tc>
        <w:tc>
          <w:tcPr>
            <w:tcW w:w="1087"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32,930 </w:t>
            </w:r>
          </w:p>
        </w:tc>
        <w:tc>
          <w:tcPr>
            <w:tcW w:w="127"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25,893 </w:t>
            </w:r>
          </w:p>
        </w:tc>
        <w:tc>
          <w:tcPr>
            <w:tcW w:w="127"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89,734 </w:t>
            </w:r>
          </w:p>
        </w:tc>
        <w:tc>
          <w:tcPr>
            <w:tcW w:w="112"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69,743 </w:t>
            </w:r>
          </w:p>
        </w:tc>
        <w:tc>
          <w:tcPr>
            <w:tcW w:w="15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income from discontinued operations, net of tax</w:t>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(350)</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779 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525 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1087"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32,580 </w:t>
            </w:r>
          </w:p>
        </w:tc>
        <w:tc>
          <w:tcPr>
            <w:tcW w:w="127"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26,672 </w:t>
            </w:r>
          </w:p>
        </w:tc>
        <w:tc>
          <w:tcPr>
            <w:tcW w:w="127"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89,816 </w:t>
            </w:r>
          </w:p>
        </w:tc>
        <w:tc>
          <w:tcPr>
            <w:tcW w:w="112"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70,268 </w:t>
            </w:r>
          </w:p>
        </w:tc>
        <w:tc>
          <w:tcPr>
            <w:tcW w:w="15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net income attributable to noncontrolling interests</w:t>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1,236 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1,253 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2,818 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2,697 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Net income attributable to Bloomin</w:t>
            </w:r>
            <w:r>
              <w:rPr>
                <w:color w:val="000000"/>
              </w:rPr>
              <w:t xml:space="preserve">’ </w:t>
            </w:r>
            <w:r>
              <w:rPr>
                <w:rFonts w:ascii="Times New Roman;serif" w:hAnsi="Times New Roman;serif"/>
                <w:b w:val="false"/>
                <w:color w:val="000000"/>
                <w:sz w:val="18"/>
              </w:rPr>
              <w:t>Brands</w:t>
            </w:r>
          </w:p>
        </w:tc>
        <w:tc>
          <w:tcPr>
            <w:tcW w:w="228"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9"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31,344 </w:t>
            </w:r>
          </w:p>
        </w:tc>
        <w:tc>
          <w:tcPr>
            <w:tcW w:w="127"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9"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25,419 </w:t>
            </w:r>
          </w:p>
        </w:tc>
        <w:tc>
          <w:tcPr>
            <w:tcW w:w="127"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0"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86,998 </w:t>
            </w:r>
          </w:p>
        </w:tc>
        <w:tc>
          <w:tcPr>
            <w:tcW w:w="112"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9"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67,571 </w:t>
            </w:r>
          </w:p>
        </w:tc>
        <w:tc>
          <w:tcPr>
            <w:tcW w:w="15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 earnings per share (1):</w:t>
            </w:r>
          </w:p>
        </w:tc>
        <w:tc>
          <w:tcPr>
            <w:tcW w:w="12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Continuing operations</w:t>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0.37 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0.29 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0.79 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Discontinued operations</w:t>
            </w:r>
          </w:p>
        </w:tc>
        <w:tc>
          <w:tcPr>
            <w:tcW w:w="1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0.01 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basic earnings per share</w:t>
            </w:r>
          </w:p>
        </w:tc>
        <w:tc>
          <w:tcPr>
            <w:tcW w:w="228"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9"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0.37 </w:t>
            </w:r>
          </w:p>
        </w:tc>
        <w:tc>
          <w:tcPr>
            <w:tcW w:w="127"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9"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0.30 </w:t>
            </w:r>
          </w:p>
        </w:tc>
        <w:tc>
          <w:tcPr>
            <w:tcW w:w="127"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1.02 </w:t>
            </w:r>
          </w:p>
        </w:tc>
        <w:tc>
          <w:tcPr>
            <w:tcW w:w="112"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9"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0.80 </w:t>
            </w:r>
          </w:p>
        </w:tc>
        <w:tc>
          <w:tcPr>
            <w:tcW w:w="15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 earnings per share (1):</w:t>
            </w:r>
          </w:p>
        </w:tc>
        <w:tc>
          <w:tcPr>
            <w:tcW w:w="12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Continuing operations</w:t>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0.37 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0.29 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0.79 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Discontinued operations</w:t>
            </w:r>
          </w:p>
        </w:tc>
        <w:tc>
          <w:tcPr>
            <w:tcW w:w="1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0.01 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0.01 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diluted earnings per share</w:t>
            </w:r>
          </w:p>
        </w:tc>
        <w:tc>
          <w:tcPr>
            <w:tcW w:w="228"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9"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0.36 </w:t>
            </w:r>
          </w:p>
        </w:tc>
        <w:tc>
          <w:tcPr>
            <w:tcW w:w="127"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9"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0.30 </w:t>
            </w:r>
          </w:p>
        </w:tc>
        <w:tc>
          <w:tcPr>
            <w:tcW w:w="127"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0"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1.01 </w:t>
            </w:r>
          </w:p>
        </w:tc>
        <w:tc>
          <w:tcPr>
            <w:tcW w:w="112"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9"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0.79 </w:t>
            </w:r>
          </w:p>
        </w:tc>
        <w:tc>
          <w:tcPr>
            <w:tcW w:w="15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 average common shares outstanding:</w:t>
            </w:r>
          </w:p>
        </w:tc>
        <w:tc>
          <w:tcPr>
            <w:tcW w:w="12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85,559 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85,041 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85,418 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84,971 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108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86,223 </w:t>
            </w:r>
          </w:p>
        </w:tc>
        <w:tc>
          <w:tcPr>
            <w:tcW w:w="127"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85,140 </w:t>
            </w:r>
          </w:p>
        </w:tc>
        <w:tc>
          <w:tcPr>
            <w:tcW w:w="127"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85,987 </w:t>
            </w:r>
          </w:p>
        </w:tc>
        <w:tc>
          <w:tcPr>
            <w:tcW w:w="112"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85,135 </w:t>
            </w:r>
          </w:p>
        </w:tc>
        <w:tc>
          <w:tcPr>
            <w:tcW w:w="15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_________________</w:t>
      </w:r>
    </w:p>
    <w:p>
      <w:pPr>
        <w:pStyle w:val="TextBody"/>
        <w:bidi w:val="0"/>
        <w:spacing w:lineRule="auto" w:line="288" w:before="0" w:after="0"/>
        <w:ind w:left="0" w:right="0" w:hanging="720"/>
        <w:jc w:val="both"/>
        <w:rPr>
          <w:rFonts w:ascii="Times New Roman;serif" w:hAnsi="Times New Roman;serif"/>
          <w:b w:val="false"/>
          <w:color w:val="000000"/>
          <w:sz w:val="18"/>
        </w:rPr>
      </w:pPr>
      <w:r>
        <w:rPr>
          <w:rFonts w:ascii="Times New Roman;serif" w:hAnsi="Times New Roman;serif"/>
          <w:b w:val="false"/>
          <w:color w:val="000000"/>
          <w:sz w:val="18"/>
        </w:rPr>
        <w:t xml:space="preserve">(1)Amounts may not add due to rounding. </w:t>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Represents less than $0.01.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1709"/>
        <w:gridCol w:w="1334"/>
        <w:gridCol w:w="1337"/>
        <w:gridCol w:w="199"/>
        <w:gridCol w:w="888"/>
        <w:gridCol w:w="110"/>
        <w:gridCol w:w="109"/>
        <w:gridCol w:w="109"/>
        <w:gridCol w:w="109"/>
        <w:gridCol w:w="199"/>
        <w:gridCol w:w="888"/>
        <w:gridCol w:w="110"/>
        <w:gridCol w:w="109"/>
        <w:gridCol w:w="109"/>
        <w:gridCol w:w="109"/>
        <w:gridCol w:w="199"/>
        <w:gridCol w:w="888"/>
        <w:gridCol w:w="110"/>
        <w:gridCol w:w="109"/>
        <w:gridCol w:w="109"/>
        <w:gridCol w:w="109"/>
        <w:gridCol w:w="199"/>
        <w:gridCol w:w="888"/>
        <w:gridCol w:w="166"/>
      </w:tblGrid>
      <w:tr>
        <w:trPr/>
        <w:tc>
          <w:tcPr>
            <w:tcW w:w="1709" w:type="dxa"/>
            <w:tcBorders/>
            <w:vAlign w:val="center"/>
          </w:tcPr>
          <w:p>
            <w:pPr>
              <w:pStyle w:val="TableContents"/>
              <w:bidi w:val="0"/>
              <w:spacing w:before="0" w:after="283"/>
              <w:jc w:val="left"/>
              <w:rPr>
                <w:sz w:val="4"/>
                <w:szCs w:val="4"/>
              </w:rPr>
            </w:pPr>
            <w:r>
              <w:rPr>
                <w:sz w:val="4"/>
                <w:szCs w:val="4"/>
              </w:rPr>
            </w:r>
          </w:p>
        </w:tc>
        <w:tc>
          <w:tcPr>
            <w:tcW w:w="1334" w:type="dxa"/>
            <w:tcBorders/>
            <w:vAlign w:val="center"/>
          </w:tcPr>
          <w:p>
            <w:pPr>
              <w:pStyle w:val="TableContents"/>
              <w:bidi w:val="0"/>
              <w:spacing w:before="0" w:after="283"/>
              <w:jc w:val="left"/>
              <w:rPr>
                <w:sz w:val="4"/>
                <w:szCs w:val="4"/>
              </w:rPr>
            </w:pPr>
            <w:r>
              <w:rPr>
                <w:sz w:val="4"/>
                <w:szCs w:val="4"/>
              </w:rPr>
            </w:r>
          </w:p>
        </w:tc>
        <w:tc>
          <w:tcPr>
            <w:tcW w:w="1337"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TABLE TWO</w:t>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BLOOMIN’ BRANDS, INC.</w:t>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SEGMENT RESULTS</w:t>
            </w:r>
          </w:p>
        </w:tc>
      </w:tr>
      <w:tr>
        <w:trPr/>
        <w:tc>
          <w:tcPr>
            <w:tcW w:w="10205" w:type="dxa"/>
            <w:gridSpan w:val="24"/>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(UNAUDITED)</w:t>
            </w:r>
          </w:p>
        </w:tc>
      </w:tr>
      <w:tr>
        <w:trPr/>
        <w:tc>
          <w:tcPr>
            <w:tcW w:w="438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(dollars in thousands)</w:t>
            </w:r>
          </w:p>
        </w:tc>
        <w:tc>
          <w:tcPr>
            <w:tcW w:w="2721"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THIRTEEN WEEKS ENDED</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7"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TWENTY-SIX WEEKS ENDED</w:t>
            </w:r>
          </w:p>
        </w:tc>
      </w:tr>
      <w:tr>
        <w:trPr/>
        <w:tc>
          <w:tcPr>
            <w:tcW w:w="43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U.S. Segment</w:t>
            </w:r>
          </w:p>
        </w:tc>
        <w:tc>
          <w:tcPr>
            <w:tcW w:w="1197"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2026</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2026</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 2025</w:t>
            </w:r>
          </w:p>
        </w:tc>
      </w:tr>
      <w:tr>
        <w:trPr/>
        <w:tc>
          <w:tcPr>
            <w:tcW w:w="4380"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3" w:type="dxa"/>
            <w:gridSpan w:val="3"/>
            <w:tcBorders/>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Revenues</w:t>
            </w:r>
          </w:p>
        </w:tc>
        <w:tc>
          <w:tcPr>
            <w:tcW w:w="1197"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Restaurant sales</w:t>
            </w:r>
          </w:p>
        </w:tc>
        <w:tc>
          <w:tcPr>
            <w:tcW w:w="1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988,385 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975,295 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2,020,576 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1,995,425 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Franchise and other revenues</w:t>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10,247 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10,533 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20,509 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21,306 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Total U.S. segment revenues</w:t>
            </w:r>
          </w:p>
        </w:tc>
        <w:tc>
          <w:tcPr>
            <w:tcW w:w="1087"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998,632 </w:t>
            </w:r>
          </w:p>
        </w:tc>
        <w:tc>
          <w:tcPr>
            <w:tcW w:w="110"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985,828 </w:t>
            </w:r>
          </w:p>
        </w:tc>
        <w:tc>
          <w:tcPr>
            <w:tcW w:w="110"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2,041,085 </w:t>
            </w:r>
          </w:p>
        </w:tc>
        <w:tc>
          <w:tcPr>
            <w:tcW w:w="110"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2,016,731 </w:t>
            </w:r>
          </w:p>
        </w:tc>
        <w:tc>
          <w:tcPr>
            <w:tcW w:w="166"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International Franchise Segment</w:t>
            </w:r>
          </w:p>
        </w:tc>
        <w:tc>
          <w:tcPr>
            <w:tcW w:w="11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Franchise revenues (1)</w:t>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7,593 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7,051 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15,163 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16,334 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Reconciliation</w:t>
            </w:r>
          </w:p>
        </w:tc>
        <w:tc>
          <w:tcPr>
            <w:tcW w:w="11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All other revenues (2)</w:t>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9,584 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9,487 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19,234 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18,895 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revenues</w:t>
            </w:r>
          </w:p>
        </w:tc>
        <w:tc>
          <w:tcPr>
            <w:tcW w:w="199"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8"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1,015,809 </w:t>
            </w:r>
          </w:p>
        </w:tc>
        <w:tc>
          <w:tcPr>
            <w:tcW w:w="110"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8"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1,002,366 </w:t>
            </w:r>
          </w:p>
        </w:tc>
        <w:tc>
          <w:tcPr>
            <w:tcW w:w="110"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8"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2,075,482 </w:t>
            </w:r>
          </w:p>
        </w:tc>
        <w:tc>
          <w:tcPr>
            <w:tcW w:w="110"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8"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2,051,960 </w:t>
            </w:r>
          </w:p>
        </w:tc>
        <w:tc>
          <w:tcPr>
            <w:tcW w:w="166"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Reconciliation of Segment Operating Income to Total Operating Income </w:t>
            </w:r>
          </w:p>
        </w:tc>
        <w:tc>
          <w:tcPr>
            <w:tcW w:w="11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Segment income from operations</w:t>
            </w:r>
          </w:p>
        </w:tc>
        <w:tc>
          <w:tcPr>
            <w:tcW w:w="11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w:t>
            </w:r>
          </w:p>
        </w:tc>
        <w:tc>
          <w:tcPr>
            <w:tcW w:w="1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67,599 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68,461 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155,615 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156,131 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International Franchise</w:t>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7,409 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6,838 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14,745 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15,842 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segment income from operations</w:t>
            </w:r>
          </w:p>
        </w:tc>
        <w:tc>
          <w:tcPr>
            <w:tcW w:w="1087"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75,008 </w:t>
            </w:r>
          </w:p>
        </w:tc>
        <w:tc>
          <w:tcPr>
            <w:tcW w:w="110"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75,299 </w:t>
            </w:r>
          </w:p>
        </w:tc>
        <w:tc>
          <w:tcPr>
            <w:tcW w:w="110"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170,360 </w:t>
            </w:r>
          </w:p>
        </w:tc>
        <w:tc>
          <w:tcPr>
            <w:tcW w:w="110"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171,973 </w:t>
            </w:r>
          </w:p>
        </w:tc>
        <w:tc>
          <w:tcPr>
            <w:tcW w:w="166"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Unallocated corporate operating expense</w:t>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(37,385)</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(46,422)</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(74,113)</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(86,190)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from operations (2)</w:t>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1,119 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1,098 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income from operations</w:t>
            </w:r>
          </w:p>
        </w:tc>
        <w:tc>
          <w:tcPr>
            <w:tcW w:w="199"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8"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38,263 </w:t>
            </w:r>
          </w:p>
        </w:tc>
        <w:tc>
          <w:tcPr>
            <w:tcW w:w="110"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8"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29,650 </w:t>
            </w:r>
          </w:p>
        </w:tc>
        <w:tc>
          <w:tcPr>
            <w:tcW w:w="110"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8"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97,366 </w:t>
            </w:r>
          </w:p>
        </w:tc>
        <w:tc>
          <w:tcPr>
            <w:tcW w:w="110"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8"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86,881 </w:t>
            </w:r>
          </w:p>
        </w:tc>
        <w:tc>
          <w:tcPr>
            <w:tcW w:w="166"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_________________</w:t>
      </w:r>
    </w:p>
    <w:p>
      <w:pPr>
        <w:pStyle w:val="TextBody"/>
        <w:bidi w:val="0"/>
        <w:spacing w:lineRule="auto" w:line="288" w:before="0" w:after="0"/>
        <w:ind w:left="0" w:right="0" w:hanging="720"/>
        <w:jc w:val="both"/>
        <w:rPr>
          <w:rFonts w:ascii="Times New Roman;serif" w:hAnsi="Times New Roman;serif"/>
          <w:b w:val="false"/>
          <w:color w:val="000000"/>
          <w:sz w:val="18"/>
        </w:rPr>
      </w:pPr>
      <w:r>
        <w:rPr>
          <w:rFonts w:ascii="Times New Roman;serif" w:hAnsi="Times New Roman;serif"/>
          <w:b w:val="false"/>
          <w:color w:val="000000"/>
          <w:sz w:val="18"/>
        </w:rPr>
        <w:t>(1)The twenty-six weeks ended June 29, 2025 includes one month of pre-Brazil Sale Transaction intercompany royalties.</w:t>
      </w:r>
    </w:p>
    <w:p>
      <w:pPr>
        <w:pStyle w:val="TextBody"/>
        <w:bidi w:val="0"/>
        <w:spacing w:lineRule="auto" w:line="288" w:before="0" w:after="0"/>
        <w:ind w:left="0" w:right="0" w:hanging="720"/>
        <w:jc w:val="both"/>
        <w:rPr>
          <w:rFonts w:ascii="Times New Roman;serif" w:hAnsi="Times New Roman;serif"/>
          <w:b w:val="false"/>
          <w:color w:val="000000"/>
          <w:sz w:val="18"/>
        </w:rPr>
      </w:pPr>
      <w:r>
        <w:rPr>
          <w:rFonts w:ascii="Times New Roman;serif" w:hAnsi="Times New Roman;serif"/>
          <w:b w:val="false"/>
          <w:color w:val="000000"/>
          <w:sz w:val="18"/>
        </w:rPr>
        <w:t>(2)Primarily includes revenues and income from operations related to its Hong Kong subsidiary.</w:t>
      </w:r>
    </w:p>
    <w:p>
      <w:pPr>
        <w:pStyle w:val="TextBody"/>
        <w:bidi w:val="0"/>
        <w:spacing w:before="0" w:after="0"/>
        <w:ind w:left="0" w:right="0" w:hanging="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6484" w:type="dxa"/>
        <w:jc w:val="left"/>
        <w:tblInd w:w="0" w:type="dxa"/>
        <w:tblLayout w:type="fixed"/>
        <w:tblCellMar>
          <w:top w:w="28" w:type="dxa"/>
          <w:left w:w="28" w:type="dxa"/>
          <w:bottom w:w="28" w:type="dxa"/>
          <w:right w:w="28" w:type="dxa"/>
        </w:tblCellMar>
      </w:tblPr>
      <w:tblGrid>
        <w:gridCol w:w="857"/>
        <w:gridCol w:w="755"/>
        <w:gridCol w:w="758"/>
        <w:gridCol w:w="296"/>
        <w:gridCol w:w="1317"/>
        <w:gridCol w:w="164"/>
        <w:gridCol w:w="164"/>
        <w:gridCol w:w="164"/>
        <w:gridCol w:w="164"/>
        <w:gridCol w:w="296"/>
        <w:gridCol w:w="1317"/>
        <w:gridCol w:w="232"/>
      </w:tblGrid>
      <w:tr>
        <w:trPr/>
        <w:tc>
          <w:tcPr>
            <w:tcW w:w="857"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r>
      <w:tr>
        <w:trPr/>
        <w:tc>
          <w:tcPr>
            <w:tcW w:w="6484"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TABLE THREE</w:t>
            </w:r>
          </w:p>
        </w:tc>
      </w:tr>
      <w:tr>
        <w:trPr/>
        <w:tc>
          <w:tcPr>
            <w:tcW w:w="6484"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BLOOMIN’ BRANDS, INC.</w:t>
            </w:r>
          </w:p>
        </w:tc>
      </w:tr>
      <w:tr>
        <w:trPr/>
        <w:tc>
          <w:tcPr>
            <w:tcW w:w="6484"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SUPPLEMENTAL BALANCE SHEET INFORMATION</w:t>
            </w:r>
          </w:p>
        </w:tc>
      </w:tr>
      <w:tr>
        <w:trPr/>
        <w:tc>
          <w:tcPr>
            <w:tcW w:w="2370"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7"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2026</w:t>
            </w:r>
          </w:p>
        </w:tc>
        <w:tc>
          <w:tcPr>
            <w:tcW w:w="492"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vMerge w:val="restart"/>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28, 2025</w:t>
            </w:r>
          </w:p>
        </w:tc>
      </w:tr>
      <w:tr>
        <w:trPr/>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(dollars in thousands)</w:t>
            </w:r>
          </w:p>
        </w:tc>
        <w:tc>
          <w:tcPr>
            <w:tcW w:w="17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(UNAUDITED)</w:t>
            </w:r>
          </w:p>
        </w:tc>
        <w:tc>
          <w:tcPr>
            <w:tcW w:w="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vMerge w:val="continue"/>
            <w:tcBorders>
              <w:top w:val="single" w:sz="16" w:space="0" w:color="000000"/>
            </w:tcBorders>
            <w:tcMar>
              <w:top w:w="30" w:type="dxa"/>
              <w:left w:w="0" w:type="dxa"/>
              <w:bottom w:w="0" w:type="dxa"/>
              <w:right w:w="0" w:type="dxa"/>
            </w:tcMar>
            <w:vAlign w:val="center"/>
          </w:tcPr>
          <w:p>
            <w:pPr>
              <w:pStyle w:val="Normal"/>
              <w:bidi w:val="0"/>
              <w:jc w:val="left"/>
              <w:rPr/>
            </w:pPr>
            <w:r>
              <w:rPr/>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29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17"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66,613 </w:t>
            </w:r>
          </w:p>
        </w:tc>
        <w:tc>
          <w:tcPr>
            <w:tcW w:w="16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17"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59,461 </w:t>
            </w:r>
          </w:p>
        </w:tc>
        <w:tc>
          <w:tcPr>
            <w:tcW w:w="232"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working capital (deficit) (1)</w:t>
            </w:r>
          </w:p>
        </w:tc>
        <w:tc>
          <w:tcPr>
            <w:tcW w:w="2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(614,443)</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(609,008)</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2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3,118,055 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3,171,907 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debt</w:t>
            </w:r>
          </w:p>
        </w:tc>
        <w:tc>
          <w:tcPr>
            <w:tcW w:w="2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702,788 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787,425 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stockholders’ equity</w:t>
            </w:r>
          </w:p>
        </w:tc>
        <w:tc>
          <w:tcPr>
            <w:tcW w:w="2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435,068 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337,165 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_________________</w:t>
      </w:r>
    </w:p>
    <w:p>
      <w:pPr>
        <w:pStyle w:val="TextBody"/>
        <w:bidi w:val="0"/>
        <w:spacing w:lineRule="auto" w:line="288" w:before="0" w:after="0"/>
        <w:ind w:left="0" w:right="0" w:hanging="720"/>
        <w:jc w:val="both"/>
        <w:rPr>
          <w:rFonts w:ascii="Times New Roman;serif" w:hAnsi="Times New Roman;serif"/>
          <w:b w:val="false"/>
          <w:color w:val="000000"/>
          <w:sz w:val="18"/>
        </w:rPr>
      </w:pPr>
      <w:r>
        <w:rPr>
          <w:rFonts w:ascii="Times New Roman;serif" w:hAnsi="Times New Roman;serif"/>
          <w:b w:val="false"/>
          <w:color w:val="000000"/>
          <w:sz w:val="18"/>
        </w:rPr>
        <w:t>(1)We have, and in the future may continue to have, negative working capital balances (as is common for many restaurant companies). We operate successfully with negative working capital because cash collected on restaurant sales is typically received before payment is due on our current liabilities, and our inventory turnover rates require relatively low investment in inventories. Additionally, ongoing cash flows from restaurant operations and gift card sales are typically used to service debt obligations and to make capital expenditures.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125"/>
        <w:gridCol w:w="975"/>
        <w:gridCol w:w="976"/>
        <w:gridCol w:w="241"/>
        <w:gridCol w:w="908"/>
        <w:gridCol w:w="316"/>
        <w:gridCol w:w="134"/>
        <w:gridCol w:w="134"/>
        <w:gridCol w:w="134"/>
        <w:gridCol w:w="241"/>
        <w:gridCol w:w="908"/>
        <w:gridCol w:w="316"/>
        <w:gridCol w:w="134"/>
        <w:gridCol w:w="134"/>
        <w:gridCol w:w="134"/>
        <w:gridCol w:w="241"/>
        <w:gridCol w:w="908"/>
        <w:gridCol w:w="316"/>
        <w:gridCol w:w="134"/>
        <w:gridCol w:w="134"/>
        <w:gridCol w:w="134"/>
        <w:gridCol w:w="241"/>
        <w:gridCol w:w="908"/>
        <w:gridCol w:w="379"/>
      </w:tblGrid>
      <w:tr>
        <w:trPr/>
        <w:tc>
          <w:tcPr>
            <w:tcW w:w="1125"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TABLE FOUR</w:t>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BLOOMIN’ BRANDS, INC.</w:t>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RESTAURANT-LEVEL OPERATING INCOME AND MARGIN NON-GAAP RECONCILIATIONS</w:t>
            </w:r>
          </w:p>
        </w:tc>
      </w:tr>
      <w:tr>
        <w:trPr/>
        <w:tc>
          <w:tcPr>
            <w:tcW w:w="10205" w:type="dxa"/>
            <w:gridSpan w:val="24"/>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(UNAUDITED)</w:t>
            </w:r>
          </w:p>
        </w:tc>
      </w:tr>
      <w:tr>
        <w:trPr/>
        <w:tc>
          <w:tcPr>
            <w:tcW w:w="307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Consolidated</w:t>
            </w:r>
          </w:p>
        </w:tc>
        <w:tc>
          <w:tcPr>
            <w:tcW w:w="3332"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THIRTEEN WEEKS ENDED</w:t>
            </w:r>
          </w:p>
        </w:tc>
        <w:tc>
          <w:tcPr>
            <w:tcW w:w="402"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5"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TWENTY-SIX WEEKS ENDED</w:t>
            </w:r>
          </w:p>
        </w:tc>
      </w:tr>
      <w:tr>
        <w:trPr/>
        <w:tc>
          <w:tcPr>
            <w:tcW w:w="30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(dollars in thousands)</w:t>
            </w:r>
          </w:p>
        </w:tc>
        <w:tc>
          <w:tcPr>
            <w:tcW w:w="146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2026</w:t>
            </w:r>
          </w:p>
        </w:tc>
        <w:tc>
          <w:tcPr>
            <w:tcW w:w="402"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 2025</w:t>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2026</w:t>
            </w:r>
          </w:p>
        </w:tc>
        <w:tc>
          <w:tcPr>
            <w:tcW w:w="402"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 2025</w:t>
            </w:r>
          </w:p>
        </w:tc>
      </w:tr>
      <w:tr>
        <w:trPr/>
        <w:tc>
          <w:tcPr>
            <w:tcW w:w="30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from operations</w:t>
            </w:r>
          </w:p>
        </w:tc>
        <w:tc>
          <w:tcPr>
            <w:tcW w:w="24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8"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38,263 </w:t>
            </w:r>
          </w:p>
        </w:tc>
        <w:tc>
          <w:tcPr>
            <w:tcW w:w="316"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8"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29,650 </w:t>
            </w:r>
          </w:p>
        </w:tc>
        <w:tc>
          <w:tcPr>
            <w:tcW w:w="316"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8"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97,366 </w:t>
            </w:r>
          </w:p>
        </w:tc>
        <w:tc>
          <w:tcPr>
            <w:tcW w:w="316"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8"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86,881 </w:t>
            </w:r>
          </w:p>
        </w:tc>
        <w:tc>
          <w:tcPr>
            <w:tcW w:w="37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Operating income margin</w:t>
            </w:r>
          </w:p>
        </w:tc>
        <w:tc>
          <w:tcPr>
            <w:tcW w:w="11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4.2 </w:t>
            </w:r>
          </w:p>
        </w:tc>
        <w:tc>
          <w:tcPr>
            <w:tcW w:w="3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0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w:t>
            </w:r>
          </w:p>
        </w:tc>
        <w:tc>
          <w:tcPr>
            <w:tcW w:w="1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Franchise and other revenues</w:t>
            </w:r>
          </w:p>
        </w:tc>
        <w:tc>
          <w:tcPr>
            <w:tcW w:w="11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17,852 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17,595 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35,699 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37,672 </w:t>
            </w:r>
          </w:p>
        </w:tc>
        <w:tc>
          <w:tcPr>
            <w:tcW w:w="3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Plus:</w:t>
            </w:r>
          </w:p>
        </w:tc>
        <w:tc>
          <w:tcPr>
            <w:tcW w:w="1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11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46,010 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44,598 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92,306 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88,545 </w:t>
            </w:r>
          </w:p>
        </w:tc>
        <w:tc>
          <w:tcPr>
            <w:tcW w:w="3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General and administrative</w:t>
            </w:r>
          </w:p>
        </w:tc>
        <w:tc>
          <w:tcPr>
            <w:tcW w:w="11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53,664 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59,527 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105,970 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120,904 </w:t>
            </w:r>
          </w:p>
        </w:tc>
        <w:tc>
          <w:tcPr>
            <w:tcW w:w="3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impaired assets and restaurant closings</w:t>
            </w:r>
          </w:p>
        </w:tc>
        <w:tc>
          <w:tcPr>
            <w:tcW w:w="11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3,972 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1,540 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9,504 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1,890 </w:t>
            </w:r>
          </w:p>
        </w:tc>
        <w:tc>
          <w:tcPr>
            <w:tcW w:w="3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6" w:type="dxa"/>
            <w:gridSpan w:val="3"/>
            <w:tcBorders/>
            <w:vAlign w:val="center"/>
          </w:tcPr>
          <w:p>
            <w:pPr>
              <w:pStyle w:val="TableContents"/>
              <w:bidi w:val="0"/>
              <w:spacing w:before="0" w:after="283"/>
              <w:jc w:val="left"/>
              <w:rPr>
                <w:sz w:val="4"/>
                <w:szCs w:val="4"/>
              </w:rPr>
            </w:pPr>
            <w:r>
              <w:rPr>
                <w:sz w:val="4"/>
                <w:szCs w:val="4"/>
              </w:rPr>
            </w:r>
          </w:p>
        </w:tc>
        <w:tc>
          <w:tcPr>
            <w:tcW w:w="1465"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1465"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1465"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1528" w:type="dxa"/>
            <w:gridSpan w:val="3"/>
            <w:tcBorders/>
            <w:vAlign w:val="center"/>
          </w:tcPr>
          <w:p>
            <w:pPr>
              <w:pStyle w:val="TableContents"/>
              <w:bidi w:val="0"/>
              <w:spacing w:before="0" w:after="283"/>
              <w:jc w:val="left"/>
              <w:rPr>
                <w:sz w:val="4"/>
                <w:szCs w:val="4"/>
              </w:rPr>
            </w:pPr>
            <w:r>
              <w:rPr>
                <w:sz w:val="4"/>
                <w:szCs w:val="4"/>
              </w:rPr>
            </w:r>
          </w:p>
        </w:tc>
      </w:tr>
      <w:tr>
        <w:trPr/>
        <w:tc>
          <w:tcPr>
            <w:tcW w:w="30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Restaurant-level operating income (1)</w:t>
            </w:r>
          </w:p>
        </w:tc>
        <w:tc>
          <w:tcPr>
            <w:tcW w:w="24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8"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124,057 </w:t>
            </w:r>
          </w:p>
        </w:tc>
        <w:tc>
          <w:tcPr>
            <w:tcW w:w="316"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8"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117,720 </w:t>
            </w:r>
          </w:p>
        </w:tc>
        <w:tc>
          <w:tcPr>
            <w:tcW w:w="316"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8"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269,447 </w:t>
            </w:r>
          </w:p>
        </w:tc>
        <w:tc>
          <w:tcPr>
            <w:tcW w:w="316"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8"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260,548 </w:t>
            </w:r>
          </w:p>
        </w:tc>
        <w:tc>
          <w:tcPr>
            <w:tcW w:w="37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Restaurant-level operating margin</w:t>
            </w:r>
          </w:p>
        </w:tc>
        <w:tc>
          <w:tcPr>
            <w:tcW w:w="1149"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12.4 </w:t>
            </w:r>
          </w:p>
        </w:tc>
        <w:tc>
          <w:tcPr>
            <w:tcW w:w="31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12.0 </w:t>
            </w:r>
          </w:p>
        </w:tc>
        <w:tc>
          <w:tcPr>
            <w:tcW w:w="31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13.2 </w:t>
            </w:r>
          </w:p>
        </w:tc>
        <w:tc>
          <w:tcPr>
            <w:tcW w:w="31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12.9 </w:t>
            </w:r>
          </w:p>
        </w:tc>
        <w:tc>
          <w:tcPr>
            <w:tcW w:w="37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076" w:type="dxa"/>
            <w:gridSpan w:val="3"/>
            <w:tcBorders/>
            <w:vAlign w:val="center"/>
          </w:tcPr>
          <w:p>
            <w:pPr>
              <w:pStyle w:val="TableContents"/>
              <w:bidi w:val="0"/>
              <w:spacing w:before="0" w:after="283"/>
              <w:jc w:val="left"/>
              <w:rPr>
                <w:sz w:val="4"/>
                <w:szCs w:val="4"/>
              </w:rPr>
            </w:pPr>
            <w:r>
              <w:rPr>
                <w:sz w:val="4"/>
                <w:szCs w:val="4"/>
              </w:rPr>
            </w:r>
          </w:p>
        </w:tc>
        <w:tc>
          <w:tcPr>
            <w:tcW w:w="1465"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1465"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1465"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1528" w:type="dxa"/>
            <w:gridSpan w:val="3"/>
            <w:tcBorders/>
            <w:vAlign w:val="center"/>
          </w:tcPr>
          <w:p>
            <w:pPr>
              <w:pStyle w:val="TableContents"/>
              <w:bidi w:val="0"/>
              <w:spacing w:before="0" w:after="283"/>
              <w:jc w:val="left"/>
              <w:rPr>
                <w:sz w:val="4"/>
                <w:szCs w:val="4"/>
              </w:rPr>
            </w:pPr>
            <w:r>
              <w:rPr>
                <w:sz w:val="4"/>
                <w:szCs w:val="4"/>
              </w:rPr>
            </w:r>
          </w:p>
        </w:tc>
      </w:tr>
      <w:tr>
        <w:trPr/>
        <w:tc>
          <w:tcPr>
            <w:tcW w:w="3076" w:type="dxa"/>
            <w:gridSpan w:val="3"/>
            <w:tcBorders/>
            <w:vAlign w:val="center"/>
          </w:tcPr>
          <w:p>
            <w:pPr>
              <w:pStyle w:val="TableContents"/>
              <w:bidi w:val="0"/>
              <w:spacing w:before="0" w:after="283"/>
              <w:jc w:val="left"/>
              <w:rPr>
                <w:sz w:val="4"/>
                <w:szCs w:val="4"/>
              </w:rPr>
            </w:pPr>
            <w:r>
              <w:rPr>
                <w:sz w:val="4"/>
                <w:szCs w:val="4"/>
              </w:rPr>
            </w:r>
          </w:p>
        </w:tc>
        <w:tc>
          <w:tcPr>
            <w:tcW w:w="1465"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1465"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1465"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1528" w:type="dxa"/>
            <w:gridSpan w:val="3"/>
            <w:tcBorders/>
            <w:vAlign w:val="center"/>
          </w:tcPr>
          <w:p>
            <w:pPr>
              <w:pStyle w:val="TableContents"/>
              <w:bidi w:val="0"/>
              <w:spacing w:before="0" w:after="283"/>
              <w:jc w:val="left"/>
              <w:rPr>
                <w:sz w:val="4"/>
                <w:szCs w:val="4"/>
              </w:rPr>
            </w:pPr>
            <w:r>
              <w:rPr>
                <w:sz w:val="4"/>
                <w:szCs w:val="4"/>
              </w:rPr>
            </w:r>
          </w:p>
        </w:tc>
      </w:tr>
      <w:tr>
        <w:trPr/>
        <w:tc>
          <w:tcPr>
            <w:tcW w:w="3076" w:type="dxa"/>
            <w:gridSpan w:val="3"/>
            <w:tcBorders/>
            <w:vAlign w:val="center"/>
          </w:tcPr>
          <w:p>
            <w:pPr>
              <w:pStyle w:val="TableContents"/>
              <w:bidi w:val="0"/>
              <w:spacing w:before="0" w:after="283"/>
              <w:jc w:val="left"/>
              <w:rPr>
                <w:sz w:val="4"/>
                <w:szCs w:val="4"/>
              </w:rPr>
            </w:pPr>
            <w:r>
              <w:rPr>
                <w:sz w:val="4"/>
                <w:szCs w:val="4"/>
              </w:rPr>
            </w:r>
          </w:p>
        </w:tc>
        <w:tc>
          <w:tcPr>
            <w:tcW w:w="1465"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1465"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1465"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1528" w:type="dxa"/>
            <w:gridSpan w:val="3"/>
            <w:tcBorders/>
            <w:vAlign w:val="center"/>
          </w:tcPr>
          <w:p>
            <w:pPr>
              <w:pStyle w:val="TableContents"/>
              <w:bidi w:val="0"/>
              <w:spacing w:before="0" w:after="283"/>
              <w:jc w:val="left"/>
              <w:rPr>
                <w:sz w:val="4"/>
                <w:szCs w:val="4"/>
              </w:rPr>
            </w:pPr>
            <w:r>
              <w:rPr>
                <w:sz w:val="4"/>
                <w:szCs w:val="4"/>
              </w:rPr>
            </w:r>
          </w:p>
        </w:tc>
      </w:tr>
      <w:tr>
        <w:trPr/>
        <w:tc>
          <w:tcPr>
            <w:tcW w:w="3076" w:type="dxa"/>
            <w:gridSpan w:val="3"/>
            <w:tcBorders/>
            <w:vAlign w:val="center"/>
          </w:tcPr>
          <w:p>
            <w:pPr>
              <w:pStyle w:val="TableContents"/>
              <w:bidi w:val="0"/>
              <w:spacing w:before="0" w:after="283"/>
              <w:jc w:val="left"/>
              <w:rPr>
                <w:sz w:val="4"/>
                <w:szCs w:val="4"/>
              </w:rPr>
            </w:pPr>
            <w:r>
              <w:rPr>
                <w:sz w:val="4"/>
                <w:szCs w:val="4"/>
              </w:rPr>
            </w:r>
          </w:p>
        </w:tc>
        <w:tc>
          <w:tcPr>
            <w:tcW w:w="1465"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1465"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1465"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1528" w:type="dxa"/>
            <w:gridSpan w:val="3"/>
            <w:tcBorders/>
            <w:vAlign w:val="center"/>
          </w:tcPr>
          <w:p>
            <w:pPr>
              <w:pStyle w:val="TableContents"/>
              <w:bidi w:val="0"/>
              <w:spacing w:before="0" w:after="283"/>
              <w:jc w:val="left"/>
              <w:rPr>
                <w:sz w:val="4"/>
                <w:szCs w:val="4"/>
              </w:rPr>
            </w:pPr>
            <w:r>
              <w:rPr>
                <w:sz w:val="4"/>
                <w:szCs w:val="4"/>
              </w:rPr>
            </w:r>
          </w:p>
        </w:tc>
      </w:tr>
      <w:tr>
        <w:trPr/>
        <w:tc>
          <w:tcPr>
            <w:tcW w:w="3076" w:type="dxa"/>
            <w:gridSpan w:val="3"/>
            <w:tcBorders/>
            <w:vAlign w:val="center"/>
          </w:tcPr>
          <w:p>
            <w:pPr>
              <w:pStyle w:val="TableContents"/>
              <w:bidi w:val="0"/>
              <w:spacing w:before="0" w:after="283"/>
              <w:jc w:val="left"/>
              <w:rPr>
                <w:sz w:val="4"/>
                <w:szCs w:val="4"/>
              </w:rPr>
            </w:pPr>
            <w:r>
              <w:rPr>
                <w:sz w:val="4"/>
                <w:szCs w:val="4"/>
              </w:rPr>
            </w:r>
          </w:p>
        </w:tc>
        <w:tc>
          <w:tcPr>
            <w:tcW w:w="1465"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1465"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1465"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152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both"/>
        <w:rPr>
          <w:rFonts w:ascii="Times New Roman;serif" w:hAnsi="Times New Roman;serif"/>
          <w:b w:val="false"/>
          <w:color w:val="000000"/>
          <w:sz w:val="18"/>
        </w:rPr>
      </w:pPr>
      <w:r>
        <w:rPr>
          <w:rFonts w:ascii="Times New Roman;serif" w:hAnsi="Times New Roman;serif"/>
          <w:b w:val="false"/>
          <w:color w:val="000000"/>
          <w:sz w:val="18"/>
        </w:rPr>
        <w:t>_________________</w:t>
      </w:r>
    </w:p>
    <w:p>
      <w:pPr>
        <w:pStyle w:val="TextBody"/>
        <w:bidi w:val="0"/>
        <w:spacing w:lineRule="auto" w:line="288" w:before="0" w:after="0"/>
        <w:ind w:left="0" w:right="0" w:hanging="540"/>
        <w:jc w:val="both"/>
        <w:rPr>
          <w:rFonts w:ascii="Times New Roman;serif" w:hAnsi="Times New Roman;serif"/>
          <w:b w:val="false"/>
          <w:color w:val="000000"/>
          <w:sz w:val="18"/>
        </w:rPr>
      </w:pPr>
      <w:r>
        <w:rPr>
          <w:rFonts w:ascii="Times New Roman;serif" w:hAnsi="Times New Roman;serif"/>
          <w:b w:val="false"/>
          <w:color w:val="000000"/>
          <w:sz w:val="18"/>
        </w:rPr>
        <w:t>(1)The following categories of revenue and operating expenses are not included in restaurant-level operating income and the corresponding margin because we do not consider them reflective of operating performance at the restaurant-level within a period:</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 xml:space="preserve">(a)Franchise and other revenues, which are earned primarily from franchise royalties and other non-food and beverage revenue streams, such as rental and sublease income. </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(b)Depreciation and amortization, which, although substantially all of which is related to restaurant-level assets, represent historical sunk costs rather than cash outlays for the restaurants.</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(c)General and administrative expense, which includes primarily non-restaurant-level costs associated with support of the restaurants and other activities at our corporate office.</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(d)Asset impairment charges and restaurant closing costs.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182"/>
        <w:gridCol w:w="996"/>
        <w:gridCol w:w="981"/>
        <w:gridCol w:w="246"/>
        <w:gridCol w:w="813"/>
        <w:gridCol w:w="322"/>
        <w:gridCol w:w="136"/>
        <w:gridCol w:w="136"/>
        <w:gridCol w:w="136"/>
        <w:gridCol w:w="246"/>
        <w:gridCol w:w="813"/>
        <w:gridCol w:w="322"/>
        <w:gridCol w:w="136"/>
        <w:gridCol w:w="136"/>
        <w:gridCol w:w="136"/>
        <w:gridCol w:w="246"/>
        <w:gridCol w:w="926"/>
        <w:gridCol w:w="322"/>
        <w:gridCol w:w="136"/>
        <w:gridCol w:w="136"/>
        <w:gridCol w:w="136"/>
        <w:gridCol w:w="246"/>
        <w:gridCol w:w="926"/>
        <w:gridCol w:w="394"/>
      </w:tblGrid>
      <w:tr>
        <w:trPr/>
        <w:tc>
          <w:tcPr>
            <w:tcW w:w="1182"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TABLE FIVE</w:t>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BLOOMIN’ BRANDS, INC.</w:t>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ADJUSTED INCOME FROM OPERATIONS AND MARGIN NON-GAAP RECONCILIATIONS</w:t>
            </w:r>
          </w:p>
        </w:tc>
      </w:tr>
      <w:tr>
        <w:trPr/>
        <w:tc>
          <w:tcPr>
            <w:tcW w:w="10205" w:type="dxa"/>
            <w:gridSpan w:val="24"/>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(UNAUDITED)</w:t>
            </w:r>
          </w:p>
        </w:tc>
      </w:tr>
      <w:tr>
        <w:trPr/>
        <w:tc>
          <w:tcPr>
            <w:tcW w:w="315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(dollars in thousands)</w:t>
            </w:r>
          </w:p>
        </w:tc>
        <w:tc>
          <w:tcPr>
            <w:tcW w:w="3170"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THIRTEEN WEEKS ENDED</w:t>
            </w:r>
          </w:p>
        </w:tc>
        <w:tc>
          <w:tcPr>
            <w:tcW w:w="408"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8"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TWENTY-SIX WEEKS ENDED</w:t>
            </w:r>
          </w:p>
        </w:tc>
      </w:tr>
      <w:tr>
        <w:trPr/>
        <w:tc>
          <w:tcPr>
            <w:tcW w:w="3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Consolidated</w:t>
            </w:r>
          </w:p>
        </w:tc>
        <w:tc>
          <w:tcPr>
            <w:tcW w:w="138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2026</w:t>
            </w:r>
          </w:p>
        </w:tc>
        <w:tc>
          <w:tcPr>
            <w:tcW w:w="408"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 2025</w:t>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2026</w:t>
            </w:r>
          </w:p>
        </w:tc>
        <w:tc>
          <w:tcPr>
            <w:tcW w:w="408"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 2025</w:t>
            </w:r>
          </w:p>
        </w:tc>
      </w:tr>
      <w:tr>
        <w:trPr/>
        <w:tc>
          <w:tcPr>
            <w:tcW w:w="3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from operations</w:t>
            </w:r>
          </w:p>
        </w:tc>
        <w:tc>
          <w:tcPr>
            <w:tcW w:w="24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3"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38,263 </w:t>
            </w:r>
          </w:p>
        </w:tc>
        <w:tc>
          <w:tcPr>
            <w:tcW w:w="322"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3"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29,650 </w:t>
            </w:r>
          </w:p>
        </w:tc>
        <w:tc>
          <w:tcPr>
            <w:tcW w:w="322"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97,366 </w:t>
            </w:r>
          </w:p>
        </w:tc>
        <w:tc>
          <w:tcPr>
            <w:tcW w:w="322"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86,881 </w:t>
            </w:r>
          </w:p>
        </w:tc>
        <w:tc>
          <w:tcPr>
            <w:tcW w:w="39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Operating income margin</w:t>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3.8 </w:t>
            </w:r>
          </w:p>
        </w:tc>
        <w:tc>
          <w:tcPr>
            <w:tcW w:w="3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3.0 </w:t>
            </w:r>
          </w:p>
        </w:tc>
        <w:tc>
          <w:tcPr>
            <w:tcW w:w="3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4.7 </w:t>
            </w:r>
          </w:p>
        </w:tc>
        <w:tc>
          <w:tcPr>
            <w:tcW w:w="3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4.2 </w:t>
            </w:r>
          </w:p>
        </w:tc>
        <w:tc>
          <w:tcPr>
            <w:tcW w:w="3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w:t>
            </w:r>
          </w:p>
        </w:tc>
        <w:tc>
          <w:tcPr>
            <w:tcW w:w="1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Severance and other transformational costs (1)</w:t>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2,865 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3,542 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6,246 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9,600 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forward contract costs (2)</w:t>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2,233 </w:t>
            </w:r>
          </w:p>
        </w:tc>
        <w:tc>
          <w:tcPr>
            <w:tcW w:w="3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4,561 </w:t>
            </w:r>
          </w:p>
        </w:tc>
        <w:tc>
          <w:tcPr>
            <w:tcW w:w="3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Asset impairments and closure-related charges (3)</w:t>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(1,929)</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income from operations adjustments</w:t>
            </w:r>
          </w:p>
        </w:tc>
        <w:tc>
          <w:tcPr>
            <w:tcW w:w="1059"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2,865 </w:t>
            </w:r>
          </w:p>
        </w:tc>
        <w:tc>
          <w:tcPr>
            <w:tcW w:w="322"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5,775 </w:t>
            </w:r>
          </w:p>
        </w:tc>
        <w:tc>
          <w:tcPr>
            <w:tcW w:w="322"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6,246 </w:t>
            </w:r>
          </w:p>
        </w:tc>
        <w:tc>
          <w:tcPr>
            <w:tcW w:w="322"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12,232 </w:t>
            </w:r>
          </w:p>
        </w:tc>
        <w:tc>
          <w:tcPr>
            <w:tcW w:w="39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income from operations</w:t>
            </w:r>
          </w:p>
        </w:tc>
        <w:tc>
          <w:tcPr>
            <w:tcW w:w="246"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3"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41,128 </w:t>
            </w:r>
          </w:p>
        </w:tc>
        <w:tc>
          <w:tcPr>
            <w:tcW w:w="322"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3"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35,425 </w:t>
            </w:r>
          </w:p>
        </w:tc>
        <w:tc>
          <w:tcPr>
            <w:tcW w:w="322"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6"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103,612 </w:t>
            </w:r>
          </w:p>
        </w:tc>
        <w:tc>
          <w:tcPr>
            <w:tcW w:w="322"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6"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99,113 </w:t>
            </w:r>
          </w:p>
        </w:tc>
        <w:tc>
          <w:tcPr>
            <w:tcW w:w="394"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Adjusted operating income margin</w:t>
            </w:r>
          </w:p>
        </w:tc>
        <w:tc>
          <w:tcPr>
            <w:tcW w:w="1059"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4.0 </w:t>
            </w:r>
          </w:p>
        </w:tc>
        <w:tc>
          <w:tcPr>
            <w:tcW w:w="32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3.5 </w:t>
            </w:r>
          </w:p>
        </w:tc>
        <w:tc>
          <w:tcPr>
            <w:tcW w:w="32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5.0 </w:t>
            </w:r>
          </w:p>
        </w:tc>
        <w:tc>
          <w:tcPr>
            <w:tcW w:w="32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4.8 </w:t>
            </w:r>
          </w:p>
        </w:tc>
        <w:tc>
          <w:tcPr>
            <w:tcW w:w="39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U.S. Segment</w:t>
            </w:r>
          </w:p>
        </w:tc>
        <w:tc>
          <w:tcPr>
            <w:tcW w:w="1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from operations</w:t>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67,599 </w:t>
            </w:r>
          </w:p>
        </w:tc>
        <w:tc>
          <w:tcPr>
            <w:tcW w:w="3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68,461 </w:t>
            </w:r>
          </w:p>
        </w:tc>
        <w:tc>
          <w:tcPr>
            <w:tcW w:w="3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155,615 </w:t>
            </w:r>
          </w:p>
        </w:tc>
        <w:tc>
          <w:tcPr>
            <w:tcW w:w="3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156,131 </w:t>
            </w:r>
          </w:p>
        </w:tc>
        <w:tc>
          <w:tcPr>
            <w:tcW w:w="3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Operating income margin</w:t>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6.8 </w:t>
            </w:r>
          </w:p>
        </w:tc>
        <w:tc>
          <w:tcPr>
            <w:tcW w:w="3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6.9 </w:t>
            </w:r>
          </w:p>
        </w:tc>
        <w:tc>
          <w:tcPr>
            <w:tcW w:w="3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7.6 </w:t>
            </w:r>
          </w:p>
        </w:tc>
        <w:tc>
          <w:tcPr>
            <w:tcW w:w="3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7.7 </w:t>
            </w:r>
          </w:p>
        </w:tc>
        <w:tc>
          <w:tcPr>
            <w:tcW w:w="3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w:t>
            </w:r>
          </w:p>
        </w:tc>
        <w:tc>
          <w:tcPr>
            <w:tcW w:w="1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9"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494"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566" w:type="dxa"/>
            <w:gridSpan w:val="3"/>
            <w:tcBorders/>
            <w:vAlign w:val="center"/>
          </w:tcPr>
          <w:p>
            <w:pPr>
              <w:pStyle w:val="TableContents"/>
              <w:bidi w:val="0"/>
              <w:spacing w:before="0" w:after="283"/>
              <w:jc w:val="left"/>
              <w:rPr>
                <w:sz w:val="4"/>
                <w:szCs w:val="4"/>
              </w:rPr>
            </w:pPr>
            <w:r>
              <w:rPr>
                <w:sz w:val="4"/>
                <w:szCs w:val="4"/>
              </w:rPr>
            </w:r>
          </w:p>
        </w:tc>
      </w:tr>
      <w:tr>
        <w:trPr/>
        <w:tc>
          <w:tcPr>
            <w:tcW w:w="3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Severance and other transformational costs (1)</w:t>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2,865 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6,246 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Asset impairments and closure-related charges (3)</w:t>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(1,710)</w:t>
            </w:r>
          </w:p>
        </w:tc>
        <w:tc>
          <w:tcPr>
            <w:tcW w:w="3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income from operations adjustments</w:t>
            </w:r>
          </w:p>
        </w:tc>
        <w:tc>
          <w:tcPr>
            <w:tcW w:w="1059"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2,865 </w:t>
            </w:r>
          </w:p>
        </w:tc>
        <w:tc>
          <w:tcPr>
            <w:tcW w:w="322"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2"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6,246 </w:t>
            </w:r>
          </w:p>
        </w:tc>
        <w:tc>
          <w:tcPr>
            <w:tcW w:w="322"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(1,710)</w:t>
            </w:r>
          </w:p>
        </w:tc>
        <w:tc>
          <w:tcPr>
            <w:tcW w:w="394"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income from operations</w:t>
            </w:r>
          </w:p>
        </w:tc>
        <w:tc>
          <w:tcPr>
            <w:tcW w:w="24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3"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70,464 </w:t>
            </w:r>
          </w:p>
        </w:tc>
        <w:tc>
          <w:tcPr>
            <w:tcW w:w="322"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3"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68,461 </w:t>
            </w:r>
          </w:p>
        </w:tc>
        <w:tc>
          <w:tcPr>
            <w:tcW w:w="322"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161,861 </w:t>
            </w:r>
          </w:p>
        </w:tc>
        <w:tc>
          <w:tcPr>
            <w:tcW w:w="322"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154,421 </w:t>
            </w:r>
          </w:p>
        </w:tc>
        <w:tc>
          <w:tcPr>
            <w:tcW w:w="39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Adjusted operating income margin</w:t>
            </w:r>
          </w:p>
        </w:tc>
        <w:tc>
          <w:tcPr>
            <w:tcW w:w="1059"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7.1 </w:t>
            </w:r>
          </w:p>
        </w:tc>
        <w:tc>
          <w:tcPr>
            <w:tcW w:w="32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6.9 </w:t>
            </w:r>
          </w:p>
        </w:tc>
        <w:tc>
          <w:tcPr>
            <w:tcW w:w="32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7.9 </w:t>
            </w:r>
          </w:p>
        </w:tc>
        <w:tc>
          <w:tcPr>
            <w:tcW w:w="32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7.7 </w:t>
            </w:r>
          </w:p>
        </w:tc>
        <w:tc>
          <w:tcPr>
            <w:tcW w:w="39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International Franchise Segment</w:t>
            </w:r>
          </w:p>
        </w:tc>
        <w:tc>
          <w:tcPr>
            <w:tcW w:w="1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from operations</w:t>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7,409 </w:t>
            </w:r>
          </w:p>
        </w:tc>
        <w:tc>
          <w:tcPr>
            <w:tcW w:w="3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6,838 </w:t>
            </w:r>
          </w:p>
        </w:tc>
        <w:tc>
          <w:tcPr>
            <w:tcW w:w="3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14,745 </w:t>
            </w:r>
          </w:p>
        </w:tc>
        <w:tc>
          <w:tcPr>
            <w:tcW w:w="3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15,842 </w:t>
            </w:r>
          </w:p>
        </w:tc>
        <w:tc>
          <w:tcPr>
            <w:tcW w:w="3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_________________ </w:t>
      </w:r>
    </w:p>
    <w:p>
      <w:pPr>
        <w:pStyle w:val="TextBody"/>
        <w:bidi w:val="0"/>
        <w:spacing w:lineRule="auto" w:line="288" w:before="0" w:after="0"/>
        <w:ind w:left="0" w:right="0" w:hanging="720"/>
        <w:jc w:val="both"/>
        <w:rPr>
          <w:rFonts w:ascii="Times New Roman;serif" w:hAnsi="Times New Roman;serif"/>
          <w:b w:val="false"/>
          <w:color w:val="000000"/>
          <w:sz w:val="18"/>
        </w:rPr>
      </w:pPr>
      <w:r>
        <w:rPr>
          <w:rFonts w:ascii="Times New Roman;serif" w:hAnsi="Times New Roman;serif"/>
          <w:b w:val="false"/>
          <w:color w:val="000000"/>
          <w:sz w:val="18"/>
        </w:rPr>
        <w:t>(1)Costs for the thirteen and twenty-six weeks ended June 28, 2026 relate to accelerated depreciation associated with equipment upgrades in connection with the turnaround strategy. Costs for the thirteen and twenty-six weeks ended June 29, 2025 include severance, professional fees and other costs incurred as a result of transformational and restructuring activities.</w:t>
      </w:r>
    </w:p>
    <w:p>
      <w:pPr>
        <w:pStyle w:val="TextBody"/>
        <w:bidi w:val="0"/>
        <w:spacing w:lineRule="auto" w:line="288" w:before="0" w:after="0"/>
        <w:ind w:left="0" w:right="0" w:hanging="720"/>
        <w:jc w:val="both"/>
        <w:rPr>
          <w:rFonts w:ascii="Times New Roman;serif" w:hAnsi="Times New Roman;serif"/>
          <w:b w:val="false"/>
          <w:color w:val="000000"/>
          <w:sz w:val="18"/>
        </w:rPr>
      </w:pPr>
      <w:r>
        <w:rPr>
          <w:rFonts w:ascii="Times New Roman;serif" w:hAnsi="Times New Roman;serif"/>
          <w:b w:val="false"/>
          <w:color w:val="000000"/>
          <w:sz w:val="18"/>
        </w:rPr>
        <w:t>(2)Represents costs in connection with the foreign currency forward contracts that mostly offset foreign currency exchange risk associated with installment payments from the Brazil Sale Transaction.</w:t>
      </w:r>
    </w:p>
    <w:p>
      <w:pPr>
        <w:pStyle w:val="TextBody"/>
        <w:bidi w:val="0"/>
        <w:spacing w:lineRule="auto" w:line="288" w:before="0" w:after="0"/>
        <w:ind w:left="0" w:right="0" w:hanging="720"/>
        <w:jc w:val="both"/>
        <w:rPr>
          <w:rFonts w:ascii="Times New Roman;serif" w:hAnsi="Times New Roman;serif"/>
          <w:b w:val="false"/>
          <w:color w:val="000000"/>
          <w:sz w:val="18"/>
        </w:rPr>
      </w:pPr>
      <w:r>
        <w:rPr>
          <w:rFonts w:ascii="Times New Roman;serif" w:hAnsi="Times New Roman;serif"/>
          <w:b w:val="false"/>
          <w:color w:val="000000"/>
          <w:sz w:val="18"/>
        </w:rPr>
        <w:t>(3)Primarily includes gains from certain lease terminations.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218"/>
        <w:gridCol w:w="948"/>
        <w:gridCol w:w="951"/>
        <w:gridCol w:w="279"/>
        <w:gridCol w:w="921"/>
        <w:gridCol w:w="155"/>
        <w:gridCol w:w="155"/>
        <w:gridCol w:w="155"/>
        <w:gridCol w:w="155"/>
        <w:gridCol w:w="279"/>
        <w:gridCol w:w="921"/>
        <w:gridCol w:w="155"/>
        <w:gridCol w:w="155"/>
        <w:gridCol w:w="155"/>
        <w:gridCol w:w="155"/>
        <w:gridCol w:w="279"/>
        <w:gridCol w:w="921"/>
        <w:gridCol w:w="155"/>
        <w:gridCol w:w="155"/>
        <w:gridCol w:w="155"/>
        <w:gridCol w:w="155"/>
        <w:gridCol w:w="279"/>
        <w:gridCol w:w="921"/>
        <w:gridCol w:w="155"/>
        <w:gridCol w:w="109"/>
        <w:gridCol w:w="164"/>
      </w:tblGrid>
      <w:tr>
        <w:trPr/>
        <w:tc>
          <w:tcPr>
            <w:tcW w:w="1218"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9932"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TABLE SIX</w:t>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9932"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BLOOMIN’ BRANDS, INC.</w:t>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9932"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ADJUSTED NET INCOME AND ADJUSTED DILUTED EARNINGS PER SHARE NON-GAAP RECONCILIATIONS</w:t>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9932"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(UNAUDITED)</w:t>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117"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11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5"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THIRTEEN WEEKS ENDED</w:t>
            </w:r>
          </w:p>
        </w:tc>
        <w:tc>
          <w:tcPr>
            <w:tcW w:w="465"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5"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TWENTY-SIX WEEKS ENDED</w:t>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1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 except per share data)</w:t>
            </w:r>
          </w:p>
        </w:tc>
        <w:tc>
          <w:tcPr>
            <w:tcW w:w="135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2026</w:t>
            </w:r>
          </w:p>
        </w:tc>
        <w:tc>
          <w:tcPr>
            <w:tcW w:w="465"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 2025</w:t>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2026</w:t>
            </w:r>
          </w:p>
        </w:tc>
        <w:tc>
          <w:tcPr>
            <w:tcW w:w="465"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 2025</w:t>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1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from continuing operations</w:t>
            </w:r>
          </w:p>
        </w:tc>
        <w:tc>
          <w:tcPr>
            <w:tcW w:w="279"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32,930 </w:t>
            </w:r>
          </w:p>
        </w:tc>
        <w:tc>
          <w:tcPr>
            <w:tcW w:w="155"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25,893 </w:t>
            </w:r>
          </w:p>
        </w:tc>
        <w:tc>
          <w:tcPr>
            <w:tcW w:w="155"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89,734 </w:t>
            </w:r>
          </w:p>
        </w:tc>
        <w:tc>
          <w:tcPr>
            <w:tcW w:w="155"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69,743 </w:t>
            </w:r>
          </w:p>
        </w:tc>
        <w:tc>
          <w:tcPr>
            <w:tcW w:w="155"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1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net income attributable to noncontrolling interests</w:t>
            </w:r>
          </w:p>
        </w:tc>
        <w:tc>
          <w:tcPr>
            <w:tcW w:w="12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2,818 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2,697 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1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attributable to Bloomin’ Brands from continuing operations</w:t>
            </w:r>
          </w:p>
        </w:tc>
        <w:tc>
          <w:tcPr>
            <w:tcW w:w="1200"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31,694 </w:t>
            </w:r>
          </w:p>
        </w:tc>
        <w:tc>
          <w:tcPr>
            <w:tcW w:w="155"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24,640 </w:t>
            </w:r>
          </w:p>
        </w:tc>
        <w:tc>
          <w:tcPr>
            <w:tcW w:w="155"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86,916 </w:t>
            </w:r>
          </w:p>
        </w:tc>
        <w:tc>
          <w:tcPr>
            <w:tcW w:w="155"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67,046 </w:t>
            </w:r>
          </w:p>
        </w:tc>
        <w:tc>
          <w:tcPr>
            <w:tcW w:w="155"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1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w:t>
            </w:r>
          </w:p>
        </w:tc>
        <w:tc>
          <w:tcPr>
            <w:tcW w:w="1355"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1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from operations adjustments (1)</w:t>
            </w:r>
          </w:p>
        </w:tc>
        <w:tc>
          <w:tcPr>
            <w:tcW w:w="12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2,865 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5,775 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6,246 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12,232 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117"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117"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1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adjustments, before income taxes</w:t>
            </w:r>
          </w:p>
        </w:tc>
        <w:tc>
          <w:tcPr>
            <w:tcW w:w="1200"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2,865 </w:t>
            </w:r>
          </w:p>
        </w:tc>
        <w:tc>
          <w:tcPr>
            <w:tcW w:w="155"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5,775 </w:t>
            </w:r>
          </w:p>
        </w:tc>
        <w:tc>
          <w:tcPr>
            <w:tcW w:w="155"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6,246 </w:t>
            </w:r>
          </w:p>
        </w:tc>
        <w:tc>
          <w:tcPr>
            <w:tcW w:w="155"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12,232 </w:t>
            </w:r>
          </w:p>
        </w:tc>
        <w:tc>
          <w:tcPr>
            <w:tcW w:w="155"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1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Tax effect of adjustments (2)</w:t>
            </w:r>
          </w:p>
        </w:tc>
        <w:tc>
          <w:tcPr>
            <w:tcW w:w="12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(504)</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(3,125)</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(1,750)</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(1,995)</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1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adjustments, continuing operations</w:t>
            </w:r>
          </w:p>
        </w:tc>
        <w:tc>
          <w:tcPr>
            <w:tcW w:w="1200"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2,361 </w:t>
            </w:r>
          </w:p>
        </w:tc>
        <w:tc>
          <w:tcPr>
            <w:tcW w:w="155"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2,650 </w:t>
            </w:r>
          </w:p>
        </w:tc>
        <w:tc>
          <w:tcPr>
            <w:tcW w:w="155"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4,496 </w:t>
            </w:r>
          </w:p>
        </w:tc>
        <w:tc>
          <w:tcPr>
            <w:tcW w:w="155"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10,237 </w:t>
            </w:r>
          </w:p>
        </w:tc>
        <w:tc>
          <w:tcPr>
            <w:tcW w:w="155"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1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net income, continuing operations</w:t>
            </w:r>
          </w:p>
        </w:tc>
        <w:tc>
          <w:tcPr>
            <w:tcW w:w="279"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34,055 </w:t>
            </w:r>
          </w:p>
        </w:tc>
        <w:tc>
          <w:tcPr>
            <w:tcW w:w="155"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27,290 </w:t>
            </w:r>
          </w:p>
        </w:tc>
        <w:tc>
          <w:tcPr>
            <w:tcW w:w="155"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91,412 </w:t>
            </w:r>
          </w:p>
        </w:tc>
        <w:tc>
          <w:tcPr>
            <w:tcW w:w="155"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77,283 </w:t>
            </w:r>
          </w:p>
        </w:tc>
        <w:tc>
          <w:tcPr>
            <w:tcW w:w="155"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117"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117"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1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117"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1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 earnings per share - continuing operations</w:t>
            </w:r>
          </w:p>
        </w:tc>
        <w:tc>
          <w:tcPr>
            <w:tcW w:w="27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117"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117"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117"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117"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1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diluted earnings per share - continuing operations</w:t>
            </w:r>
          </w:p>
        </w:tc>
        <w:tc>
          <w:tcPr>
            <w:tcW w:w="27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0.39 </w:t>
            </w:r>
          </w:p>
        </w:tc>
        <w:tc>
          <w:tcPr>
            <w:tcW w:w="15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0.32 </w:t>
            </w:r>
          </w:p>
        </w:tc>
        <w:tc>
          <w:tcPr>
            <w:tcW w:w="15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1.06 </w:t>
            </w:r>
          </w:p>
        </w:tc>
        <w:tc>
          <w:tcPr>
            <w:tcW w:w="15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0.91 </w:t>
            </w:r>
          </w:p>
        </w:tc>
        <w:tc>
          <w:tcPr>
            <w:tcW w:w="15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117"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117"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1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1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 weighted average common shares outstanding</w:t>
            </w:r>
          </w:p>
        </w:tc>
        <w:tc>
          <w:tcPr>
            <w:tcW w:w="1200"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86,223 </w:t>
            </w:r>
          </w:p>
        </w:tc>
        <w:tc>
          <w:tcPr>
            <w:tcW w:w="155"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85,140 </w:t>
            </w:r>
          </w:p>
        </w:tc>
        <w:tc>
          <w:tcPr>
            <w:tcW w:w="155"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85,987 </w:t>
            </w:r>
          </w:p>
        </w:tc>
        <w:tc>
          <w:tcPr>
            <w:tcW w:w="155"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85,135 </w:t>
            </w:r>
          </w:p>
        </w:tc>
        <w:tc>
          <w:tcPr>
            <w:tcW w:w="155"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117"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________________</w:t>
      </w:r>
    </w:p>
    <w:p>
      <w:pPr>
        <w:pStyle w:val="TextBody"/>
        <w:bidi w:val="0"/>
        <w:spacing w:lineRule="auto" w:line="288" w:before="0" w:after="0"/>
        <w:ind w:left="0" w:right="0" w:hanging="720"/>
        <w:jc w:val="both"/>
        <w:rPr/>
      </w:pPr>
      <w:r>
        <w:rPr>
          <w:rFonts w:ascii="Times New Roman;serif" w:hAnsi="Times New Roman;serif"/>
          <w:b w:val="false"/>
          <w:color w:val="000000"/>
          <w:sz w:val="18"/>
        </w:rPr>
        <w:t xml:space="preserve">(1)See Table Five </w:t>
      </w:r>
      <w:r>
        <w:rPr>
          <w:rFonts w:ascii="Times New Roman;serif" w:hAnsi="Times New Roman;serif"/>
          <w:b w:val="false"/>
          <w:i/>
          <w:color w:val="000000"/>
          <w:sz w:val="18"/>
        </w:rPr>
        <w:t>Adjusted Income from Operations and Margin Non-GAAP Reconciliations</w:t>
      </w:r>
      <w:r>
        <w:rPr>
          <w:color w:val="000000"/>
        </w:rPr>
        <w:t xml:space="preserve"> </w:t>
      </w:r>
      <w:r>
        <w:rPr>
          <w:rFonts w:ascii="Times New Roman;serif" w:hAnsi="Times New Roman;serif"/>
          <w:b w:val="false"/>
          <w:color w:val="000000"/>
          <w:sz w:val="18"/>
        </w:rPr>
        <w:t>above for details regarding income from operations adjustments.</w:t>
      </w:r>
    </w:p>
    <w:p>
      <w:pPr>
        <w:pStyle w:val="TextBody"/>
        <w:bidi w:val="0"/>
        <w:spacing w:lineRule="auto" w:line="288" w:before="0" w:after="0"/>
        <w:ind w:left="0" w:right="0" w:hanging="720"/>
        <w:jc w:val="both"/>
        <w:rPr/>
      </w:pPr>
      <w:r>
        <w:rPr>
          <w:rFonts w:ascii="Times New Roman;serif" w:hAnsi="Times New Roman;serif"/>
          <w:b w:val="false"/>
          <w:color w:val="000000"/>
          <w:sz w:val="18"/>
          <w:shd w:fill="FFFFFF" w:val="clear"/>
        </w:rPr>
        <w:t>(2)The tax effect of non-GAAP adjustments is determined by recomputing the Benefit for income taxes on an adjusted basis. The difference between the recomputed Benefit for income taxes and the GAAP Benefit for income taxes represents the tax effect of non-GAAP adjustments. The thirteen and twenty-six weeks ended June 29, 2025 also include an adjustment to Benefit for income taxes related to foreign currency gains</w:t>
      </w:r>
      <w:r>
        <w:rPr>
          <w:color w:val="000000"/>
        </w:rPr>
        <w:t xml:space="preserve"> </w:t>
      </w:r>
      <w:r>
        <w:rPr>
          <w:rFonts w:ascii="Times New Roman;serif" w:hAnsi="Times New Roman;serif"/>
          <w:b w:val="false"/>
          <w:color w:val="000000"/>
          <w:sz w:val="18"/>
        </w:rPr>
        <w:t>on the Brazil Sale Transaction installment receivable.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Following is a summary of the financial statement line item classification of the net income adjustments from continuing operations:</w:t>
      </w:r>
    </w:p>
    <w:tbl>
      <w:tblPr>
        <w:tblW w:w="9804" w:type="dxa"/>
        <w:jc w:val="left"/>
        <w:tblInd w:w="0" w:type="dxa"/>
        <w:tblLayout w:type="fixed"/>
        <w:tblCellMar>
          <w:top w:w="28" w:type="dxa"/>
          <w:left w:w="28" w:type="dxa"/>
          <w:bottom w:w="28" w:type="dxa"/>
          <w:right w:w="28" w:type="dxa"/>
        </w:tblCellMar>
      </w:tblPr>
      <w:tblGrid>
        <w:gridCol w:w="1394"/>
        <w:gridCol w:w="1228"/>
        <w:gridCol w:w="1233"/>
        <w:gridCol w:w="276"/>
        <w:gridCol w:w="785"/>
        <w:gridCol w:w="153"/>
        <w:gridCol w:w="118"/>
        <w:gridCol w:w="118"/>
        <w:gridCol w:w="118"/>
        <w:gridCol w:w="276"/>
        <w:gridCol w:w="785"/>
        <w:gridCol w:w="153"/>
        <w:gridCol w:w="109"/>
        <w:gridCol w:w="109"/>
        <w:gridCol w:w="109"/>
        <w:gridCol w:w="276"/>
        <w:gridCol w:w="786"/>
        <w:gridCol w:w="153"/>
        <w:gridCol w:w="122"/>
        <w:gridCol w:w="122"/>
        <w:gridCol w:w="122"/>
        <w:gridCol w:w="247"/>
        <w:gridCol w:w="818"/>
        <w:gridCol w:w="194"/>
      </w:tblGrid>
      <w:tr>
        <w:trPr/>
        <w:tc>
          <w:tcPr>
            <w:tcW w:w="1394"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1233"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3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THIRTEEN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TWENTY-SIX WEEKS ENDED</w:t>
            </w:r>
          </w:p>
        </w:tc>
      </w:tr>
      <w:tr>
        <w:trPr/>
        <w:tc>
          <w:tcPr>
            <w:tcW w:w="38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(dollars in thousands)</w:t>
            </w:r>
          </w:p>
        </w:tc>
        <w:tc>
          <w:tcPr>
            <w:tcW w:w="121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2026</w:t>
            </w:r>
          </w:p>
        </w:tc>
        <w:tc>
          <w:tcPr>
            <w:tcW w:w="354"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2026</w:t>
            </w:r>
          </w:p>
        </w:tc>
        <w:tc>
          <w:tcPr>
            <w:tcW w:w="366"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 2025</w:t>
            </w:r>
          </w:p>
        </w:tc>
      </w:tr>
      <w:tr>
        <w:trPr/>
        <w:tc>
          <w:tcPr>
            <w:tcW w:w="3855"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r>
        <w:trPr/>
        <w:tc>
          <w:tcPr>
            <w:tcW w:w="3855"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r>
        <w:trPr/>
        <w:tc>
          <w:tcPr>
            <w:tcW w:w="3855"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r>
        <w:trPr/>
        <w:tc>
          <w:tcPr>
            <w:tcW w:w="3855"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27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5"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2,865 </w:t>
            </w:r>
          </w:p>
        </w:tc>
        <w:tc>
          <w:tcPr>
            <w:tcW w:w="153"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5"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6,246 </w:t>
            </w:r>
          </w:p>
        </w:tc>
        <w:tc>
          <w:tcPr>
            <w:tcW w:w="153"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8"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General and administrative</w:t>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5,775 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14,243 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impaired assets and restaurant closings</w:t>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(2,011)</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r>
        <w:trPr/>
        <w:tc>
          <w:tcPr>
            <w:tcW w:w="3855"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r>
        <w:trPr/>
        <w:tc>
          <w:tcPr>
            <w:tcW w:w="3855"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r>
        <w:trPr/>
        <w:tc>
          <w:tcPr>
            <w:tcW w:w="3855"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r>
        <w:trPr/>
        <w:tc>
          <w:tcPr>
            <w:tcW w:w="3855"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income taxes</w:t>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(504)</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(3,125)</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(1,750)</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(1,995)</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adjustments</w:t>
            </w:r>
          </w:p>
        </w:tc>
        <w:tc>
          <w:tcPr>
            <w:tcW w:w="27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5"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2,361 </w:t>
            </w:r>
          </w:p>
        </w:tc>
        <w:tc>
          <w:tcPr>
            <w:tcW w:w="153"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5"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2,650 </w:t>
            </w:r>
          </w:p>
        </w:tc>
        <w:tc>
          <w:tcPr>
            <w:tcW w:w="153"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4,496 </w:t>
            </w:r>
          </w:p>
        </w:tc>
        <w:tc>
          <w:tcPr>
            <w:tcW w:w="153"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8"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10,237 </w:t>
            </w:r>
          </w:p>
        </w:tc>
        <w:tc>
          <w:tcPr>
            <w:tcW w:w="194"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tbl>
      <w:tblPr>
        <w:tblW w:w="9947" w:type="dxa"/>
        <w:jc w:val="left"/>
        <w:tblInd w:w="0" w:type="dxa"/>
        <w:tblLayout w:type="fixed"/>
        <w:tblCellMar>
          <w:top w:w="28" w:type="dxa"/>
          <w:left w:w="28" w:type="dxa"/>
          <w:bottom w:w="28" w:type="dxa"/>
          <w:right w:w="28" w:type="dxa"/>
        </w:tblCellMar>
      </w:tblPr>
      <w:tblGrid>
        <w:gridCol w:w="1107"/>
        <w:gridCol w:w="973"/>
        <w:gridCol w:w="980"/>
        <w:gridCol w:w="474"/>
        <w:gridCol w:w="474"/>
        <w:gridCol w:w="476"/>
        <w:gridCol w:w="191"/>
        <w:gridCol w:w="191"/>
        <w:gridCol w:w="191"/>
        <w:gridCol w:w="325"/>
        <w:gridCol w:w="325"/>
        <w:gridCol w:w="326"/>
        <w:gridCol w:w="191"/>
        <w:gridCol w:w="191"/>
        <w:gridCol w:w="191"/>
        <w:gridCol w:w="330"/>
        <w:gridCol w:w="330"/>
        <w:gridCol w:w="331"/>
        <w:gridCol w:w="191"/>
        <w:gridCol w:w="191"/>
        <w:gridCol w:w="191"/>
        <w:gridCol w:w="191"/>
        <w:gridCol w:w="109"/>
        <w:gridCol w:w="404"/>
        <w:gridCol w:w="404"/>
        <w:gridCol w:w="406"/>
        <w:gridCol w:w="109"/>
        <w:gridCol w:w="154"/>
      </w:tblGrid>
      <w:tr>
        <w:trPr/>
        <w:tc>
          <w:tcPr>
            <w:tcW w:w="1107"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361" w:type="dxa"/>
            <w:gridSpan w:val="2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TABLE SEVEN</w:t>
            </w:r>
          </w:p>
        </w:tc>
        <w:tc>
          <w:tcPr>
            <w:tcW w:w="109" w:type="dxa"/>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8361" w:type="dxa"/>
            <w:gridSpan w:val="2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BLOOMIN’ BRANDS, INC.</w:t>
            </w:r>
          </w:p>
        </w:tc>
        <w:tc>
          <w:tcPr>
            <w:tcW w:w="109" w:type="dxa"/>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8361" w:type="dxa"/>
            <w:gridSpan w:val="2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COMPARATIVE RESTAURANT INFORMATION</w:t>
            </w:r>
          </w:p>
        </w:tc>
        <w:tc>
          <w:tcPr>
            <w:tcW w:w="109" w:type="dxa"/>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8361" w:type="dxa"/>
            <w:gridSpan w:val="2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(UNAUDITED)</w:t>
            </w:r>
          </w:p>
        </w:tc>
        <w:tc>
          <w:tcPr>
            <w:tcW w:w="109" w:type="dxa"/>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06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Number of restaurants:</w:t>
            </w:r>
          </w:p>
        </w:tc>
        <w:tc>
          <w:tcPr>
            <w:tcW w:w="142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29, 2026</w:t>
            </w:r>
          </w:p>
        </w:tc>
        <w:tc>
          <w:tcPr>
            <w:tcW w:w="573"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OPENINGS</w:t>
            </w:r>
          </w:p>
        </w:tc>
        <w:tc>
          <w:tcPr>
            <w:tcW w:w="573"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CLOSURES</w:t>
            </w:r>
          </w:p>
        </w:tc>
        <w:tc>
          <w:tcPr>
            <w:tcW w:w="573"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2026</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573"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573"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573" w:type="dxa"/>
            <w:gridSpan w:val="3"/>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w:t>
            </w:r>
          </w:p>
        </w:tc>
        <w:tc>
          <w:tcPr>
            <w:tcW w:w="1424"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4"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Outback Steakhouse</w:t>
            </w:r>
          </w:p>
        </w:tc>
        <w:tc>
          <w:tcPr>
            <w:tcW w:w="14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Company-owned</w:t>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546 </w:t>
            </w:r>
          </w:p>
        </w:tc>
        <w:tc>
          <w:tcPr>
            <w:tcW w:w="4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544 </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Franchised</w:t>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948"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662 </w:t>
            </w:r>
          </w:p>
        </w:tc>
        <w:tc>
          <w:tcPr>
            <w:tcW w:w="476"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326"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331"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8"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659 </w:t>
            </w:r>
          </w:p>
        </w:tc>
        <w:tc>
          <w:tcPr>
            <w:tcW w:w="406"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Carrabba’s Italian Grill</w:t>
            </w:r>
          </w:p>
        </w:tc>
        <w:tc>
          <w:tcPr>
            <w:tcW w:w="1424"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4"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Company-owned</w:t>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186 </w:t>
            </w:r>
          </w:p>
        </w:tc>
        <w:tc>
          <w:tcPr>
            <w:tcW w:w="4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186 </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Franchised</w:t>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948"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203 </w:t>
            </w:r>
          </w:p>
        </w:tc>
        <w:tc>
          <w:tcPr>
            <w:tcW w:w="476"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6"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1"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8"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203 </w:t>
            </w:r>
          </w:p>
        </w:tc>
        <w:tc>
          <w:tcPr>
            <w:tcW w:w="406"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Bonefish Grill</w:t>
            </w:r>
          </w:p>
        </w:tc>
        <w:tc>
          <w:tcPr>
            <w:tcW w:w="1424"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4"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Company-owned</w:t>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155 </w:t>
            </w:r>
          </w:p>
        </w:tc>
        <w:tc>
          <w:tcPr>
            <w:tcW w:w="4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155 </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Franchised</w:t>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948"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157 </w:t>
            </w:r>
          </w:p>
        </w:tc>
        <w:tc>
          <w:tcPr>
            <w:tcW w:w="476"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6"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1"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8"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157 </w:t>
            </w:r>
          </w:p>
        </w:tc>
        <w:tc>
          <w:tcPr>
            <w:tcW w:w="406"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Fleming’s Prime Steakhouse &amp; Wine Bar</w:t>
            </w:r>
          </w:p>
        </w:tc>
        <w:tc>
          <w:tcPr>
            <w:tcW w:w="1424"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4"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Company-owned</w:t>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65 </w:t>
            </w:r>
          </w:p>
        </w:tc>
        <w:tc>
          <w:tcPr>
            <w:tcW w:w="4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64 </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1424"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4"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Franchised</w:t>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4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 total</w:t>
            </w:r>
          </w:p>
        </w:tc>
        <w:tc>
          <w:tcPr>
            <w:tcW w:w="948"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1,088 </w:t>
            </w:r>
          </w:p>
        </w:tc>
        <w:tc>
          <w:tcPr>
            <w:tcW w:w="476"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326"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331"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8"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1,084 </w:t>
            </w:r>
          </w:p>
        </w:tc>
        <w:tc>
          <w:tcPr>
            <w:tcW w:w="406"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International Franchise</w:t>
            </w:r>
          </w:p>
        </w:tc>
        <w:tc>
          <w:tcPr>
            <w:tcW w:w="14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Outback Steakhouse - Brazil</w:t>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Outback Steakhouse - South Korea</w:t>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101 </w:t>
            </w:r>
          </w:p>
        </w:tc>
        <w:tc>
          <w:tcPr>
            <w:tcW w:w="4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International Franchise total</w:t>
            </w:r>
          </w:p>
        </w:tc>
        <w:tc>
          <w:tcPr>
            <w:tcW w:w="948"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354 </w:t>
            </w:r>
          </w:p>
        </w:tc>
        <w:tc>
          <w:tcPr>
            <w:tcW w:w="476"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326"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331"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8"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354 </w:t>
            </w:r>
          </w:p>
        </w:tc>
        <w:tc>
          <w:tcPr>
            <w:tcW w:w="406"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International - Company-owned</w:t>
            </w:r>
          </w:p>
        </w:tc>
        <w:tc>
          <w:tcPr>
            <w:tcW w:w="1424"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4"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Outback Steakhouse - Hong Kong</w:t>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4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System-wide total</w:t>
            </w:r>
          </w:p>
        </w:tc>
        <w:tc>
          <w:tcPr>
            <w:tcW w:w="948"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1,452 </w:t>
            </w:r>
          </w:p>
        </w:tc>
        <w:tc>
          <w:tcPr>
            <w:tcW w:w="476"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326"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w:t>
            </w:r>
          </w:p>
        </w:tc>
        <w:tc>
          <w:tcPr>
            <w:tcW w:w="331"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8"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1,448 </w:t>
            </w:r>
          </w:p>
        </w:tc>
        <w:tc>
          <w:tcPr>
            <w:tcW w:w="406"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System-wide total - Company-owned</w:t>
            </w:r>
          </w:p>
        </w:tc>
        <w:tc>
          <w:tcPr>
            <w:tcW w:w="948"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962 </w:t>
            </w:r>
          </w:p>
        </w:tc>
        <w:tc>
          <w:tcPr>
            <w:tcW w:w="47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32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33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8"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959 </w:t>
            </w:r>
          </w:p>
        </w:tc>
        <w:tc>
          <w:tcPr>
            <w:tcW w:w="40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System-wide total - Franchised</w:t>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490 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489 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573"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573"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573" w:type="dxa"/>
            <w:gridSpan w:val="3"/>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573"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573"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573" w:type="dxa"/>
            <w:gridSpan w:val="3"/>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573"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573"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573" w:type="dxa"/>
            <w:gridSpan w:val="3"/>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573"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573"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573" w:type="dxa"/>
            <w:gridSpan w:val="3"/>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573"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573"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573" w:type="dxa"/>
            <w:gridSpan w:val="3"/>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573"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573"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573" w:type="dxa"/>
            <w:gridSpan w:val="3"/>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573"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573"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573" w:type="dxa"/>
            <w:gridSpan w:val="3"/>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275"/>
        <w:gridCol w:w="1088"/>
        <w:gridCol w:w="1096"/>
        <w:gridCol w:w="213"/>
        <w:gridCol w:w="213"/>
        <w:gridCol w:w="213"/>
        <w:gridCol w:w="279"/>
        <w:gridCol w:w="218"/>
        <w:gridCol w:w="512"/>
        <w:gridCol w:w="213"/>
        <w:gridCol w:w="213"/>
        <w:gridCol w:w="213"/>
        <w:gridCol w:w="279"/>
        <w:gridCol w:w="251"/>
        <w:gridCol w:w="512"/>
        <w:gridCol w:w="213"/>
        <w:gridCol w:w="213"/>
        <w:gridCol w:w="213"/>
        <w:gridCol w:w="279"/>
        <w:gridCol w:w="218"/>
        <w:gridCol w:w="512"/>
        <w:gridCol w:w="213"/>
        <w:gridCol w:w="213"/>
        <w:gridCol w:w="213"/>
        <w:gridCol w:w="273"/>
        <w:gridCol w:w="249"/>
        <w:gridCol w:w="608"/>
      </w:tblGrid>
      <w:tr>
        <w:trPr/>
        <w:tc>
          <w:tcPr>
            <w:tcW w:w="1275"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r>
      <w:tr>
        <w:trPr/>
        <w:tc>
          <w:tcPr>
            <w:tcW w:w="10205"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TABLE EIGHT</w:t>
            </w:r>
          </w:p>
        </w:tc>
      </w:tr>
      <w:tr>
        <w:trPr/>
        <w:tc>
          <w:tcPr>
            <w:tcW w:w="10205"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BLOOMIN’ BRANDS, INC.</w:t>
            </w:r>
          </w:p>
        </w:tc>
      </w:tr>
      <w:tr>
        <w:trPr/>
        <w:tc>
          <w:tcPr>
            <w:tcW w:w="10205" w:type="dxa"/>
            <w:gridSpan w:val="27"/>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COMPARABLE RESTAURANT SALES, TRAFFIC AND AVERAGE CHECK PER PERSON INFORMATION</w:t>
            </w:r>
          </w:p>
        </w:tc>
      </w:tr>
      <w:tr>
        <w:trPr/>
        <w:tc>
          <w:tcPr>
            <w:tcW w:w="10205" w:type="dxa"/>
            <w:gridSpan w:val="27"/>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(UNAUDITED)</w:t>
            </w:r>
          </w:p>
        </w:tc>
      </w:tr>
      <w:tr>
        <w:trPr/>
        <w:tc>
          <w:tcPr>
            <w:tcW w:w="3459"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0"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THIRTEEN WEEKS ENDED</w:t>
            </w:r>
          </w:p>
        </w:tc>
        <w:tc>
          <w:tcPr>
            <w:tcW w:w="639"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8"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TWENTY-SIX WEEKS ENDED</w:t>
            </w:r>
          </w:p>
        </w:tc>
      </w:tr>
      <w:tr>
        <w:trPr/>
        <w:tc>
          <w:tcPr>
            <w:tcW w:w="3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2026</w:t>
            </w:r>
          </w:p>
        </w:tc>
        <w:tc>
          <w:tcPr>
            <w:tcW w:w="639"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 2025</w:t>
            </w:r>
          </w:p>
        </w:tc>
        <w:tc>
          <w:tcPr>
            <w:tcW w:w="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2026</w:t>
            </w:r>
          </w:p>
        </w:tc>
        <w:tc>
          <w:tcPr>
            <w:tcW w:w="639"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 2025</w:t>
            </w:r>
          </w:p>
        </w:tc>
      </w:tr>
      <w:tr>
        <w:trPr/>
        <w:tc>
          <w:tcPr>
            <w:tcW w:w="3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Year over year percentage change:</w:t>
            </w:r>
          </w:p>
        </w:tc>
        <w:tc>
          <w:tcPr>
            <w:tcW w:w="6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Comparable restaurant sales (restaurants open 18 months or more):</w:t>
            </w:r>
          </w:p>
        </w:tc>
        <w:tc>
          <w:tcPr>
            <w:tcW w:w="6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 (1)</w:t>
            </w:r>
          </w:p>
        </w:tc>
        <w:tc>
          <w:tcPr>
            <w:tcW w:w="6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Outback Steakhouse </w:t>
            </w:r>
          </w:p>
        </w:tc>
        <w:tc>
          <w:tcPr>
            <w:tcW w:w="6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5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w:t>
            </w:r>
          </w:p>
        </w:tc>
        <w:tc>
          <w:tcPr>
            <w:tcW w:w="5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0.5 </w:t>
            </w:r>
          </w:p>
        </w:tc>
        <w:tc>
          <w:tcPr>
            <w:tcW w:w="5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w:t>
            </w:r>
          </w:p>
        </w:tc>
        <w:tc>
          <w:tcPr>
            <w:tcW w:w="6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Carrabba’s Italian Grill</w:t>
            </w:r>
          </w:p>
        </w:tc>
        <w:tc>
          <w:tcPr>
            <w:tcW w:w="6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5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3.9 </w:t>
            </w:r>
          </w:p>
        </w:tc>
        <w:tc>
          <w:tcPr>
            <w:tcW w:w="5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5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6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Bonefish Grill</w:t>
            </w:r>
          </w:p>
        </w:tc>
        <w:tc>
          <w:tcPr>
            <w:tcW w:w="6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8.1 </w:t>
            </w:r>
          </w:p>
        </w:tc>
        <w:tc>
          <w:tcPr>
            <w:tcW w:w="5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w:t>
            </w:r>
          </w:p>
        </w:tc>
        <w:tc>
          <w:tcPr>
            <w:tcW w:w="5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7.0 </w:t>
            </w:r>
          </w:p>
        </w:tc>
        <w:tc>
          <w:tcPr>
            <w:tcW w:w="5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w:t>
            </w:r>
          </w:p>
        </w:tc>
        <w:tc>
          <w:tcPr>
            <w:tcW w:w="6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Fleming’s Prime Steakhouse &amp; Wine Bar</w:t>
            </w:r>
          </w:p>
        </w:tc>
        <w:tc>
          <w:tcPr>
            <w:tcW w:w="6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5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3.8 </w:t>
            </w:r>
          </w:p>
        </w:tc>
        <w:tc>
          <w:tcPr>
            <w:tcW w:w="5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5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4.5 </w:t>
            </w:r>
          </w:p>
        </w:tc>
        <w:tc>
          <w:tcPr>
            <w:tcW w:w="6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Combined U.S.</w:t>
            </w:r>
          </w:p>
        </w:tc>
        <w:tc>
          <w:tcPr>
            <w:tcW w:w="6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5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5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5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w:t>
            </w:r>
          </w:p>
        </w:tc>
        <w:tc>
          <w:tcPr>
            <w:tcW w:w="6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Traffic:</w:t>
            </w:r>
          </w:p>
        </w:tc>
        <w:tc>
          <w:tcPr>
            <w:tcW w:w="6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w:t>
            </w:r>
          </w:p>
        </w:tc>
        <w:tc>
          <w:tcPr>
            <w:tcW w:w="6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Outback Steakhouse</w:t>
            </w:r>
          </w:p>
        </w:tc>
        <w:tc>
          <w:tcPr>
            <w:tcW w:w="6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w:t>
            </w:r>
          </w:p>
        </w:tc>
        <w:tc>
          <w:tcPr>
            <w:tcW w:w="5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5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w:t>
            </w:r>
          </w:p>
        </w:tc>
        <w:tc>
          <w:tcPr>
            <w:tcW w:w="5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w:t>
            </w:r>
          </w:p>
        </w:tc>
        <w:tc>
          <w:tcPr>
            <w:tcW w:w="6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Carrabba’s Italian Grill</w:t>
            </w:r>
          </w:p>
        </w:tc>
        <w:tc>
          <w:tcPr>
            <w:tcW w:w="6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w:t>
            </w:r>
          </w:p>
        </w:tc>
        <w:tc>
          <w:tcPr>
            <w:tcW w:w="5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0.7 </w:t>
            </w:r>
          </w:p>
        </w:tc>
        <w:tc>
          <w:tcPr>
            <w:tcW w:w="5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w:t>
            </w:r>
          </w:p>
        </w:tc>
        <w:tc>
          <w:tcPr>
            <w:tcW w:w="5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6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Bonefish Grill</w:t>
            </w:r>
          </w:p>
        </w:tc>
        <w:tc>
          <w:tcPr>
            <w:tcW w:w="6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4.5 </w:t>
            </w:r>
          </w:p>
        </w:tc>
        <w:tc>
          <w:tcPr>
            <w:tcW w:w="5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w:t>
            </w:r>
          </w:p>
        </w:tc>
        <w:tc>
          <w:tcPr>
            <w:tcW w:w="5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3.7 </w:t>
            </w:r>
          </w:p>
        </w:tc>
        <w:tc>
          <w:tcPr>
            <w:tcW w:w="5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w:t>
            </w:r>
          </w:p>
        </w:tc>
        <w:tc>
          <w:tcPr>
            <w:tcW w:w="6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Fleming’s Prime Steakhouse &amp; Wine Bar</w:t>
            </w:r>
          </w:p>
        </w:tc>
        <w:tc>
          <w:tcPr>
            <w:tcW w:w="6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w:t>
            </w:r>
          </w:p>
        </w:tc>
        <w:tc>
          <w:tcPr>
            <w:tcW w:w="5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w:t>
            </w:r>
          </w:p>
        </w:tc>
        <w:tc>
          <w:tcPr>
            <w:tcW w:w="5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w:t>
            </w:r>
          </w:p>
        </w:tc>
        <w:tc>
          <w:tcPr>
            <w:tcW w:w="5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w:t>
            </w:r>
          </w:p>
        </w:tc>
        <w:tc>
          <w:tcPr>
            <w:tcW w:w="6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Combined U.S.</w:t>
            </w:r>
          </w:p>
        </w:tc>
        <w:tc>
          <w:tcPr>
            <w:tcW w:w="6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w:t>
            </w:r>
          </w:p>
        </w:tc>
        <w:tc>
          <w:tcPr>
            <w:tcW w:w="5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w:t>
            </w:r>
          </w:p>
        </w:tc>
        <w:tc>
          <w:tcPr>
            <w:tcW w:w="5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w:t>
            </w:r>
          </w:p>
        </w:tc>
        <w:tc>
          <w:tcPr>
            <w:tcW w:w="5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w:t>
            </w:r>
          </w:p>
        </w:tc>
        <w:tc>
          <w:tcPr>
            <w:tcW w:w="6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Average check per person (2):</w:t>
            </w:r>
          </w:p>
        </w:tc>
        <w:tc>
          <w:tcPr>
            <w:tcW w:w="6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w:t>
            </w:r>
          </w:p>
        </w:tc>
        <w:tc>
          <w:tcPr>
            <w:tcW w:w="6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Outback Steakhouse</w:t>
            </w:r>
          </w:p>
        </w:tc>
        <w:tc>
          <w:tcPr>
            <w:tcW w:w="6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4.2 </w:t>
            </w:r>
          </w:p>
        </w:tc>
        <w:tc>
          <w:tcPr>
            <w:tcW w:w="5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0.4 </w:t>
            </w:r>
          </w:p>
        </w:tc>
        <w:tc>
          <w:tcPr>
            <w:tcW w:w="5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3.1 </w:t>
            </w:r>
          </w:p>
        </w:tc>
        <w:tc>
          <w:tcPr>
            <w:tcW w:w="5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6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Carrabba’s Italian Grill</w:t>
            </w:r>
          </w:p>
        </w:tc>
        <w:tc>
          <w:tcPr>
            <w:tcW w:w="6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4.2 </w:t>
            </w:r>
          </w:p>
        </w:tc>
        <w:tc>
          <w:tcPr>
            <w:tcW w:w="5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3.2 </w:t>
            </w:r>
          </w:p>
        </w:tc>
        <w:tc>
          <w:tcPr>
            <w:tcW w:w="5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4.1 </w:t>
            </w:r>
          </w:p>
        </w:tc>
        <w:tc>
          <w:tcPr>
            <w:tcW w:w="5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6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Bonefish Grill</w:t>
            </w:r>
          </w:p>
        </w:tc>
        <w:tc>
          <w:tcPr>
            <w:tcW w:w="6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3.6 </w:t>
            </w:r>
          </w:p>
        </w:tc>
        <w:tc>
          <w:tcPr>
            <w:tcW w:w="5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5.6 </w:t>
            </w:r>
          </w:p>
        </w:tc>
        <w:tc>
          <w:tcPr>
            <w:tcW w:w="5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3.3 </w:t>
            </w:r>
          </w:p>
        </w:tc>
        <w:tc>
          <w:tcPr>
            <w:tcW w:w="5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5.5 </w:t>
            </w:r>
          </w:p>
        </w:tc>
        <w:tc>
          <w:tcPr>
            <w:tcW w:w="6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Fleming’s Prime Steakhouse &amp; Wine Bar</w:t>
            </w:r>
          </w:p>
        </w:tc>
        <w:tc>
          <w:tcPr>
            <w:tcW w:w="6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4.4 </w:t>
            </w:r>
          </w:p>
        </w:tc>
        <w:tc>
          <w:tcPr>
            <w:tcW w:w="5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4.4 </w:t>
            </w:r>
          </w:p>
        </w:tc>
        <w:tc>
          <w:tcPr>
            <w:tcW w:w="5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4.0 </w:t>
            </w:r>
          </w:p>
        </w:tc>
        <w:tc>
          <w:tcPr>
            <w:tcW w:w="5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5.0 </w:t>
            </w:r>
          </w:p>
        </w:tc>
        <w:tc>
          <w:tcPr>
            <w:tcW w:w="6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Combined U.S.</w:t>
            </w:r>
          </w:p>
        </w:tc>
        <w:tc>
          <w:tcPr>
            <w:tcW w:w="6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4.2 </w:t>
            </w:r>
          </w:p>
        </w:tc>
        <w:tc>
          <w:tcPr>
            <w:tcW w:w="5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5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3.4 </w:t>
            </w:r>
          </w:p>
        </w:tc>
        <w:tc>
          <w:tcPr>
            <w:tcW w:w="5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6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0" w:after="0"/>
        <w:ind w:left="0" w:right="0" w:hanging="720"/>
        <w:jc w:val="both"/>
        <w:rPr>
          <w:rFonts w:ascii="Times New Roman;serif" w:hAnsi="Times New Roman;serif"/>
          <w:b w:val="false"/>
          <w:color w:val="000000"/>
          <w:sz w:val="18"/>
        </w:rPr>
      </w:pPr>
      <w:r>
        <w:rPr>
          <w:rFonts w:ascii="Times New Roman;serif" w:hAnsi="Times New Roman;serif"/>
          <w:b w:val="false"/>
          <w:color w:val="000000"/>
          <w:sz w:val="18"/>
        </w:rPr>
        <w:t>____________________</w:t>
      </w:r>
    </w:p>
    <w:p>
      <w:pPr>
        <w:pStyle w:val="TextBody"/>
        <w:bidi w:val="0"/>
        <w:spacing w:lineRule="auto" w:line="288" w:before="0" w:after="0"/>
        <w:ind w:left="0" w:right="0" w:hanging="720"/>
        <w:jc w:val="both"/>
        <w:rPr>
          <w:rFonts w:ascii="Times New Roman;serif" w:hAnsi="Times New Roman;serif"/>
          <w:b w:val="false"/>
          <w:color w:val="000000"/>
          <w:sz w:val="18"/>
        </w:rPr>
      </w:pPr>
      <w:r>
        <w:rPr>
          <w:rFonts w:ascii="Times New Roman;serif" w:hAnsi="Times New Roman;serif"/>
          <w:b w:val="false"/>
          <w:color w:val="000000"/>
          <w:sz w:val="18"/>
        </w:rPr>
        <w:t>(1)Relocated restaurants closed more than 60 days are excluded from comparable restaurant sales until at least 18 months after reopening.</w:t>
      </w:r>
    </w:p>
    <w:p>
      <w:pPr>
        <w:pStyle w:val="TextBody"/>
        <w:bidi w:val="0"/>
        <w:spacing w:lineRule="auto" w:line="288" w:before="0" w:after="0"/>
        <w:ind w:left="0" w:right="0" w:hanging="720"/>
        <w:jc w:val="both"/>
        <w:rPr>
          <w:rFonts w:ascii="Times New Roman;serif" w:hAnsi="Times New Roman;serif"/>
          <w:b w:val="false"/>
          <w:color w:val="000000"/>
          <w:sz w:val="18"/>
        </w:rPr>
      </w:pPr>
      <w:r>
        <w:rPr>
          <w:rFonts w:ascii="Times New Roman;serif" w:hAnsi="Times New Roman;serif"/>
          <w:b w:val="false"/>
          <w:color w:val="000000"/>
          <w:sz w:val="18"/>
        </w:rPr>
        <w:t>(2)Includes the impact of menu pricing changes, product mix and discounts.</w:t>
      </w:r>
    </w:p>
    <w:p>
      <w:pPr>
        <w:pStyle w:val="TextBody"/>
        <w:bidi w:val="0"/>
        <w:spacing w:before="0" w:after="0"/>
        <w:ind w:left="0" w:right="0" w:hanging="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val="false"/>
          <w:color w:val="000000"/>
          <w:sz w:val="22"/>
        </w:rPr>
      </w:pPr>
      <w:r>
        <w:rPr>
          <w:rFonts w:ascii="Times New Roman;serif" w:hAnsi="Times New Roman;serif"/>
          <w:b w:val="false"/>
          <w:color w:val="000000"/>
          <w:sz w:val="22"/>
        </w:rPr>
        <w:t>SOURCE: Bloomin’ Brands, Inc.</w:t>
      </w:r>
    </w:p>
    <w:p>
      <w:pPr>
        <w:pStyle w:val="TextBody"/>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4160</Words>
  <Characters>23496</Characters>
  <CharactersWithSpaces>27033</CharactersWithSpaces>
  <Paragraphs>1135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