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9"/>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440055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UNITED STATES</w:t>
      </w:r>
    </w:p>
    <w:p>
      <w:pPr>
        <w:spacing w:after="0" w:line="21" w:lineRule="exact"/>
        <w:rPr>
          <w:sz w:val="24"/>
          <w:szCs w:val="24"/>
          <w:color w:val="auto"/>
        </w:rPr>
      </w:pPr>
    </w:p>
    <w:p>
      <w:pPr>
        <w:jc w:val="center"/>
        <w:ind w:right="-29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299"/>
        <w:spacing w:after="0"/>
        <w:rPr>
          <w:sz w:val="20"/>
          <w:szCs w:val="20"/>
          <w:color w:val="auto"/>
        </w:rPr>
      </w:pPr>
      <w:r>
        <w:rPr>
          <w:rFonts w:ascii="Arial" w:cs="Arial" w:eastAsia="Arial" w:hAnsi="Arial"/>
          <w:sz w:val="20"/>
          <w:szCs w:val="20"/>
          <w:b w:val="1"/>
          <w:bCs w:val="1"/>
          <w:color w:val="auto"/>
        </w:rPr>
        <w:t>Washington, D.C. 20549</w:t>
      </w:r>
    </w:p>
    <w:p>
      <w:pPr>
        <w:spacing w:after="0" w:line="211" w:lineRule="exact"/>
        <w:rPr>
          <w:sz w:val="24"/>
          <w:szCs w:val="24"/>
          <w:color w:val="auto"/>
        </w:rPr>
      </w:pPr>
    </w:p>
    <w:p>
      <w:pPr>
        <w:jc w:val="center"/>
        <w:ind w:right="-299"/>
        <w:spacing w:after="0"/>
        <w:rPr>
          <w:sz w:val="20"/>
          <w:szCs w:val="20"/>
          <w:color w:val="auto"/>
        </w:rPr>
      </w:pPr>
      <w:r>
        <w:rPr>
          <w:rFonts w:ascii="Arial" w:cs="Arial" w:eastAsia="Arial" w:hAnsi="Arial"/>
          <w:sz w:val="29"/>
          <w:szCs w:val="29"/>
          <w:b w:val="1"/>
          <w:bCs w:val="1"/>
          <w:color w:val="auto"/>
        </w:rPr>
        <w:t>FORM 10-Q</w:t>
      </w:r>
    </w:p>
    <w:p>
      <w:pPr>
        <w:spacing w:after="0" w:line="162" w:lineRule="exact"/>
        <w:rPr>
          <w:sz w:val="24"/>
          <w:szCs w:val="24"/>
          <w:color w:val="auto"/>
        </w:rPr>
      </w:pPr>
    </w:p>
    <w:p>
      <w:pPr>
        <w:ind w:left="540"/>
        <w:spacing w:after="0"/>
        <w:rPr>
          <w:sz w:val="20"/>
          <w:szCs w:val="20"/>
          <w:color w:val="auto"/>
        </w:rPr>
      </w:pPr>
      <w:r>
        <w:rPr>
          <w:rFonts w:ascii="Arial" w:cs="Arial" w:eastAsia="Arial" w:hAnsi="Arial"/>
          <w:sz w:val="20"/>
          <w:szCs w:val="20"/>
          <w:b w:val="1"/>
          <w:bCs w:val="1"/>
          <w:color w:val="auto"/>
        </w:rPr>
        <w:t>(Mark One)</w:t>
      </w:r>
    </w:p>
    <w:p>
      <w:pPr>
        <w:spacing w:after="0" w:line="54" w:lineRule="exact"/>
        <w:rPr>
          <w:sz w:val="24"/>
          <w:szCs w:val="24"/>
          <w:color w:val="auto"/>
        </w:rPr>
      </w:pPr>
    </w:p>
    <w:p>
      <w:pPr>
        <w:ind w:left="1720" w:right="400" w:hanging="814"/>
        <w:spacing w:after="0" w:line="237" w:lineRule="auto"/>
        <w:tabs>
          <w:tab w:leader="none" w:pos="1720" w:val="left"/>
        </w:tabs>
        <w:numPr>
          <w:ilvl w:val="0"/>
          <w:numId w:val="1"/>
        </w:numPr>
        <w:rPr>
          <w:rFonts w:ascii="MS PGothic" w:cs="MS PGothic" w:eastAsia="MS PGothic" w:hAnsi="MS PGothic"/>
          <w:sz w:val="49"/>
          <w:szCs w:val="49"/>
          <w:color w:val="auto"/>
          <w:vertAlign w:val="subscript"/>
        </w:rPr>
      </w:pPr>
      <w:r>
        <w:rPr>
          <w:rFonts w:ascii="Arial" w:cs="Arial" w:eastAsia="Arial" w:hAnsi="Arial"/>
          <w:sz w:val="17"/>
          <w:szCs w:val="17"/>
          <w:b w:val="1"/>
          <w:bCs w:val="1"/>
          <w:color w:val="auto"/>
        </w:rPr>
        <w:t>QUARTERLY REPORT PURSUANT TO SECTION 13 OR 15(d) OF THE SECURITIES EXCHANGE ACT OF 1934</w:t>
      </w:r>
    </w:p>
    <w:p>
      <w:pPr>
        <w:spacing w:after="0" w:line="21" w:lineRule="exact"/>
        <w:rPr>
          <w:rFonts w:ascii="MS PGothic" w:cs="MS PGothic" w:eastAsia="MS PGothic" w:hAnsi="MS PGothic"/>
          <w:sz w:val="49"/>
          <w:szCs w:val="49"/>
          <w:color w:val="auto"/>
          <w:vertAlign w:val="subscript"/>
        </w:rPr>
      </w:pPr>
    </w:p>
    <w:p>
      <w:pPr>
        <w:ind w:left="1720"/>
        <w:spacing w:after="0"/>
        <w:rPr>
          <w:rFonts w:ascii="MS PGothic" w:cs="MS PGothic" w:eastAsia="MS PGothic" w:hAnsi="MS PGothic"/>
          <w:sz w:val="49"/>
          <w:szCs w:val="49"/>
          <w:color w:val="auto"/>
          <w:vertAlign w:val="subscript"/>
        </w:rPr>
      </w:pPr>
      <w:r>
        <w:rPr>
          <w:rFonts w:ascii="Arial" w:cs="Arial" w:eastAsia="Arial" w:hAnsi="Arial"/>
          <w:sz w:val="20"/>
          <w:szCs w:val="20"/>
          <w:color w:val="auto"/>
        </w:rPr>
        <w:t>For the quarterly period ended June 28, 2020</w:t>
      </w:r>
    </w:p>
    <w:p>
      <w:pPr>
        <w:spacing w:after="0" w:line="27" w:lineRule="exact"/>
        <w:rPr>
          <w:sz w:val="24"/>
          <w:szCs w:val="24"/>
          <w:color w:val="auto"/>
        </w:rPr>
      </w:pPr>
    </w:p>
    <w:p>
      <w:pPr>
        <w:ind w:left="6160"/>
        <w:spacing w:after="0"/>
        <w:rPr>
          <w:sz w:val="20"/>
          <w:szCs w:val="20"/>
          <w:color w:val="auto"/>
        </w:rPr>
      </w:pPr>
      <w:r>
        <w:rPr>
          <w:rFonts w:ascii="Arial" w:cs="Arial" w:eastAsia="Arial" w:hAnsi="Arial"/>
          <w:sz w:val="20"/>
          <w:szCs w:val="20"/>
          <w:color w:val="auto"/>
        </w:rPr>
        <w:t>or</w:t>
      </w:r>
    </w:p>
    <w:p>
      <w:pPr>
        <w:spacing w:after="0" w:line="48" w:lineRule="exact"/>
        <w:rPr>
          <w:sz w:val="24"/>
          <w:szCs w:val="24"/>
          <w:color w:val="auto"/>
        </w:rPr>
      </w:pPr>
    </w:p>
    <w:p>
      <w:pPr>
        <w:ind w:left="1720" w:right="400" w:hanging="814"/>
        <w:spacing w:after="0" w:line="237" w:lineRule="auto"/>
        <w:tabs>
          <w:tab w:leader="none" w:pos="1720" w:val="left"/>
        </w:tabs>
        <w:numPr>
          <w:ilvl w:val="0"/>
          <w:numId w:val="2"/>
        </w:numPr>
        <w:rPr>
          <w:rFonts w:ascii="MS PGothic" w:cs="MS PGothic" w:eastAsia="MS PGothic" w:hAnsi="MS PGothic"/>
          <w:sz w:val="49"/>
          <w:szCs w:val="49"/>
          <w:color w:val="auto"/>
          <w:vertAlign w:val="subscript"/>
        </w:rPr>
      </w:pPr>
      <w:r>
        <w:rPr>
          <w:rFonts w:ascii="Arial" w:cs="Arial" w:eastAsia="Arial" w:hAnsi="Arial"/>
          <w:sz w:val="17"/>
          <w:szCs w:val="17"/>
          <w:b w:val="1"/>
          <w:bCs w:val="1"/>
          <w:color w:val="auto"/>
        </w:rPr>
        <w:t>TRANSITION REPORT PURSUANT TO SECTION 13 OR 15(d) OF THE SECURITIES EXCHANGE ACT OF 1934</w:t>
      </w:r>
    </w:p>
    <w:p>
      <w:pPr>
        <w:spacing w:after="0" w:line="35" w:lineRule="exact"/>
        <w:rPr>
          <w:rFonts w:ascii="MS PGothic" w:cs="MS PGothic" w:eastAsia="MS PGothic" w:hAnsi="MS PGothic"/>
          <w:sz w:val="49"/>
          <w:szCs w:val="49"/>
          <w:color w:val="auto"/>
          <w:vertAlign w:val="subscript"/>
        </w:rPr>
      </w:pPr>
    </w:p>
    <w:p>
      <w:pPr>
        <w:ind w:left="1720"/>
        <w:spacing w:after="0"/>
        <w:rPr>
          <w:rFonts w:ascii="MS PGothic" w:cs="MS PGothic" w:eastAsia="MS PGothic" w:hAnsi="MS PGothic"/>
          <w:sz w:val="49"/>
          <w:szCs w:val="49"/>
          <w:color w:val="auto"/>
          <w:vertAlign w:val="subscript"/>
        </w:rPr>
      </w:pPr>
      <w:r>
        <w:rPr>
          <w:rFonts w:ascii="Arial" w:cs="Arial" w:eastAsia="Arial" w:hAnsi="Arial"/>
          <w:sz w:val="20"/>
          <w:szCs w:val="20"/>
          <w:color w:val="auto"/>
        </w:rPr>
        <w:t>For the transition period from ______ to ______</w:t>
      </w:r>
    </w:p>
    <w:p>
      <w:pPr>
        <w:spacing w:after="0" w:line="115" w:lineRule="exact"/>
        <w:rPr>
          <w:sz w:val="24"/>
          <w:szCs w:val="24"/>
          <w:color w:val="auto"/>
        </w:rPr>
      </w:pPr>
    </w:p>
    <w:p>
      <w:pPr>
        <w:jc w:val="center"/>
        <w:ind w:right="-299"/>
        <w:spacing w:after="0"/>
        <w:rPr>
          <w:sz w:val="20"/>
          <w:szCs w:val="20"/>
          <w:color w:val="auto"/>
        </w:rPr>
      </w:pPr>
      <w:r>
        <w:rPr>
          <w:rFonts w:ascii="Arial" w:cs="Arial" w:eastAsia="Arial" w:hAnsi="Arial"/>
          <w:sz w:val="20"/>
          <w:szCs w:val="20"/>
          <w:color w:val="auto"/>
        </w:rPr>
        <w:t xml:space="preserve">Commission File Number: </w:t>
      </w:r>
      <w:r>
        <w:rPr>
          <w:rFonts w:ascii="Arial" w:cs="Arial" w:eastAsia="Arial" w:hAnsi="Arial"/>
          <w:sz w:val="20"/>
          <w:szCs w:val="20"/>
          <w:b w:val="1"/>
          <w:bCs w:val="1"/>
          <w:color w:val="auto"/>
        </w:rPr>
        <w:t>001-35625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3142615</wp:posOffset>
            </wp:positionH>
            <wp:positionV relativeFrom="paragraph">
              <wp:posOffset>168275</wp:posOffset>
            </wp:positionV>
            <wp:extent cx="865505" cy="13716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65505" cy="13716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p>
      <w:pPr>
        <w:jc w:val="center"/>
        <w:ind w:right="-299"/>
        <w:spacing w:after="0"/>
        <w:rPr>
          <w:sz w:val="20"/>
          <w:szCs w:val="20"/>
          <w:color w:val="auto"/>
        </w:rPr>
      </w:pPr>
      <w:r>
        <w:rPr>
          <w:rFonts w:ascii="Arial" w:cs="Arial" w:eastAsia="Arial" w:hAnsi="Arial"/>
          <w:sz w:val="43"/>
          <w:szCs w:val="43"/>
          <w:b w:val="1"/>
          <w:bCs w:val="1"/>
          <w:color w:val="auto"/>
        </w:rPr>
        <w:t>BLOOMIN’ BRANDS, INC.</w:t>
      </w:r>
    </w:p>
    <w:p>
      <w:pPr>
        <w:spacing w:after="0" w:line="53" w:lineRule="exact"/>
        <w:rPr>
          <w:sz w:val="24"/>
          <w:szCs w:val="24"/>
          <w:color w:val="auto"/>
        </w:rPr>
      </w:pPr>
    </w:p>
    <w:p>
      <w:pPr>
        <w:jc w:val="center"/>
        <w:ind w:right="-299"/>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0940"/>
          </w:cols>
          <w:pgMar w:left="320" w:top="1008" w:right="639" w:bottom="177" w:gutter="0" w:footer="0" w:header="0"/>
        </w:sectPr>
      </w:pPr>
    </w:p>
    <w:p>
      <w:pPr>
        <w:spacing w:after="0" w:line="122" w:lineRule="exact"/>
        <w:rPr>
          <w:sz w:val="24"/>
          <w:szCs w:val="24"/>
          <w:color w:val="auto"/>
        </w:rPr>
      </w:pPr>
    </w:p>
    <w:p>
      <w:pPr>
        <w:ind w:left="25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20-8023465</w:t>
      </w:r>
    </w:p>
    <w:p>
      <w:pPr>
        <w:spacing w:after="0" w:line="99" w:lineRule="exact"/>
        <w:rPr>
          <w:sz w:val="24"/>
          <w:szCs w:val="24"/>
          <w:color w:val="auto"/>
        </w:rPr>
      </w:pPr>
    </w:p>
    <w:p>
      <w:pPr>
        <w:sectPr>
          <w:pgSz w:w="11900" w:h="16838" w:orient="portrait"/>
          <w:cols w:equalWidth="0" w:num="2">
            <w:col w:w="7300" w:space="720"/>
            <w:col w:w="2920"/>
          </w:cols>
          <w:pgMar w:left="320" w:top="1008" w:right="639" w:bottom="177" w:gutter="0" w:footer="0" w:header="0"/>
          <w:type w:val="continuous"/>
        </w:sectPr>
      </w:pPr>
    </w:p>
    <w:p>
      <w:pPr>
        <w:ind w:left="920"/>
        <w:spacing w:after="0"/>
        <w:rPr>
          <w:sz w:val="20"/>
          <w:szCs w:val="20"/>
          <w:color w:val="auto"/>
        </w:rPr>
      </w:pPr>
      <w:r>
        <w:rPr>
          <w:rFonts w:ascii="Arial" w:cs="Arial" w:eastAsia="Arial" w:hAnsi="Arial"/>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(IRS Employer Identification No.)</w:t>
      </w:r>
    </w:p>
    <w:p>
      <w:pPr>
        <w:spacing w:after="0" w:line="139" w:lineRule="exact"/>
        <w:rPr>
          <w:sz w:val="24"/>
          <w:szCs w:val="24"/>
          <w:color w:val="auto"/>
        </w:rPr>
      </w:pPr>
    </w:p>
    <w:p>
      <w:pPr>
        <w:sectPr>
          <w:pgSz w:w="11900" w:h="16838" w:orient="portrait"/>
          <w:cols w:equalWidth="0" w:num="2">
            <w:col w:w="6560" w:space="720"/>
            <w:col w:w="3660"/>
          </w:cols>
          <w:pgMar w:left="320" w:top="1008" w:right="639" w:bottom="177" w:gutter="0" w:footer="0" w:header="0"/>
          <w:type w:val="continuous"/>
        </w:sectPr>
      </w:pPr>
    </w:p>
    <w:p>
      <w:pPr>
        <w:jc w:val="center"/>
        <w:ind w:right="-319"/>
        <w:spacing w:after="0"/>
        <w:rPr>
          <w:sz w:val="20"/>
          <w:szCs w:val="20"/>
          <w:color w:val="auto"/>
        </w:rPr>
      </w:pPr>
      <w:r>
        <w:rPr>
          <w:rFonts w:ascii="Arial" w:cs="Arial" w:eastAsia="Arial" w:hAnsi="Arial"/>
          <w:sz w:val="16"/>
          <w:szCs w:val="16"/>
          <w:b w:val="1"/>
          <w:bCs w:val="1"/>
          <w:color w:val="auto"/>
        </w:rPr>
        <w:t>2202 North West Shore Boulevard, Suite 500, Tampa, FL 33607</w:t>
      </w:r>
    </w:p>
    <w:p>
      <w:pPr>
        <w:spacing w:after="0" w:line="72" w:lineRule="exact"/>
        <w:rPr>
          <w:sz w:val="24"/>
          <w:szCs w:val="24"/>
          <w:color w:val="auto"/>
        </w:rPr>
      </w:pPr>
    </w:p>
    <w:p>
      <w:pPr>
        <w:jc w:val="center"/>
        <w:ind w:right="-319"/>
        <w:spacing w:after="0"/>
        <w:rPr>
          <w:sz w:val="20"/>
          <w:szCs w:val="20"/>
          <w:color w:val="auto"/>
        </w:rPr>
      </w:pPr>
      <w:r>
        <w:rPr>
          <w:rFonts w:ascii="Arial" w:cs="Arial" w:eastAsia="Arial" w:hAnsi="Arial"/>
          <w:sz w:val="16"/>
          <w:szCs w:val="16"/>
          <w:color w:val="auto"/>
        </w:rPr>
        <w:t>(Address of principal executive offices) (Zip Code)</w:t>
      </w:r>
    </w:p>
    <w:p>
      <w:pPr>
        <w:spacing w:after="0" w:line="221" w:lineRule="exact"/>
        <w:rPr>
          <w:sz w:val="24"/>
          <w:szCs w:val="24"/>
          <w:color w:val="auto"/>
        </w:rPr>
      </w:pPr>
    </w:p>
    <w:p>
      <w:pPr>
        <w:jc w:val="center"/>
        <w:ind w:right="-319"/>
        <w:spacing w:after="0"/>
        <w:rPr>
          <w:sz w:val="20"/>
          <w:szCs w:val="20"/>
          <w:color w:val="auto"/>
        </w:rPr>
      </w:pPr>
      <w:r>
        <w:rPr>
          <w:rFonts w:ascii="Arial" w:cs="Arial" w:eastAsia="Arial" w:hAnsi="Arial"/>
          <w:sz w:val="20"/>
          <w:szCs w:val="20"/>
          <w:b w:val="1"/>
          <w:bCs w:val="1"/>
          <w:color w:val="auto"/>
        </w:rPr>
        <w:t>(813) 282-1225</w:t>
      </w:r>
    </w:p>
    <w:p>
      <w:pPr>
        <w:spacing w:after="0" w:line="26" w:lineRule="exact"/>
        <w:rPr>
          <w:sz w:val="24"/>
          <w:szCs w:val="24"/>
          <w:color w:val="auto"/>
        </w:rPr>
      </w:pPr>
    </w:p>
    <w:p>
      <w:pPr>
        <w:jc w:val="center"/>
        <w:ind w:right="-319"/>
        <w:spacing w:after="0"/>
        <w:rPr>
          <w:sz w:val="20"/>
          <w:szCs w:val="20"/>
          <w:color w:val="auto"/>
        </w:rPr>
      </w:pPr>
      <w:r>
        <w:rPr>
          <w:rFonts w:ascii="Arial" w:cs="Arial" w:eastAsia="Arial" w:hAnsi="Arial"/>
          <w:sz w:val="16"/>
          <w:szCs w:val="16"/>
          <w:color w:val="auto"/>
        </w:rPr>
        <w:t>(Registrant’s telephone number, including area code)</w:t>
      </w:r>
    </w:p>
    <w:p>
      <w:pPr>
        <w:spacing w:after="0" w:line="221" w:lineRule="exact"/>
        <w:rPr>
          <w:sz w:val="24"/>
          <w:szCs w:val="24"/>
          <w:color w:val="auto"/>
        </w:rPr>
      </w:pPr>
    </w:p>
    <w:p>
      <w:pPr>
        <w:jc w:val="center"/>
        <w:ind w:right="-319"/>
        <w:spacing w:after="0"/>
        <w:rPr>
          <w:sz w:val="20"/>
          <w:szCs w:val="20"/>
          <w:color w:val="auto"/>
        </w:rPr>
      </w:pPr>
      <w:r>
        <w:rPr>
          <w:rFonts w:ascii="Arial" w:cs="Arial" w:eastAsia="Arial" w:hAnsi="Arial"/>
          <w:sz w:val="20"/>
          <w:szCs w:val="20"/>
          <w:b w:val="1"/>
          <w:bCs w:val="1"/>
          <w:color w:val="auto"/>
        </w:rPr>
        <w:t>N/A</w:t>
      </w:r>
    </w:p>
    <w:p>
      <w:pPr>
        <w:spacing w:after="0" w:line="26" w:lineRule="exact"/>
        <w:rPr>
          <w:sz w:val="24"/>
          <w:szCs w:val="24"/>
          <w:color w:val="auto"/>
        </w:rPr>
      </w:pPr>
    </w:p>
    <w:p>
      <w:pPr>
        <w:jc w:val="center"/>
        <w:ind w:right="-319"/>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ectPr>
          <w:pgSz w:w="11900" w:h="16838" w:orient="portrait"/>
          <w:cols w:equalWidth="0" w:num="1">
            <w:col w:w="10940"/>
          </w:cols>
          <w:pgMar w:left="320" w:top="1008" w:right="639" w:bottom="177" w:gutter="0" w:footer="0" w:header="0"/>
          <w:type w:val="continuous"/>
        </w:sectPr>
      </w:pPr>
    </w:p>
    <w:p>
      <w:pPr>
        <w:spacing w:after="0" w:line="200" w:lineRule="exact"/>
        <w:rPr>
          <w:sz w:val="24"/>
          <w:szCs w:val="24"/>
          <w:color w:val="auto"/>
        </w:rPr>
      </w:pPr>
    </w:p>
    <w:p>
      <w:pPr>
        <w:spacing w:after="0" w:line="395" w:lineRule="exact"/>
        <w:rPr>
          <w:sz w:val="24"/>
          <w:szCs w:val="24"/>
          <w:color w:val="auto"/>
        </w:rPr>
      </w:pPr>
    </w:p>
    <w:p>
      <w:pPr>
        <w:ind w:left="1620"/>
        <w:spacing w:after="0"/>
        <w:rPr>
          <w:sz w:val="20"/>
          <w:szCs w:val="20"/>
          <w:color w:val="auto"/>
        </w:rPr>
      </w:pPr>
      <w:r>
        <w:rPr>
          <w:rFonts w:ascii="Arial" w:cs="Arial" w:eastAsia="Arial" w:hAnsi="Arial"/>
          <w:sz w:val="14"/>
          <w:szCs w:val="14"/>
          <w:color w:val="auto"/>
        </w:rPr>
        <w:t>Title of each class</w:t>
      </w:r>
    </w:p>
    <w:p>
      <w:pPr>
        <w:spacing w:after="0" w:line="20" w:lineRule="exact"/>
        <w:rPr>
          <w:sz w:val="24"/>
          <w:szCs w:val="24"/>
          <w:color w:val="auto"/>
        </w:rPr>
      </w:pPr>
      <w:r>
        <w:rPr>
          <w:sz w:val="24"/>
          <w:szCs w:val="24"/>
          <w:color w:val="auto"/>
        </w:rPr>
        <w:br w:type="column"/>
      </w:r>
    </w:p>
    <w:p>
      <w:pPr>
        <w:spacing w:after="0" w:line="237"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177" w:lineRule="exact"/>
        <w:rPr>
          <w:sz w:val="24"/>
          <w:szCs w:val="24"/>
          <w:color w:val="auto"/>
        </w:rPr>
      </w:pPr>
    </w:p>
    <w:p>
      <w:pPr>
        <w:ind w:left="1380"/>
        <w:spacing w:after="0"/>
        <w:rPr>
          <w:sz w:val="20"/>
          <w:szCs w:val="20"/>
          <w:color w:val="auto"/>
        </w:rPr>
      </w:pPr>
      <w:r>
        <w:rPr>
          <w:rFonts w:ascii="Arial" w:cs="Arial" w:eastAsia="Arial" w:hAnsi="Arial"/>
          <w:sz w:val="16"/>
          <w:szCs w:val="16"/>
          <w:color w:val="auto"/>
        </w:rPr>
        <w:t>Trading Symbol(s)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75" w:lineRule="exact"/>
        <w:rPr>
          <w:sz w:val="24"/>
          <w:szCs w:val="24"/>
          <w:color w:val="auto"/>
        </w:rPr>
      </w:pPr>
    </w:p>
    <w:p>
      <w:pPr>
        <w:spacing w:after="0"/>
        <w:rPr>
          <w:sz w:val="20"/>
          <w:szCs w:val="20"/>
          <w:color w:val="auto"/>
        </w:rPr>
      </w:pPr>
      <w:r>
        <w:rPr>
          <w:rFonts w:ascii="Arial" w:cs="Arial" w:eastAsia="Arial" w:hAnsi="Arial"/>
          <w:sz w:val="14"/>
          <w:szCs w:val="14"/>
          <w:color w:val="auto"/>
        </w:rPr>
        <w:t>Name of each exchange on which registered</w:t>
      </w:r>
    </w:p>
    <w:p>
      <w:pPr>
        <w:spacing w:after="0" w:line="77" w:lineRule="exact"/>
        <w:rPr>
          <w:sz w:val="24"/>
          <w:szCs w:val="24"/>
          <w:color w:val="auto"/>
        </w:rPr>
      </w:pPr>
    </w:p>
    <w:p>
      <w:pPr>
        <w:sectPr>
          <w:pgSz w:w="11900" w:h="16838" w:orient="portrait"/>
          <w:cols w:equalWidth="0" w:num="3">
            <w:col w:w="3040" w:space="720"/>
            <w:col w:w="3740" w:space="240"/>
            <w:col w:w="3200"/>
          </w:cols>
          <w:pgMar w:left="320" w:top="1008" w:right="639" w:bottom="177" w:gutter="0" w:footer="0" w:header="0"/>
          <w:type w:val="continuous"/>
        </w:sectPr>
      </w:pPr>
    </w:p>
    <w:p>
      <w:pPr>
        <w:ind w:left="1100"/>
        <w:spacing w:after="0"/>
        <w:rPr>
          <w:sz w:val="20"/>
          <w:szCs w:val="20"/>
          <w:color w:val="auto"/>
        </w:rPr>
      </w:pPr>
      <w:r>
        <w:rPr>
          <w:rFonts w:ascii="Arial" w:cs="Arial" w:eastAsia="Arial" w:hAnsi="Arial"/>
          <w:sz w:val="14"/>
          <w:szCs w:val="14"/>
          <w:b w:val="1"/>
          <w:bCs w:val="1"/>
          <w:color w:val="auto"/>
        </w:rPr>
        <w:t>Common Stock $0.01 par value</w:t>
      </w:r>
    </w:p>
    <w:p>
      <w:pPr>
        <w:spacing w:after="0" w:line="20" w:lineRule="exact"/>
        <w:rPr>
          <w:sz w:val="24"/>
          <w:szCs w:val="24"/>
          <w:color w:val="auto"/>
        </w:rPr>
      </w:pPr>
      <w:r>
        <w:rPr>
          <w:sz w:val="24"/>
          <w:szCs w:val="24"/>
          <w:color w:val="auto"/>
        </w:rPr>
        <w:br w:type="column"/>
      </w:r>
    </w:p>
    <w:p>
      <w:pPr>
        <w:jc w:val="center"/>
        <w:ind w:right="1360"/>
        <w:spacing w:after="0"/>
        <w:rPr>
          <w:sz w:val="20"/>
          <w:szCs w:val="20"/>
          <w:color w:val="auto"/>
        </w:rPr>
      </w:pPr>
      <w:r>
        <w:rPr>
          <w:rFonts w:ascii="Arial" w:cs="Arial" w:eastAsia="Arial" w:hAnsi="Arial"/>
          <w:sz w:val="16"/>
          <w:szCs w:val="16"/>
          <w:b w:val="1"/>
          <w:bCs w:val="1"/>
          <w:color w:val="auto"/>
        </w:rPr>
        <w:t>BLMN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The Nasdaq Stock Market LLC</w:t>
      </w:r>
    </w:p>
    <w:p>
      <w:pPr>
        <w:spacing w:after="0" w:line="8" w:lineRule="exact"/>
        <w:rPr>
          <w:sz w:val="24"/>
          <w:szCs w:val="24"/>
          <w:color w:val="auto"/>
        </w:rPr>
      </w:pPr>
    </w:p>
    <w:p>
      <w:pPr>
        <w:ind w:left="20"/>
        <w:spacing w:after="0"/>
        <w:rPr>
          <w:sz w:val="20"/>
          <w:szCs w:val="20"/>
          <w:color w:val="auto"/>
        </w:rPr>
      </w:pPr>
      <w:r>
        <w:rPr>
          <w:rFonts w:ascii="Arial" w:cs="Arial" w:eastAsia="Arial" w:hAnsi="Arial"/>
          <w:sz w:val="15"/>
          <w:szCs w:val="15"/>
          <w:b w:val="1"/>
          <w:bCs w:val="1"/>
          <w:color w:val="auto"/>
        </w:rPr>
        <w:t>(Nasdaq Global Select Market)</w:t>
      </w:r>
    </w:p>
    <w:p>
      <w:pPr>
        <w:spacing w:after="0" w:line="200" w:lineRule="exact"/>
        <w:rPr>
          <w:sz w:val="24"/>
          <w:szCs w:val="24"/>
          <w:color w:val="auto"/>
        </w:rPr>
      </w:pPr>
    </w:p>
    <w:p>
      <w:pPr>
        <w:sectPr>
          <w:pgSz w:w="11900" w:h="16838" w:orient="portrait"/>
          <w:cols w:equalWidth="0" w:num="3">
            <w:col w:w="4780" w:space="720"/>
            <w:col w:w="1860" w:space="720"/>
            <w:col w:w="2860"/>
          </w:cols>
          <w:pgMar w:left="320" w:top="1008" w:right="639" w:bottom="177" w:gutter="0" w:footer="0" w:header="0"/>
          <w:type w:val="continuous"/>
        </w:sectPr>
      </w:pPr>
    </w:p>
    <w:p>
      <w:pPr>
        <w:spacing w:after="0" w:line="136" w:lineRule="exact"/>
        <w:rPr>
          <w:sz w:val="24"/>
          <w:szCs w:val="24"/>
          <w:color w:val="auto"/>
        </w:rPr>
      </w:pPr>
    </w:p>
    <w:p>
      <w:pPr>
        <w:spacing w:after="0" w:line="288"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288" w:lineRule="exact"/>
        <w:rPr>
          <w:sz w:val="20"/>
          <w:szCs w:val="20"/>
          <w:color w:val="auto"/>
        </w:rPr>
      </w:pPr>
      <w:r>
        <w:rPr>
          <w:rFonts w:ascii="Arial" w:cs="Arial" w:eastAsia="Arial" w:hAnsi="Arial"/>
          <w:sz w:val="18"/>
          <w:szCs w:val="18"/>
          <w:color w:val="auto"/>
        </w:rPr>
        <w:t xml:space="preserve">requirements for the past 90 days. Yes </w:t>
      </w:r>
      <w:r>
        <w:rPr>
          <w:rFonts w:ascii="MS PGothic" w:cs="MS PGothic" w:eastAsia="MS PGothic" w:hAnsi="MS PGothic"/>
          <w:sz w:val="25"/>
          <w:szCs w:val="25"/>
          <w:color w:val="auto"/>
        </w:rPr>
        <w:t>☒</w:t>
      </w:r>
      <w:r>
        <w:rPr>
          <w:rFonts w:ascii="Arial" w:cs="Arial" w:eastAsia="Arial" w:hAnsi="Arial"/>
          <w:sz w:val="18"/>
          <w:szCs w:val="18"/>
          <w:color w:val="auto"/>
        </w:rPr>
        <w:t xml:space="preserve"> No </w:t>
      </w:r>
      <w:r>
        <w:rPr>
          <w:rFonts w:ascii="MS PGothic" w:cs="MS PGothic" w:eastAsia="MS PGothic" w:hAnsi="MS PGothic"/>
          <w:sz w:val="25"/>
          <w:szCs w:val="25"/>
          <w:color w:val="auto"/>
        </w:rPr>
        <w:t>☐</w:t>
      </w:r>
    </w:p>
    <w:p>
      <w:pPr>
        <w:spacing w:after="0" w:line="242" w:lineRule="exact"/>
        <w:rPr>
          <w:sz w:val="24"/>
          <w:szCs w:val="24"/>
          <w:color w:val="auto"/>
        </w:rPr>
      </w:pPr>
    </w:p>
    <w:p>
      <w:pPr>
        <w:ind w:right="60"/>
        <w:spacing w:after="0" w:line="288"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1" w:lineRule="exact"/>
        <w:rPr>
          <w:sz w:val="24"/>
          <w:szCs w:val="24"/>
          <w:color w:val="auto"/>
        </w:rPr>
      </w:pPr>
    </w:p>
    <w:p>
      <w:pPr>
        <w:spacing w:after="0" w:line="288" w:lineRule="exact"/>
        <w:rPr>
          <w:sz w:val="20"/>
          <w:szCs w:val="20"/>
          <w:color w:val="auto"/>
        </w:rPr>
      </w:pPr>
      <w:r>
        <w:rPr>
          <w:rFonts w:ascii="Arial" w:cs="Arial" w:eastAsia="Arial" w:hAnsi="Arial"/>
          <w:sz w:val="18"/>
          <w:szCs w:val="18"/>
          <w:color w:val="auto"/>
        </w:rPr>
        <w:t xml:space="preserve">files). Yes </w:t>
      </w:r>
      <w:r>
        <w:rPr>
          <w:rFonts w:ascii="MS PGothic" w:cs="MS PGothic" w:eastAsia="MS PGothic" w:hAnsi="MS PGothic"/>
          <w:sz w:val="25"/>
          <w:szCs w:val="25"/>
          <w:color w:val="auto"/>
        </w:rPr>
        <w:t>☒</w:t>
      </w:r>
      <w:r>
        <w:rPr>
          <w:rFonts w:ascii="Arial" w:cs="Arial" w:eastAsia="Arial" w:hAnsi="Arial"/>
          <w:sz w:val="18"/>
          <w:szCs w:val="18"/>
          <w:color w:val="auto"/>
        </w:rPr>
        <w:t xml:space="preserve"> No </w:t>
      </w:r>
      <w:r>
        <w:rPr>
          <w:rFonts w:ascii="MS PGothic" w:cs="MS PGothic" w:eastAsia="MS PGothic" w:hAnsi="MS PGothic"/>
          <w:sz w:val="25"/>
          <w:szCs w:val="25"/>
          <w:color w:val="auto"/>
        </w:rPr>
        <w:t>☐</w:t>
      </w: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p>
      <w:pPr>
        <w:ind w:right="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1" w:lineRule="exact"/>
        <w:rPr>
          <w:sz w:val="24"/>
          <w:szCs w:val="24"/>
          <w:color w:val="auto"/>
        </w:rPr>
      </w:pPr>
    </w:p>
    <w:p>
      <w:pPr>
        <w:ind w:left="3200"/>
        <w:spacing w:after="0" w:line="288"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25"/>
          <w:szCs w:val="25"/>
          <w:color w:val="auto"/>
        </w:rPr>
        <w:t>☒</w:t>
      </w:r>
      <w:r>
        <w:rPr>
          <w:rFonts w:ascii="Arial" w:cs="Arial" w:eastAsia="Arial" w:hAnsi="Arial"/>
          <w:sz w:val="18"/>
          <w:szCs w:val="18"/>
          <w:color w:val="auto"/>
        </w:rPr>
        <w:t xml:space="preserve"> Accelerated filer </w:t>
      </w:r>
      <w:r>
        <w:rPr>
          <w:rFonts w:ascii="MS PGothic" w:cs="MS PGothic" w:eastAsia="MS PGothic" w:hAnsi="MS PGothic"/>
          <w:sz w:val="25"/>
          <w:szCs w:val="25"/>
          <w:color w:val="auto"/>
        </w:rPr>
        <w:t>☐</w:t>
      </w:r>
      <w:r>
        <w:rPr>
          <w:rFonts w:ascii="Arial" w:cs="Arial" w:eastAsia="Arial" w:hAnsi="Arial"/>
          <w:sz w:val="18"/>
          <w:szCs w:val="18"/>
          <w:color w:val="auto"/>
        </w:rPr>
        <w:t xml:space="preserve"> Non-accelerated filer </w:t>
      </w:r>
      <w:r>
        <w:rPr>
          <w:rFonts w:ascii="MS PGothic" w:cs="MS PGothic" w:eastAsia="MS PGothic" w:hAnsi="MS PGothic"/>
          <w:sz w:val="25"/>
          <w:szCs w:val="25"/>
          <w:color w:val="auto"/>
        </w:rPr>
        <w:t>☐</w:t>
      </w:r>
    </w:p>
    <w:p>
      <w:pPr>
        <w:spacing w:after="0" w:line="70" w:lineRule="exact"/>
        <w:rPr>
          <w:sz w:val="24"/>
          <w:szCs w:val="24"/>
          <w:color w:val="auto"/>
        </w:rPr>
      </w:pPr>
    </w:p>
    <w:p>
      <w:pPr>
        <w:ind w:left="3360"/>
        <w:spacing w:after="0" w:line="288" w:lineRule="exact"/>
        <w:rPr>
          <w:sz w:val="20"/>
          <w:szCs w:val="20"/>
          <w:color w:val="auto"/>
        </w:rPr>
      </w:pPr>
      <w:r>
        <w:rPr>
          <w:rFonts w:ascii="Arial" w:cs="Arial" w:eastAsia="Arial" w:hAnsi="Arial"/>
          <w:sz w:val="18"/>
          <w:szCs w:val="18"/>
          <w:color w:val="auto"/>
        </w:rPr>
        <w:t xml:space="preserve">Smaller reporting company </w:t>
      </w:r>
      <w:r>
        <w:rPr>
          <w:rFonts w:ascii="MS PGothic" w:cs="MS PGothic" w:eastAsia="MS PGothic" w:hAnsi="MS PGothic"/>
          <w:sz w:val="25"/>
          <w:szCs w:val="25"/>
          <w:color w:val="auto"/>
        </w:rPr>
        <w:t>☐</w:t>
      </w:r>
      <w:r>
        <w:rPr>
          <w:rFonts w:ascii="Arial" w:cs="Arial" w:eastAsia="Arial" w:hAnsi="Arial"/>
          <w:sz w:val="18"/>
          <w:szCs w:val="18"/>
          <w:color w:val="auto"/>
        </w:rPr>
        <w:t xml:space="preserve"> Emerging growth company </w:t>
      </w:r>
      <w:r>
        <w:rPr>
          <w:rFonts w:ascii="MS PGothic" w:cs="MS PGothic" w:eastAsia="MS PGothic" w:hAnsi="MS PGothic"/>
          <w:sz w:val="25"/>
          <w:szCs w:val="25"/>
          <w:color w:val="auto"/>
        </w:rPr>
        <w:t>☐</w:t>
      </w:r>
    </w:p>
    <w:p>
      <w:pPr>
        <w:sectPr>
          <w:pgSz w:w="11900" w:h="16838" w:orient="portrait"/>
          <w:cols w:equalWidth="0" w:num="1">
            <w:col w:w="10940"/>
          </w:cols>
          <w:pgMar w:left="320" w:top="1008" w:right="639" w:bottom="177" w:gutter="0" w:footer="0" w:header="0"/>
          <w:type w:val="continuous"/>
        </w:sectPr>
      </w:pPr>
    </w:p>
    <w:bookmarkStart w:id="1" w:name="page2"/>
    <w:bookmarkEnd w:id="1"/>
    <w:p>
      <w:pPr>
        <w:spacing w:after="0" w:line="282"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5"/>
          <w:szCs w:val="25"/>
          <w:color w:val="auto"/>
        </w:rPr>
        <w:t>☐</w:t>
      </w:r>
    </w:p>
    <w:p>
      <w:pPr>
        <w:spacing w:after="0" w:line="144" w:lineRule="exact"/>
        <w:rPr>
          <w:sz w:val="20"/>
          <w:szCs w:val="20"/>
          <w:color w:val="auto"/>
        </w:rPr>
      </w:pPr>
    </w:p>
    <w:p>
      <w:pPr>
        <w:spacing w:after="0" w:line="288"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25"/>
          <w:szCs w:val="25"/>
          <w:color w:val="auto"/>
        </w:rPr>
        <w:t>☐</w:t>
      </w:r>
      <w:r>
        <w:rPr>
          <w:rFonts w:ascii="Arial" w:cs="Arial" w:eastAsia="Arial" w:hAnsi="Arial"/>
          <w:sz w:val="18"/>
          <w:szCs w:val="18"/>
          <w:color w:val="auto"/>
        </w:rPr>
        <w:t xml:space="preserve"> No </w:t>
      </w:r>
      <w:r>
        <w:rPr>
          <w:rFonts w:ascii="MS PGothic" w:cs="MS PGothic" w:eastAsia="MS PGothic" w:hAnsi="MS PGothic"/>
          <w:sz w:val="25"/>
          <w:szCs w:val="25"/>
          <w:color w:val="auto"/>
        </w:rPr>
        <w:t>☒</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As of July 28, 2020, 87,546,678 shares of common stock of the registrant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320" w:top="125" w:right="49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tbl>
      <w:tblPr>
        <w:tblLayout w:type="fixed"/>
        <w:tblInd w:w="20" w:type="dxa"/>
        <w:tblCellMar>
          <w:top w:w="0" w:type="dxa"/>
          <w:left w:w="0" w:type="dxa"/>
          <w:bottom w:w="0" w:type="dxa"/>
          <w:right w:w="0" w:type="dxa"/>
        </w:tblCellMar>
      </w:tblPr>
      <w:tr>
        <w:trPr>
          <w:trHeight w:val="256"/>
        </w:trPr>
        <w:tc>
          <w:tcPr>
            <w:tcW w:w="840" w:type="dxa"/>
            <w:vAlign w:val="bottom"/>
          </w:tcPr>
          <w:p>
            <w:pPr>
              <w:spacing w:after="0"/>
              <w:rPr>
                <w:sz w:val="22"/>
                <w:szCs w:val="22"/>
                <w:color w:val="auto"/>
              </w:rPr>
            </w:pPr>
          </w:p>
        </w:tc>
        <w:tc>
          <w:tcPr>
            <w:tcW w:w="8800" w:type="dxa"/>
            <w:vAlign w:val="bottom"/>
          </w:tcPr>
          <w:p>
            <w:pPr>
              <w:jc w:val="center"/>
              <w:ind w:left="641"/>
              <w:spacing w:after="0"/>
              <w:rPr>
                <w:sz w:val="20"/>
                <w:szCs w:val="20"/>
                <w:color w:val="auto"/>
              </w:rPr>
            </w:pPr>
            <w:r>
              <w:rPr>
                <w:rFonts w:ascii="Arial" w:cs="Arial" w:eastAsia="Arial" w:hAnsi="Arial"/>
                <w:sz w:val="20"/>
                <w:szCs w:val="20"/>
                <w:b w:val="1"/>
                <w:bCs w:val="1"/>
                <w:color w:val="auto"/>
                <w:w w:val="99"/>
              </w:rPr>
              <w:t>BLOOMIN’ BRANDS, INC.</w:t>
            </w:r>
          </w:p>
        </w:tc>
        <w:tc>
          <w:tcPr>
            <w:tcW w:w="1580" w:type="dxa"/>
            <w:vAlign w:val="bottom"/>
          </w:tcPr>
          <w:p>
            <w:pPr>
              <w:spacing w:after="0"/>
              <w:rPr>
                <w:sz w:val="22"/>
                <w:szCs w:val="22"/>
                <w:color w:val="auto"/>
              </w:rPr>
            </w:pPr>
          </w:p>
        </w:tc>
      </w:tr>
      <w:tr>
        <w:trPr>
          <w:trHeight w:val="929"/>
        </w:trPr>
        <w:tc>
          <w:tcPr>
            <w:tcW w:w="840" w:type="dxa"/>
            <w:vAlign w:val="bottom"/>
          </w:tcPr>
          <w:p>
            <w:pPr>
              <w:spacing w:after="0"/>
              <w:rPr>
                <w:sz w:val="24"/>
                <w:szCs w:val="24"/>
                <w:color w:val="auto"/>
              </w:rPr>
            </w:pPr>
          </w:p>
        </w:tc>
        <w:tc>
          <w:tcPr>
            <w:tcW w:w="8800" w:type="dxa"/>
            <w:vAlign w:val="bottom"/>
          </w:tcPr>
          <w:p>
            <w:pPr>
              <w:jc w:val="center"/>
              <w:ind w:left="641"/>
              <w:spacing w:after="0"/>
              <w:rPr>
                <w:sz w:val="20"/>
                <w:szCs w:val="20"/>
                <w:color w:val="auto"/>
              </w:rPr>
            </w:pPr>
            <w:r>
              <w:rPr>
                <w:rFonts w:ascii="Arial" w:cs="Arial" w:eastAsia="Arial" w:hAnsi="Arial"/>
                <w:sz w:val="20"/>
                <w:szCs w:val="20"/>
                <w:color w:val="auto"/>
                <w:w w:val="94"/>
              </w:rPr>
              <w:t>INDEX TO QUARTERLY REPORT ON FORM 10-Q</w:t>
            </w:r>
          </w:p>
        </w:tc>
        <w:tc>
          <w:tcPr>
            <w:tcW w:w="1580" w:type="dxa"/>
            <w:vAlign w:val="bottom"/>
          </w:tcPr>
          <w:p>
            <w:pPr>
              <w:spacing w:after="0"/>
              <w:rPr>
                <w:sz w:val="24"/>
                <w:szCs w:val="24"/>
                <w:color w:val="auto"/>
              </w:rPr>
            </w:pPr>
          </w:p>
        </w:tc>
      </w:tr>
      <w:tr>
        <w:trPr>
          <w:trHeight w:val="230"/>
        </w:trPr>
        <w:tc>
          <w:tcPr>
            <w:tcW w:w="840" w:type="dxa"/>
            <w:vAlign w:val="bottom"/>
          </w:tcPr>
          <w:p>
            <w:pPr>
              <w:spacing w:after="0"/>
              <w:rPr>
                <w:sz w:val="19"/>
                <w:szCs w:val="19"/>
                <w:color w:val="auto"/>
              </w:rPr>
            </w:pPr>
          </w:p>
        </w:tc>
        <w:tc>
          <w:tcPr>
            <w:tcW w:w="8800" w:type="dxa"/>
            <w:vAlign w:val="bottom"/>
          </w:tcPr>
          <w:p>
            <w:pPr>
              <w:jc w:val="center"/>
              <w:ind w:left="621"/>
              <w:spacing w:after="0"/>
              <w:rPr>
                <w:sz w:val="20"/>
                <w:szCs w:val="20"/>
                <w:color w:val="auto"/>
              </w:rPr>
            </w:pPr>
            <w:r>
              <w:rPr>
                <w:rFonts w:ascii="Arial" w:cs="Arial" w:eastAsia="Arial" w:hAnsi="Arial"/>
                <w:sz w:val="20"/>
                <w:szCs w:val="20"/>
                <w:color w:val="auto"/>
                <w:w w:val="88"/>
              </w:rPr>
              <w:t>For the Quarterly Period Ended June 28, 2020</w:t>
            </w:r>
          </w:p>
        </w:tc>
        <w:tc>
          <w:tcPr>
            <w:tcW w:w="1580" w:type="dxa"/>
            <w:vAlign w:val="bottom"/>
          </w:tcPr>
          <w:p>
            <w:pPr>
              <w:spacing w:after="0"/>
              <w:rPr>
                <w:sz w:val="19"/>
                <w:szCs w:val="19"/>
                <w:color w:val="auto"/>
              </w:rPr>
            </w:pPr>
          </w:p>
        </w:tc>
      </w:tr>
      <w:tr>
        <w:trPr>
          <w:trHeight w:val="250"/>
        </w:trPr>
        <w:tc>
          <w:tcPr>
            <w:tcW w:w="840" w:type="dxa"/>
            <w:vAlign w:val="bottom"/>
          </w:tcPr>
          <w:p>
            <w:pPr>
              <w:spacing w:after="0"/>
              <w:rPr>
                <w:sz w:val="21"/>
                <w:szCs w:val="21"/>
                <w:color w:val="auto"/>
              </w:rPr>
            </w:pPr>
          </w:p>
        </w:tc>
        <w:tc>
          <w:tcPr>
            <w:tcW w:w="8800" w:type="dxa"/>
            <w:vAlign w:val="bottom"/>
          </w:tcPr>
          <w:p>
            <w:pPr>
              <w:jc w:val="center"/>
              <w:ind w:left="621"/>
              <w:spacing w:after="0"/>
              <w:rPr>
                <w:sz w:val="20"/>
                <w:szCs w:val="20"/>
                <w:color w:val="auto"/>
              </w:rPr>
            </w:pPr>
            <w:r>
              <w:rPr>
                <w:rFonts w:ascii="Arial" w:cs="Arial" w:eastAsia="Arial" w:hAnsi="Arial"/>
                <w:sz w:val="20"/>
                <w:szCs w:val="20"/>
                <w:color w:val="auto"/>
                <w:w w:val="91"/>
              </w:rPr>
              <w:t>(Unaudited)</w:t>
            </w:r>
          </w:p>
        </w:tc>
        <w:tc>
          <w:tcPr>
            <w:tcW w:w="1580" w:type="dxa"/>
            <w:vAlign w:val="bottom"/>
          </w:tcPr>
          <w:p>
            <w:pPr>
              <w:spacing w:after="0"/>
              <w:rPr>
                <w:sz w:val="21"/>
                <w:szCs w:val="21"/>
                <w:color w:val="auto"/>
              </w:rPr>
            </w:pPr>
          </w:p>
        </w:tc>
      </w:tr>
      <w:tr>
        <w:trPr>
          <w:trHeight w:val="473"/>
        </w:trPr>
        <w:tc>
          <w:tcPr>
            <w:tcW w:w="840" w:type="dxa"/>
            <w:vAlign w:val="bottom"/>
          </w:tcPr>
          <w:p>
            <w:pPr>
              <w:spacing w:after="0"/>
              <w:rPr>
                <w:sz w:val="24"/>
                <w:szCs w:val="24"/>
                <w:color w:val="auto"/>
              </w:rPr>
            </w:pPr>
          </w:p>
        </w:tc>
        <w:tc>
          <w:tcPr>
            <w:tcW w:w="8800" w:type="dxa"/>
            <w:vAlign w:val="bottom"/>
          </w:tcPr>
          <w:p>
            <w:pPr>
              <w:jc w:val="center"/>
              <w:ind w:left="621"/>
              <w:spacing w:after="0"/>
              <w:rPr>
                <w:sz w:val="20"/>
                <w:szCs w:val="20"/>
                <w:color w:val="auto"/>
              </w:rPr>
            </w:pPr>
            <w:r>
              <w:rPr>
                <w:rFonts w:ascii="Arial" w:cs="Arial" w:eastAsia="Arial" w:hAnsi="Arial"/>
                <w:sz w:val="20"/>
                <w:szCs w:val="20"/>
                <w:color w:val="auto"/>
                <w:w w:val="94"/>
              </w:rPr>
              <w:t>TABLE OF CONTENTS</w:t>
            </w:r>
          </w:p>
        </w:tc>
        <w:tc>
          <w:tcPr>
            <w:tcW w:w="1580" w:type="dxa"/>
            <w:vAlign w:val="bottom"/>
          </w:tcPr>
          <w:p>
            <w:pPr>
              <w:spacing w:after="0"/>
              <w:rPr>
                <w:sz w:val="24"/>
                <w:szCs w:val="24"/>
                <w:color w:val="auto"/>
              </w:rPr>
            </w:pPr>
          </w:p>
        </w:tc>
      </w:tr>
      <w:tr>
        <w:trPr>
          <w:trHeight w:val="408"/>
        </w:trPr>
        <w:tc>
          <w:tcPr>
            <w:tcW w:w="840" w:type="dxa"/>
            <w:vAlign w:val="bottom"/>
          </w:tcPr>
          <w:p>
            <w:pPr>
              <w:spacing w:after="0"/>
              <w:rPr>
                <w:sz w:val="24"/>
                <w:szCs w:val="24"/>
                <w:color w:val="auto"/>
              </w:rPr>
            </w:pPr>
          </w:p>
        </w:tc>
        <w:tc>
          <w:tcPr>
            <w:tcW w:w="8800" w:type="dxa"/>
            <w:vAlign w:val="bottom"/>
          </w:tcPr>
          <w:p>
            <w:pPr>
              <w:ind w:left="2860"/>
              <w:spacing w:after="0"/>
              <w:rPr>
                <w:rFonts w:ascii="Arial" w:cs="Arial" w:eastAsia="Arial" w:hAnsi="Arial"/>
                <w:sz w:val="20"/>
                <w:szCs w:val="20"/>
                <w:u w:val="single" w:color="auto"/>
                <w:color w:val="0000FF"/>
              </w:rPr>
            </w:pPr>
            <w:hyperlink w:anchor="page3">
              <w:r>
                <w:rPr>
                  <w:rFonts w:ascii="Arial" w:cs="Arial" w:eastAsia="Arial" w:hAnsi="Arial"/>
                  <w:sz w:val="20"/>
                  <w:szCs w:val="20"/>
                  <w:u w:val="single" w:color="auto"/>
                  <w:color w:val="0000FF"/>
                </w:rPr>
                <w:t>PART I — FINANCIAL INFORMATION</w:t>
              </w:r>
            </w:hyperlink>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8"/>
              </w:rPr>
              <w:t>Page No.</w:t>
            </w:r>
          </w:p>
        </w:tc>
      </w:tr>
      <w:tr>
        <w:trPr>
          <w:trHeight w:val="301"/>
        </w:trPr>
        <w:tc>
          <w:tcPr>
            <w:tcW w:w="840" w:type="dxa"/>
            <w:vAlign w:val="bottom"/>
          </w:tcPr>
          <w:p>
            <w:pPr>
              <w:spacing w:after="0"/>
              <w:rPr>
                <w:sz w:val="20"/>
                <w:szCs w:val="20"/>
                <w:color w:val="auto"/>
              </w:rPr>
            </w:pPr>
            <w:r>
              <w:rPr>
                <w:rFonts w:ascii="Arial" w:cs="Arial" w:eastAsia="Arial" w:hAnsi="Arial"/>
                <w:sz w:val="20"/>
                <w:szCs w:val="20"/>
                <w:color w:val="auto"/>
              </w:rPr>
              <w:t>Item 1.</w:t>
            </w:r>
          </w:p>
        </w:tc>
        <w:tc>
          <w:tcPr>
            <w:tcW w:w="8800" w:type="dxa"/>
            <w:vAlign w:val="bottom"/>
          </w:tcPr>
          <w:p>
            <w:pPr>
              <w:ind w:left="280"/>
              <w:spacing w:after="0"/>
              <w:rPr>
                <w:rFonts w:ascii="Arial" w:cs="Arial" w:eastAsia="Arial" w:hAnsi="Arial"/>
                <w:sz w:val="20"/>
                <w:szCs w:val="20"/>
                <w:u w:val="single" w:color="auto"/>
                <w:color w:val="0000FF"/>
              </w:rPr>
            </w:pPr>
            <w:hyperlink w:anchor="page4">
              <w:r>
                <w:rPr>
                  <w:rFonts w:ascii="Arial" w:cs="Arial" w:eastAsia="Arial" w:hAnsi="Arial"/>
                  <w:sz w:val="20"/>
                  <w:szCs w:val="20"/>
                  <w:u w:val="single" w:color="auto"/>
                  <w:color w:val="0000FF"/>
                </w:rPr>
                <w:t>Financial Statements (Unaudited)</w:t>
              </w:r>
            </w:hyperlink>
          </w:p>
        </w:tc>
        <w:tc>
          <w:tcPr>
            <w:tcW w:w="1580" w:type="dxa"/>
            <w:vAlign w:val="bottom"/>
          </w:tcPr>
          <w:p>
            <w:pPr>
              <w:jc w:val="center"/>
              <w:ind w:right="621"/>
              <w:spacing w:after="0"/>
              <w:rPr>
                <w:rFonts w:ascii="Arial" w:cs="Arial" w:eastAsia="Arial" w:hAnsi="Arial"/>
                <w:sz w:val="20"/>
                <w:szCs w:val="20"/>
                <w:u w:val="single" w:color="auto"/>
                <w:color w:val="0000FF"/>
              </w:rPr>
            </w:pPr>
            <w:hyperlink w:anchor="page4">
              <w:r>
                <w:rPr>
                  <w:rFonts w:ascii="Arial" w:cs="Arial" w:eastAsia="Arial" w:hAnsi="Arial"/>
                  <w:sz w:val="20"/>
                  <w:szCs w:val="20"/>
                  <w:u w:val="single" w:color="auto"/>
                  <w:color w:val="0000FF"/>
                </w:rPr>
                <w:t>3</w:t>
              </w:r>
            </w:hyperlink>
          </w:p>
        </w:tc>
      </w:tr>
      <w:tr>
        <w:trPr>
          <w:trHeight w:val="540"/>
        </w:trPr>
        <w:tc>
          <w:tcPr>
            <w:tcW w:w="840" w:type="dxa"/>
            <w:vAlign w:val="bottom"/>
          </w:tcPr>
          <w:p>
            <w:pPr>
              <w:spacing w:after="0"/>
              <w:rPr>
                <w:sz w:val="24"/>
                <w:szCs w:val="24"/>
                <w:color w:val="auto"/>
              </w:rPr>
            </w:pPr>
          </w:p>
        </w:tc>
        <w:tc>
          <w:tcPr>
            <w:tcW w:w="8800" w:type="dxa"/>
            <w:vAlign w:val="bottom"/>
          </w:tcPr>
          <w:p>
            <w:pPr>
              <w:ind w:left="400"/>
              <w:spacing w:after="0"/>
              <w:rPr>
                <w:rFonts w:ascii="Arial" w:cs="Arial" w:eastAsia="Arial" w:hAnsi="Arial"/>
                <w:sz w:val="20"/>
                <w:szCs w:val="20"/>
                <w:u w:val="single" w:color="auto"/>
                <w:color w:val="0000FF"/>
              </w:rPr>
            </w:pPr>
            <w:hyperlink w:anchor="page4">
              <w:r>
                <w:rPr>
                  <w:rFonts w:ascii="Arial" w:cs="Arial" w:eastAsia="Arial" w:hAnsi="Arial"/>
                  <w:sz w:val="20"/>
                  <w:szCs w:val="20"/>
                  <w:u w:val="single" w:color="auto"/>
                  <w:color w:val="0000FF"/>
                </w:rPr>
                <w:t>Consolidated Financial Statements:</w:t>
              </w:r>
            </w:hyperlink>
          </w:p>
        </w:tc>
        <w:tc>
          <w:tcPr>
            <w:tcW w:w="158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0"/>
        <w:spacing w:after="0"/>
        <w:rPr>
          <w:sz w:val="20"/>
          <w:szCs w:val="20"/>
          <w:color w:val="auto"/>
        </w:rPr>
      </w:pPr>
      <w:r>
        <w:rPr>
          <w:rFonts w:ascii="Arial" w:cs="Arial" w:eastAsia="Arial" w:hAnsi="Arial"/>
          <w:sz w:val="20"/>
          <w:szCs w:val="20"/>
          <w:color w:val="auto"/>
        </w:rPr>
        <w:t>Item 2.</w:t>
      </w:r>
    </w:p>
    <w:p>
      <w:pPr>
        <w:spacing w:after="0" w:line="324" w:lineRule="exact"/>
        <w:rPr>
          <w:sz w:val="20"/>
          <w:szCs w:val="20"/>
          <w:color w:val="auto"/>
        </w:rPr>
      </w:pPr>
    </w:p>
    <w:p>
      <w:pPr>
        <w:ind w:left="20"/>
        <w:spacing w:after="0"/>
        <w:rPr>
          <w:sz w:val="20"/>
          <w:szCs w:val="20"/>
          <w:color w:val="auto"/>
        </w:rPr>
      </w:pPr>
      <w:r>
        <w:rPr>
          <w:rFonts w:ascii="Arial" w:cs="Arial" w:eastAsia="Arial" w:hAnsi="Arial"/>
          <w:sz w:val="20"/>
          <w:szCs w:val="20"/>
          <w:color w:val="auto"/>
        </w:rPr>
        <w:t>Item 3.</w:t>
      </w:r>
    </w:p>
    <w:p>
      <w:pPr>
        <w:spacing w:after="0" w:line="324" w:lineRule="exact"/>
        <w:rPr>
          <w:sz w:val="20"/>
          <w:szCs w:val="20"/>
          <w:color w:val="auto"/>
        </w:rPr>
      </w:pPr>
    </w:p>
    <w:p>
      <w:pPr>
        <w:ind w:left="20"/>
        <w:spacing w:after="0"/>
        <w:rPr>
          <w:sz w:val="20"/>
          <w:szCs w:val="20"/>
          <w:color w:val="auto"/>
        </w:rPr>
      </w:pPr>
      <w:r>
        <w:rPr>
          <w:rFonts w:ascii="Arial" w:cs="Arial" w:eastAsia="Arial" w:hAnsi="Arial"/>
          <w:sz w:val="20"/>
          <w:szCs w:val="20"/>
          <w:color w:val="auto"/>
        </w:rPr>
        <w:t>Item 4.</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
        <w:spacing w:after="0"/>
        <w:rPr>
          <w:sz w:val="20"/>
          <w:szCs w:val="20"/>
          <w:color w:val="auto"/>
        </w:rPr>
      </w:pPr>
      <w:r>
        <w:rPr>
          <w:rFonts w:ascii="Arial" w:cs="Arial" w:eastAsia="Arial" w:hAnsi="Arial"/>
          <w:sz w:val="20"/>
          <w:szCs w:val="20"/>
          <w:color w:val="auto"/>
        </w:rPr>
        <w:t>Item 1.</w:t>
      </w:r>
    </w:p>
    <w:p>
      <w:pPr>
        <w:spacing w:after="0" w:line="3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Item 1A.</w:t>
      </w:r>
    </w:p>
    <w:p>
      <w:pPr>
        <w:spacing w:after="0" w:line="347" w:lineRule="exact"/>
        <w:rPr>
          <w:sz w:val="20"/>
          <w:szCs w:val="20"/>
          <w:color w:val="auto"/>
        </w:rPr>
      </w:pPr>
    </w:p>
    <w:p>
      <w:pPr>
        <w:ind w:left="20"/>
        <w:spacing w:after="0"/>
        <w:rPr>
          <w:sz w:val="20"/>
          <w:szCs w:val="20"/>
          <w:color w:val="auto"/>
        </w:rPr>
      </w:pPr>
      <w:r>
        <w:rPr>
          <w:rFonts w:ascii="Arial" w:cs="Arial" w:eastAsia="Arial" w:hAnsi="Arial"/>
          <w:sz w:val="20"/>
          <w:szCs w:val="20"/>
          <w:color w:val="auto"/>
        </w:rPr>
        <w:t>Item 2.</w:t>
      </w:r>
    </w:p>
    <w:p>
      <w:pPr>
        <w:spacing w:after="0" w:line="324" w:lineRule="exact"/>
        <w:rPr>
          <w:sz w:val="20"/>
          <w:szCs w:val="20"/>
          <w:color w:val="auto"/>
        </w:rPr>
      </w:pPr>
    </w:p>
    <w:p>
      <w:pPr>
        <w:ind w:left="20"/>
        <w:spacing w:after="0"/>
        <w:rPr>
          <w:sz w:val="20"/>
          <w:szCs w:val="20"/>
          <w:color w:val="auto"/>
        </w:rPr>
      </w:pPr>
      <w:r>
        <w:rPr>
          <w:rFonts w:ascii="Arial" w:cs="Arial" w:eastAsia="Arial" w:hAnsi="Arial"/>
          <w:sz w:val="20"/>
          <w:szCs w:val="20"/>
          <w:color w:val="auto"/>
        </w:rPr>
        <w:t>Item 6.</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8160" w:type="dxa"/>
            <w:vAlign w:val="bottom"/>
          </w:tcPr>
          <w:p>
            <w:pPr>
              <w:ind w:left="340"/>
              <w:spacing w:after="0"/>
              <w:rPr>
                <w:rFonts w:ascii="Arial" w:cs="Arial" w:eastAsia="Arial" w:hAnsi="Arial"/>
                <w:sz w:val="20"/>
                <w:szCs w:val="20"/>
                <w:u w:val="single" w:color="auto"/>
                <w:color w:val="0000FF"/>
              </w:rPr>
            </w:pPr>
            <w:hyperlink w:anchor="page4">
              <w:r>
                <w:rPr>
                  <w:rFonts w:ascii="Arial" w:cs="Arial" w:eastAsia="Arial" w:hAnsi="Arial"/>
                  <w:sz w:val="20"/>
                  <w:szCs w:val="20"/>
                  <w:u w:val="single" w:color="auto"/>
                  <w:color w:val="0000FF"/>
                </w:rPr>
                <w:t>Consolidated Balance Sheets — June 28, 2020 and December 29, 2019</w:t>
              </w:r>
            </w:hyperlink>
          </w:p>
        </w:tc>
        <w:tc>
          <w:tcPr>
            <w:tcW w:w="1240" w:type="dxa"/>
            <w:vAlign w:val="bottom"/>
          </w:tcPr>
          <w:p>
            <w:pPr>
              <w:jc w:val="center"/>
              <w:ind w:left="961"/>
              <w:spacing w:after="0"/>
              <w:rPr>
                <w:rFonts w:ascii="Arial" w:cs="Arial" w:eastAsia="Arial" w:hAnsi="Arial"/>
                <w:sz w:val="20"/>
                <w:szCs w:val="20"/>
                <w:u w:val="single" w:color="auto"/>
                <w:color w:val="0000FF"/>
                <w:w w:val="89"/>
              </w:rPr>
            </w:pPr>
            <w:hyperlink w:anchor="page4">
              <w:r>
                <w:rPr>
                  <w:rFonts w:ascii="Arial" w:cs="Arial" w:eastAsia="Arial" w:hAnsi="Arial"/>
                  <w:sz w:val="20"/>
                  <w:szCs w:val="20"/>
                  <w:u w:val="single" w:color="auto"/>
                  <w:color w:val="0000FF"/>
                  <w:w w:val="89"/>
                </w:rPr>
                <w:t>3</w:t>
              </w:r>
            </w:hyperlink>
          </w:p>
        </w:tc>
      </w:tr>
      <w:tr>
        <w:trPr>
          <w:trHeight w:val="455"/>
        </w:trPr>
        <w:tc>
          <w:tcPr>
            <w:tcW w:w="8160" w:type="dxa"/>
            <w:vAlign w:val="bottom"/>
          </w:tcPr>
          <w:p>
            <w:pPr>
              <w:ind w:left="340"/>
              <w:spacing w:after="0"/>
              <w:rPr>
                <w:rFonts w:ascii="Arial" w:cs="Arial" w:eastAsia="Arial" w:hAnsi="Arial"/>
                <w:sz w:val="20"/>
                <w:szCs w:val="20"/>
                <w:u w:val="single" w:color="auto"/>
                <w:color w:val="0000FF"/>
              </w:rPr>
            </w:pPr>
            <w:hyperlink w:anchor="page4">
              <w:r>
                <w:rPr>
                  <w:rFonts w:ascii="Arial" w:cs="Arial" w:eastAsia="Arial" w:hAnsi="Arial"/>
                  <w:sz w:val="20"/>
                  <w:szCs w:val="20"/>
                  <w:u w:val="single" w:color="auto"/>
                  <w:color w:val="0000FF"/>
                </w:rPr>
                <w:t>Consolidated Statements of Operations and Comprehensive (Loss) Income —</w:t>
              </w:r>
            </w:hyperlink>
          </w:p>
        </w:tc>
        <w:tc>
          <w:tcPr>
            <w:tcW w:w="1240" w:type="dxa"/>
            <w:vAlign w:val="bottom"/>
          </w:tcPr>
          <w:p>
            <w:pPr>
              <w:jc w:val="center"/>
              <w:ind w:left="961"/>
              <w:spacing w:after="0"/>
              <w:rPr>
                <w:rFonts w:ascii="Arial" w:cs="Arial" w:eastAsia="Arial" w:hAnsi="Arial"/>
                <w:sz w:val="20"/>
                <w:szCs w:val="20"/>
                <w:u w:val="single" w:color="auto"/>
                <w:color w:val="0000FF"/>
                <w:w w:val="89"/>
              </w:rPr>
            </w:pPr>
            <w:hyperlink w:anchor="page4">
              <w:r>
                <w:rPr>
                  <w:rFonts w:ascii="Arial" w:cs="Arial" w:eastAsia="Arial" w:hAnsi="Arial"/>
                  <w:sz w:val="20"/>
                  <w:szCs w:val="20"/>
                  <w:u w:val="single" w:color="auto"/>
                  <w:color w:val="0000FF"/>
                  <w:w w:val="89"/>
                </w:rPr>
                <w:t>4</w:t>
              </w:r>
            </w:hyperlink>
          </w:p>
        </w:tc>
      </w:tr>
      <w:tr>
        <w:trPr>
          <w:trHeight w:val="250"/>
        </w:trPr>
        <w:tc>
          <w:tcPr>
            <w:tcW w:w="8160" w:type="dxa"/>
            <w:vAlign w:val="bottom"/>
          </w:tcPr>
          <w:p>
            <w:pPr>
              <w:ind w:left="340"/>
              <w:spacing w:after="0"/>
              <w:rPr>
                <w:rFonts w:ascii="Arial" w:cs="Arial" w:eastAsia="Arial" w:hAnsi="Arial"/>
                <w:sz w:val="20"/>
                <w:szCs w:val="20"/>
                <w:u w:val="single" w:color="auto"/>
                <w:color w:val="0000FF"/>
              </w:rPr>
            </w:pPr>
            <w:hyperlink w:anchor="page4">
              <w:r>
                <w:rPr>
                  <w:rFonts w:ascii="Arial" w:cs="Arial" w:eastAsia="Arial" w:hAnsi="Arial"/>
                  <w:sz w:val="20"/>
                  <w:szCs w:val="20"/>
                  <w:u w:val="single" w:color="auto"/>
                  <w:color w:val="0000FF"/>
                </w:rPr>
                <w:t>For the Thirteen and Twenty-Six Weeks Ended June 28, 2020 and June 30, 2019</w:t>
              </w:r>
            </w:hyperlink>
          </w:p>
        </w:tc>
        <w:tc>
          <w:tcPr>
            <w:tcW w:w="1240" w:type="dxa"/>
            <w:vAlign w:val="bottom"/>
          </w:tcPr>
          <w:p>
            <w:pPr>
              <w:spacing w:after="0"/>
              <w:rPr>
                <w:sz w:val="21"/>
                <w:szCs w:val="21"/>
                <w:color w:val="auto"/>
              </w:rPr>
            </w:pPr>
          </w:p>
        </w:tc>
      </w:tr>
      <w:tr>
        <w:trPr>
          <w:trHeight w:val="465"/>
        </w:trPr>
        <w:tc>
          <w:tcPr>
            <w:tcW w:w="8160" w:type="dxa"/>
            <w:vAlign w:val="bottom"/>
          </w:tcPr>
          <w:p>
            <w:pPr>
              <w:ind w:left="340"/>
              <w:spacing w:after="0"/>
              <w:rPr>
                <w:rFonts w:ascii="Arial" w:cs="Arial" w:eastAsia="Arial" w:hAnsi="Arial"/>
                <w:sz w:val="20"/>
                <w:szCs w:val="20"/>
                <w:u w:val="single" w:color="auto"/>
                <w:color w:val="0000FF"/>
              </w:rPr>
            </w:pPr>
            <w:hyperlink w:anchor="page5">
              <w:r>
                <w:rPr>
                  <w:rFonts w:ascii="Arial" w:cs="Arial" w:eastAsia="Arial" w:hAnsi="Arial"/>
                  <w:sz w:val="20"/>
                  <w:szCs w:val="20"/>
                  <w:u w:val="single" w:color="auto"/>
                  <w:color w:val="0000FF"/>
                </w:rPr>
                <w:t>Consolidated Statements of Changes in Stockholders’ Equity —</w:t>
              </w:r>
            </w:hyperlink>
          </w:p>
        </w:tc>
        <w:tc>
          <w:tcPr>
            <w:tcW w:w="1240" w:type="dxa"/>
            <w:vAlign w:val="bottom"/>
          </w:tcPr>
          <w:p>
            <w:pPr>
              <w:jc w:val="center"/>
              <w:ind w:left="961"/>
              <w:spacing w:after="0"/>
              <w:rPr>
                <w:rFonts w:ascii="Arial" w:cs="Arial" w:eastAsia="Arial" w:hAnsi="Arial"/>
                <w:sz w:val="20"/>
                <w:szCs w:val="20"/>
                <w:u w:val="single" w:color="auto"/>
                <w:color w:val="0000FF"/>
                <w:w w:val="89"/>
              </w:rPr>
            </w:pPr>
            <w:hyperlink w:anchor="page5">
              <w:r>
                <w:rPr>
                  <w:rFonts w:ascii="Arial" w:cs="Arial" w:eastAsia="Arial" w:hAnsi="Arial"/>
                  <w:sz w:val="20"/>
                  <w:szCs w:val="20"/>
                  <w:u w:val="single" w:color="auto"/>
                  <w:color w:val="0000FF"/>
                  <w:w w:val="89"/>
                </w:rPr>
                <w:t>5</w:t>
              </w:r>
            </w:hyperlink>
          </w:p>
        </w:tc>
      </w:tr>
      <w:tr>
        <w:trPr>
          <w:trHeight w:val="250"/>
        </w:trPr>
        <w:tc>
          <w:tcPr>
            <w:tcW w:w="8160" w:type="dxa"/>
            <w:vAlign w:val="bottom"/>
          </w:tcPr>
          <w:p>
            <w:pPr>
              <w:ind w:left="340"/>
              <w:spacing w:after="0"/>
              <w:rPr>
                <w:rFonts w:ascii="Arial" w:cs="Arial" w:eastAsia="Arial" w:hAnsi="Arial"/>
                <w:sz w:val="20"/>
                <w:szCs w:val="20"/>
                <w:u w:val="single" w:color="auto"/>
                <w:color w:val="0000FF"/>
              </w:rPr>
            </w:pPr>
            <w:hyperlink w:anchor="page5">
              <w:r>
                <w:rPr>
                  <w:rFonts w:ascii="Arial" w:cs="Arial" w:eastAsia="Arial" w:hAnsi="Arial"/>
                  <w:sz w:val="20"/>
                  <w:szCs w:val="20"/>
                  <w:u w:val="single" w:color="auto"/>
                  <w:color w:val="0000FF"/>
                </w:rPr>
                <w:t>For the Thirteen and Twenty-Six Weeks Ended June 28, 2020 and June 30, 2019</w:t>
              </w:r>
            </w:hyperlink>
          </w:p>
        </w:tc>
        <w:tc>
          <w:tcPr>
            <w:tcW w:w="1240" w:type="dxa"/>
            <w:vAlign w:val="bottom"/>
          </w:tcPr>
          <w:p>
            <w:pPr>
              <w:spacing w:after="0"/>
              <w:rPr>
                <w:sz w:val="21"/>
                <w:szCs w:val="21"/>
                <w:color w:val="auto"/>
              </w:rPr>
            </w:pPr>
          </w:p>
        </w:tc>
      </w:tr>
      <w:tr>
        <w:trPr>
          <w:trHeight w:val="452"/>
        </w:trPr>
        <w:tc>
          <w:tcPr>
            <w:tcW w:w="8160" w:type="dxa"/>
            <w:vAlign w:val="bottom"/>
          </w:tcPr>
          <w:p>
            <w:pPr>
              <w:ind w:left="340"/>
              <w:spacing w:after="0"/>
              <w:rPr>
                <w:rFonts w:ascii="Arial" w:cs="Arial" w:eastAsia="Arial" w:hAnsi="Arial"/>
                <w:sz w:val="20"/>
                <w:szCs w:val="20"/>
                <w:u w:val="single" w:color="auto"/>
                <w:color w:val="0000FF"/>
              </w:rPr>
            </w:pPr>
            <w:hyperlink w:anchor="page7">
              <w:r>
                <w:rPr>
                  <w:rFonts w:ascii="Arial" w:cs="Arial" w:eastAsia="Arial" w:hAnsi="Arial"/>
                  <w:sz w:val="20"/>
                  <w:szCs w:val="20"/>
                  <w:u w:val="single" w:color="auto"/>
                  <w:color w:val="0000FF"/>
                </w:rPr>
                <w:t>Condensed Consolidated Statements of Cash Flows —</w:t>
              </w:r>
            </w:hyperlink>
          </w:p>
        </w:tc>
        <w:tc>
          <w:tcPr>
            <w:tcW w:w="1240" w:type="dxa"/>
            <w:vAlign w:val="bottom"/>
          </w:tcPr>
          <w:p>
            <w:pPr>
              <w:jc w:val="center"/>
              <w:ind w:left="961"/>
              <w:spacing w:after="0"/>
              <w:rPr>
                <w:rFonts w:ascii="Arial" w:cs="Arial" w:eastAsia="Arial" w:hAnsi="Arial"/>
                <w:sz w:val="20"/>
                <w:szCs w:val="20"/>
                <w:u w:val="single" w:color="auto"/>
                <w:color w:val="0000FF"/>
                <w:w w:val="89"/>
              </w:rPr>
            </w:pPr>
            <w:hyperlink w:anchor="page7">
              <w:r>
                <w:rPr>
                  <w:rFonts w:ascii="Arial" w:cs="Arial" w:eastAsia="Arial" w:hAnsi="Arial"/>
                  <w:sz w:val="20"/>
                  <w:szCs w:val="20"/>
                  <w:u w:val="single" w:color="auto"/>
                  <w:color w:val="0000FF"/>
                  <w:w w:val="89"/>
                </w:rPr>
                <w:t>7</w:t>
              </w:r>
            </w:hyperlink>
          </w:p>
        </w:tc>
      </w:tr>
      <w:tr>
        <w:trPr>
          <w:trHeight w:val="250"/>
        </w:trPr>
        <w:tc>
          <w:tcPr>
            <w:tcW w:w="8160" w:type="dxa"/>
            <w:vAlign w:val="bottom"/>
          </w:tcPr>
          <w:p>
            <w:pPr>
              <w:ind w:left="340"/>
              <w:spacing w:after="0"/>
              <w:rPr>
                <w:rFonts w:ascii="Arial" w:cs="Arial" w:eastAsia="Arial" w:hAnsi="Arial"/>
                <w:sz w:val="20"/>
                <w:szCs w:val="20"/>
                <w:u w:val="single" w:color="auto"/>
                <w:color w:val="0000FF"/>
              </w:rPr>
            </w:pPr>
            <w:hyperlink w:anchor="page7">
              <w:r>
                <w:rPr>
                  <w:rFonts w:ascii="Arial" w:cs="Arial" w:eastAsia="Arial" w:hAnsi="Arial"/>
                  <w:sz w:val="20"/>
                  <w:szCs w:val="20"/>
                  <w:u w:val="single" w:color="auto"/>
                  <w:color w:val="0000FF"/>
                </w:rPr>
                <w:t>For the Twenty-Six Weeks Ended June 28, 2020 and June 30, 2019</w:t>
              </w:r>
            </w:hyperlink>
          </w:p>
        </w:tc>
        <w:tc>
          <w:tcPr>
            <w:tcW w:w="1240" w:type="dxa"/>
            <w:vAlign w:val="bottom"/>
          </w:tcPr>
          <w:p>
            <w:pPr>
              <w:spacing w:after="0"/>
              <w:rPr>
                <w:sz w:val="21"/>
                <w:szCs w:val="21"/>
                <w:color w:val="auto"/>
              </w:rPr>
            </w:pPr>
          </w:p>
        </w:tc>
      </w:tr>
      <w:tr>
        <w:trPr>
          <w:trHeight w:val="523"/>
        </w:trPr>
        <w:tc>
          <w:tcPr>
            <w:tcW w:w="8160" w:type="dxa"/>
            <w:vAlign w:val="bottom"/>
          </w:tcPr>
          <w:p>
            <w:pPr>
              <w:ind w:left="340"/>
              <w:spacing w:after="0"/>
              <w:rPr>
                <w:rFonts w:ascii="Arial" w:cs="Arial" w:eastAsia="Arial" w:hAnsi="Arial"/>
                <w:sz w:val="20"/>
                <w:szCs w:val="20"/>
                <w:u w:val="single" w:color="auto"/>
                <w:color w:val="0000FF"/>
              </w:rPr>
            </w:pPr>
            <w:hyperlink w:anchor="page9">
              <w:r>
                <w:rPr>
                  <w:rFonts w:ascii="Arial" w:cs="Arial" w:eastAsia="Arial" w:hAnsi="Arial"/>
                  <w:sz w:val="20"/>
                  <w:szCs w:val="20"/>
                  <w:u w:val="single" w:color="auto"/>
                  <w:color w:val="0000FF"/>
                </w:rPr>
                <w:t>Notes to Consolidated Financial Statements</w:t>
              </w:r>
            </w:hyperlink>
          </w:p>
        </w:tc>
        <w:tc>
          <w:tcPr>
            <w:tcW w:w="1240" w:type="dxa"/>
            <w:vAlign w:val="bottom"/>
          </w:tcPr>
          <w:p>
            <w:pPr>
              <w:jc w:val="center"/>
              <w:ind w:left="961"/>
              <w:spacing w:after="0"/>
              <w:rPr>
                <w:rFonts w:ascii="Arial" w:cs="Arial" w:eastAsia="Arial" w:hAnsi="Arial"/>
                <w:sz w:val="20"/>
                <w:szCs w:val="20"/>
                <w:u w:val="single" w:color="auto"/>
                <w:color w:val="0000FF"/>
                <w:w w:val="89"/>
              </w:rPr>
            </w:pPr>
            <w:hyperlink w:anchor="page9">
              <w:r>
                <w:rPr>
                  <w:rFonts w:ascii="Arial" w:cs="Arial" w:eastAsia="Arial" w:hAnsi="Arial"/>
                  <w:sz w:val="20"/>
                  <w:szCs w:val="20"/>
                  <w:u w:val="single" w:color="auto"/>
                  <w:color w:val="0000FF"/>
                  <w:w w:val="89"/>
                </w:rPr>
                <w:t>9</w:t>
              </w:r>
            </w:hyperlink>
          </w:p>
        </w:tc>
      </w:tr>
      <w:tr>
        <w:trPr>
          <w:trHeight w:val="554"/>
        </w:trPr>
        <w:tc>
          <w:tcPr>
            <w:tcW w:w="8160" w:type="dxa"/>
            <w:vAlign w:val="bottom"/>
          </w:tcPr>
          <w:p>
            <w:pPr>
              <w:spacing w:after="0"/>
              <w:rPr>
                <w:rFonts w:ascii="Arial" w:cs="Arial" w:eastAsia="Arial" w:hAnsi="Arial"/>
                <w:sz w:val="20"/>
                <w:szCs w:val="20"/>
                <w:u w:val="single" w:color="auto"/>
                <w:color w:val="0000FF"/>
              </w:rPr>
            </w:pPr>
            <w:hyperlink w:anchor="page32">
              <w:r>
                <w:rPr>
                  <w:rFonts w:ascii="Arial" w:cs="Arial" w:eastAsia="Arial" w:hAnsi="Arial"/>
                  <w:sz w:val="20"/>
                  <w:szCs w:val="20"/>
                  <w:u w:val="single" w:color="auto"/>
                  <w:color w:val="0000FF"/>
                </w:rPr>
                <w:t>Management’s Discussion and Analysis of Financial Condition and Results of Operations</w:t>
              </w:r>
            </w:hyperlink>
          </w:p>
        </w:tc>
        <w:tc>
          <w:tcPr>
            <w:tcW w:w="1240" w:type="dxa"/>
            <w:vAlign w:val="bottom"/>
          </w:tcPr>
          <w:p>
            <w:pPr>
              <w:jc w:val="center"/>
              <w:ind w:left="961"/>
              <w:spacing w:after="0"/>
              <w:rPr>
                <w:rFonts w:ascii="Arial" w:cs="Arial" w:eastAsia="Arial" w:hAnsi="Arial"/>
                <w:sz w:val="20"/>
                <w:szCs w:val="20"/>
                <w:u w:val="single" w:color="auto"/>
                <w:color w:val="0000FF"/>
                <w:w w:val="80"/>
              </w:rPr>
            </w:pPr>
            <w:hyperlink w:anchor="page32">
              <w:r>
                <w:rPr>
                  <w:rFonts w:ascii="Arial" w:cs="Arial" w:eastAsia="Arial" w:hAnsi="Arial"/>
                  <w:sz w:val="20"/>
                  <w:szCs w:val="20"/>
                  <w:u w:val="single" w:color="auto"/>
                  <w:color w:val="0000FF"/>
                  <w:w w:val="80"/>
                </w:rPr>
                <w:t>32</w:t>
              </w:r>
            </w:hyperlink>
          </w:p>
        </w:tc>
      </w:tr>
      <w:tr>
        <w:trPr>
          <w:trHeight w:val="553"/>
        </w:trPr>
        <w:tc>
          <w:tcPr>
            <w:tcW w:w="8160" w:type="dxa"/>
            <w:vAlign w:val="bottom"/>
          </w:tcPr>
          <w:p>
            <w:pPr>
              <w:spacing w:after="0"/>
              <w:rPr>
                <w:rFonts w:ascii="Arial" w:cs="Arial" w:eastAsia="Arial" w:hAnsi="Arial"/>
                <w:sz w:val="20"/>
                <w:szCs w:val="20"/>
                <w:u w:val="single" w:color="auto"/>
                <w:color w:val="0000FF"/>
              </w:rPr>
            </w:pPr>
            <w:hyperlink w:anchor="page55">
              <w:r>
                <w:rPr>
                  <w:rFonts w:ascii="Arial" w:cs="Arial" w:eastAsia="Arial" w:hAnsi="Arial"/>
                  <w:sz w:val="20"/>
                  <w:szCs w:val="20"/>
                  <w:u w:val="single" w:color="auto"/>
                  <w:color w:val="0000FF"/>
                </w:rPr>
                <w:t>Quantitative and Qualitative Disclosures About Market Risk</w:t>
              </w:r>
            </w:hyperlink>
          </w:p>
        </w:tc>
        <w:tc>
          <w:tcPr>
            <w:tcW w:w="1240" w:type="dxa"/>
            <w:vAlign w:val="bottom"/>
          </w:tcPr>
          <w:p>
            <w:pPr>
              <w:jc w:val="center"/>
              <w:ind w:left="961"/>
              <w:spacing w:after="0"/>
              <w:rPr>
                <w:rFonts w:ascii="Arial" w:cs="Arial" w:eastAsia="Arial" w:hAnsi="Arial"/>
                <w:sz w:val="20"/>
                <w:szCs w:val="20"/>
                <w:u w:val="single" w:color="auto"/>
                <w:color w:val="0000FF"/>
                <w:w w:val="80"/>
              </w:rPr>
            </w:pPr>
            <w:hyperlink w:anchor="page55">
              <w:r>
                <w:rPr>
                  <w:rFonts w:ascii="Arial" w:cs="Arial" w:eastAsia="Arial" w:hAnsi="Arial"/>
                  <w:sz w:val="20"/>
                  <w:szCs w:val="20"/>
                  <w:u w:val="single" w:color="auto"/>
                  <w:color w:val="0000FF"/>
                  <w:w w:val="80"/>
                </w:rPr>
                <w:t>55</w:t>
              </w:r>
            </w:hyperlink>
          </w:p>
        </w:tc>
      </w:tr>
      <w:tr>
        <w:trPr>
          <w:trHeight w:val="553"/>
        </w:trPr>
        <w:tc>
          <w:tcPr>
            <w:tcW w:w="8160" w:type="dxa"/>
            <w:vAlign w:val="bottom"/>
          </w:tcPr>
          <w:p>
            <w:pPr>
              <w:spacing w:after="0"/>
              <w:rPr>
                <w:rFonts w:ascii="Arial" w:cs="Arial" w:eastAsia="Arial" w:hAnsi="Arial"/>
                <w:sz w:val="20"/>
                <w:szCs w:val="20"/>
                <w:u w:val="single" w:color="auto"/>
                <w:color w:val="0000FF"/>
              </w:rPr>
            </w:pPr>
            <w:hyperlink w:anchor="page56">
              <w:r>
                <w:rPr>
                  <w:rFonts w:ascii="Arial" w:cs="Arial" w:eastAsia="Arial" w:hAnsi="Arial"/>
                  <w:sz w:val="20"/>
                  <w:szCs w:val="20"/>
                  <w:u w:val="single" w:color="auto"/>
                  <w:color w:val="0000FF"/>
                </w:rPr>
                <w:t>Controls and Procedures</w:t>
              </w:r>
            </w:hyperlink>
          </w:p>
        </w:tc>
        <w:tc>
          <w:tcPr>
            <w:tcW w:w="1240" w:type="dxa"/>
            <w:vAlign w:val="bottom"/>
          </w:tcPr>
          <w:p>
            <w:pPr>
              <w:jc w:val="center"/>
              <w:ind w:left="961"/>
              <w:spacing w:after="0"/>
              <w:rPr>
                <w:rFonts w:ascii="Arial" w:cs="Arial" w:eastAsia="Arial" w:hAnsi="Arial"/>
                <w:sz w:val="20"/>
                <w:szCs w:val="20"/>
                <w:u w:val="single" w:color="auto"/>
                <w:color w:val="0000FF"/>
                <w:w w:val="80"/>
              </w:rPr>
            </w:pPr>
            <w:hyperlink w:anchor="page56">
              <w:r>
                <w:rPr>
                  <w:rFonts w:ascii="Arial" w:cs="Arial" w:eastAsia="Arial" w:hAnsi="Arial"/>
                  <w:sz w:val="20"/>
                  <w:szCs w:val="20"/>
                  <w:u w:val="single" w:color="auto"/>
                  <w:color w:val="0000FF"/>
                  <w:w w:val="80"/>
                </w:rPr>
                <w:t>55</w:t>
              </w:r>
            </w:hyperlink>
          </w:p>
        </w:tc>
      </w:tr>
      <w:tr>
        <w:trPr>
          <w:trHeight w:val="567"/>
        </w:trPr>
        <w:tc>
          <w:tcPr>
            <w:tcW w:w="8160" w:type="dxa"/>
            <w:vAlign w:val="bottom"/>
          </w:tcPr>
          <w:p>
            <w:pPr>
              <w:ind w:left="2740"/>
              <w:spacing w:after="0"/>
              <w:rPr>
                <w:rFonts w:ascii="Arial" w:cs="Arial" w:eastAsia="Arial" w:hAnsi="Arial"/>
                <w:sz w:val="20"/>
                <w:szCs w:val="20"/>
                <w:u w:val="single" w:color="auto"/>
                <w:color w:val="0000FF"/>
              </w:rPr>
            </w:pPr>
            <w:hyperlink w:anchor="page56">
              <w:r>
                <w:rPr>
                  <w:rFonts w:ascii="Arial" w:cs="Arial" w:eastAsia="Arial" w:hAnsi="Arial"/>
                  <w:sz w:val="20"/>
                  <w:szCs w:val="20"/>
                  <w:u w:val="single" w:color="auto"/>
                  <w:color w:val="0000FF"/>
                </w:rPr>
                <w:t>PART II — OTHER INFORMATION</w:t>
              </w:r>
            </w:hyperlink>
          </w:p>
        </w:tc>
        <w:tc>
          <w:tcPr>
            <w:tcW w:w="1240" w:type="dxa"/>
            <w:vAlign w:val="bottom"/>
          </w:tcPr>
          <w:p>
            <w:pPr>
              <w:spacing w:after="0"/>
              <w:rPr>
                <w:sz w:val="24"/>
                <w:szCs w:val="24"/>
                <w:color w:val="auto"/>
              </w:rPr>
            </w:pPr>
          </w:p>
        </w:tc>
      </w:tr>
      <w:tr>
        <w:trPr>
          <w:trHeight w:val="270"/>
        </w:trPr>
        <w:tc>
          <w:tcPr>
            <w:tcW w:w="8160" w:type="dxa"/>
            <w:vAlign w:val="bottom"/>
          </w:tcPr>
          <w:p>
            <w:pPr>
              <w:spacing w:after="0"/>
              <w:rPr>
                <w:rFonts w:ascii="Arial" w:cs="Arial" w:eastAsia="Arial" w:hAnsi="Arial"/>
                <w:sz w:val="20"/>
                <w:szCs w:val="20"/>
                <w:u w:val="single" w:color="auto"/>
                <w:color w:val="0000FF"/>
              </w:rPr>
            </w:pPr>
            <w:hyperlink w:anchor="page57">
              <w:r>
                <w:rPr>
                  <w:rFonts w:ascii="Arial" w:cs="Arial" w:eastAsia="Arial" w:hAnsi="Arial"/>
                  <w:sz w:val="20"/>
                  <w:szCs w:val="20"/>
                  <w:u w:val="single" w:color="auto"/>
                  <w:color w:val="0000FF"/>
                </w:rPr>
                <w:t>Legal Proceedings</w:t>
              </w:r>
            </w:hyperlink>
          </w:p>
        </w:tc>
        <w:tc>
          <w:tcPr>
            <w:tcW w:w="1240" w:type="dxa"/>
            <w:vAlign w:val="bottom"/>
          </w:tcPr>
          <w:p>
            <w:pPr>
              <w:jc w:val="center"/>
              <w:ind w:left="961"/>
              <w:spacing w:after="0"/>
              <w:rPr>
                <w:rFonts w:ascii="Arial" w:cs="Arial" w:eastAsia="Arial" w:hAnsi="Arial"/>
                <w:sz w:val="20"/>
                <w:szCs w:val="20"/>
                <w:u w:val="single" w:color="auto"/>
                <w:color w:val="0000FF"/>
                <w:w w:val="80"/>
              </w:rPr>
            </w:pPr>
            <w:hyperlink w:anchor="page57">
              <w:r>
                <w:rPr>
                  <w:rFonts w:ascii="Arial" w:cs="Arial" w:eastAsia="Arial" w:hAnsi="Arial"/>
                  <w:sz w:val="20"/>
                  <w:szCs w:val="20"/>
                  <w:u w:val="single" w:color="auto"/>
                  <w:color w:val="0000FF"/>
                  <w:w w:val="80"/>
                </w:rPr>
                <w:t>56</w:t>
              </w:r>
            </w:hyperlink>
          </w:p>
        </w:tc>
      </w:tr>
      <w:tr>
        <w:trPr>
          <w:trHeight w:val="553"/>
        </w:trPr>
        <w:tc>
          <w:tcPr>
            <w:tcW w:w="8160" w:type="dxa"/>
            <w:vAlign w:val="bottom"/>
          </w:tcPr>
          <w:p>
            <w:pPr>
              <w:spacing w:after="0"/>
              <w:rPr>
                <w:rFonts w:ascii="Arial" w:cs="Arial" w:eastAsia="Arial" w:hAnsi="Arial"/>
                <w:sz w:val="20"/>
                <w:szCs w:val="20"/>
                <w:u w:val="single" w:color="auto"/>
                <w:color w:val="0000FF"/>
              </w:rPr>
            </w:pPr>
            <w:hyperlink w:anchor="page57">
              <w:r>
                <w:rPr>
                  <w:rFonts w:ascii="Arial" w:cs="Arial" w:eastAsia="Arial" w:hAnsi="Arial"/>
                  <w:sz w:val="20"/>
                  <w:szCs w:val="20"/>
                  <w:u w:val="single" w:color="auto"/>
                  <w:color w:val="0000FF"/>
                </w:rPr>
                <w:t>Risk Factors</w:t>
              </w:r>
            </w:hyperlink>
          </w:p>
        </w:tc>
        <w:tc>
          <w:tcPr>
            <w:tcW w:w="1240" w:type="dxa"/>
            <w:vAlign w:val="bottom"/>
          </w:tcPr>
          <w:p>
            <w:pPr>
              <w:jc w:val="center"/>
              <w:ind w:left="961"/>
              <w:spacing w:after="0"/>
              <w:rPr>
                <w:rFonts w:ascii="Arial" w:cs="Arial" w:eastAsia="Arial" w:hAnsi="Arial"/>
                <w:sz w:val="20"/>
                <w:szCs w:val="20"/>
                <w:u w:val="single" w:color="auto"/>
                <w:color w:val="0000FF"/>
                <w:w w:val="80"/>
              </w:rPr>
            </w:pPr>
            <w:hyperlink w:anchor="page57">
              <w:r>
                <w:rPr>
                  <w:rFonts w:ascii="Arial" w:cs="Arial" w:eastAsia="Arial" w:hAnsi="Arial"/>
                  <w:sz w:val="20"/>
                  <w:szCs w:val="20"/>
                  <w:u w:val="single" w:color="auto"/>
                  <w:color w:val="0000FF"/>
                  <w:w w:val="80"/>
                </w:rPr>
                <w:t>56</w:t>
              </w:r>
            </w:hyperlink>
          </w:p>
        </w:tc>
      </w:tr>
      <w:tr>
        <w:trPr>
          <w:trHeight w:val="553"/>
        </w:trPr>
        <w:tc>
          <w:tcPr>
            <w:tcW w:w="8160" w:type="dxa"/>
            <w:vAlign w:val="bottom"/>
          </w:tcPr>
          <w:p>
            <w:pPr>
              <w:spacing w:after="0"/>
              <w:rPr>
                <w:rFonts w:ascii="Arial" w:cs="Arial" w:eastAsia="Arial" w:hAnsi="Arial"/>
                <w:sz w:val="20"/>
                <w:szCs w:val="20"/>
                <w:u w:val="single" w:color="auto"/>
                <w:color w:val="0000FF"/>
              </w:rPr>
            </w:pPr>
            <w:hyperlink w:anchor="page59">
              <w:r>
                <w:rPr>
                  <w:rFonts w:ascii="Arial" w:cs="Arial" w:eastAsia="Arial" w:hAnsi="Arial"/>
                  <w:sz w:val="20"/>
                  <w:szCs w:val="20"/>
                  <w:u w:val="single" w:color="auto"/>
                  <w:color w:val="0000FF"/>
                </w:rPr>
                <w:t>Unregistered Sales of Equity Securities and Use of Proceeds</w:t>
              </w:r>
            </w:hyperlink>
          </w:p>
        </w:tc>
        <w:tc>
          <w:tcPr>
            <w:tcW w:w="1240" w:type="dxa"/>
            <w:vAlign w:val="bottom"/>
          </w:tcPr>
          <w:p>
            <w:pPr>
              <w:jc w:val="center"/>
              <w:ind w:left="961"/>
              <w:spacing w:after="0"/>
              <w:rPr>
                <w:rFonts w:ascii="Arial" w:cs="Arial" w:eastAsia="Arial" w:hAnsi="Arial"/>
                <w:sz w:val="20"/>
                <w:szCs w:val="20"/>
                <w:u w:val="single" w:color="auto"/>
                <w:color w:val="0000FF"/>
                <w:w w:val="80"/>
              </w:rPr>
            </w:pPr>
            <w:hyperlink w:anchor="page59">
              <w:r>
                <w:rPr>
                  <w:rFonts w:ascii="Arial" w:cs="Arial" w:eastAsia="Arial" w:hAnsi="Arial"/>
                  <w:sz w:val="20"/>
                  <w:szCs w:val="20"/>
                  <w:u w:val="single" w:color="auto"/>
                  <w:color w:val="0000FF"/>
                  <w:w w:val="80"/>
                </w:rPr>
                <w:t>59</w:t>
              </w:r>
            </w:hyperlink>
          </w:p>
        </w:tc>
      </w:tr>
      <w:tr>
        <w:trPr>
          <w:trHeight w:val="554"/>
        </w:trPr>
        <w:tc>
          <w:tcPr>
            <w:tcW w:w="8160" w:type="dxa"/>
            <w:vAlign w:val="bottom"/>
          </w:tcPr>
          <w:p>
            <w:pPr>
              <w:spacing w:after="0"/>
              <w:rPr>
                <w:rFonts w:ascii="Arial" w:cs="Arial" w:eastAsia="Arial" w:hAnsi="Arial"/>
                <w:sz w:val="20"/>
                <w:szCs w:val="20"/>
                <w:u w:val="single" w:color="auto"/>
                <w:color w:val="0000FF"/>
              </w:rPr>
            </w:pPr>
            <w:hyperlink w:anchor="page60">
              <w:r>
                <w:rPr>
                  <w:rFonts w:ascii="Arial" w:cs="Arial" w:eastAsia="Arial" w:hAnsi="Arial"/>
                  <w:sz w:val="20"/>
                  <w:szCs w:val="20"/>
                  <w:u w:val="single" w:color="auto"/>
                  <w:color w:val="0000FF"/>
                </w:rPr>
                <w:t>Exhibits</w:t>
              </w:r>
            </w:hyperlink>
          </w:p>
        </w:tc>
        <w:tc>
          <w:tcPr>
            <w:tcW w:w="1240" w:type="dxa"/>
            <w:vAlign w:val="bottom"/>
          </w:tcPr>
          <w:p>
            <w:pPr>
              <w:jc w:val="center"/>
              <w:ind w:left="961"/>
              <w:spacing w:after="0"/>
              <w:rPr>
                <w:rFonts w:ascii="Arial" w:cs="Arial" w:eastAsia="Arial" w:hAnsi="Arial"/>
                <w:sz w:val="20"/>
                <w:szCs w:val="20"/>
                <w:u w:val="single" w:color="auto"/>
                <w:color w:val="0000FF"/>
                <w:w w:val="80"/>
              </w:rPr>
            </w:pPr>
            <w:hyperlink w:anchor="page60">
              <w:r>
                <w:rPr>
                  <w:rFonts w:ascii="Arial" w:cs="Arial" w:eastAsia="Arial" w:hAnsi="Arial"/>
                  <w:sz w:val="20"/>
                  <w:szCs w:val="20"/>
                  <w:u w:val="single" w:color="auto"/>
                  <w:color w:val="0000FF"/>
                  <w:w w:val="80"/>
                </w:rPr>
                <w:t>59</w:t>
              </w:r>
            </w:hyperlink>
          </w:p>
        </w:tc>
      </w:tr>
      <w:tr>
        <w:trPr>
          <w:trHeight w:val="567"/>
        </w:trPr>
        <w:tc>
          <w:tcPr>
            <w:tcW w:w="8160" w:type="dxa"/>
            <w:vAlign w:val="bottom"/>
          </w:tcPr>
          <w:p>
            <w:pPr>
              <w:spacing w:after="0"/>
              <w:rPr>
                <w:rFonts w:ascii="Arial" w:cs="Arial" w:eastAsia="Arial" w:hAnsi="Arial"/>
                <w:sz w:val="20"/>
                <w:szCs w:val="20"/>
                <w:u w:val="single" w:color="auto"/>
                <w:color w:val="0000FF"/>
              </w:rPr>
            </w:pPr>
            <w:hyperlink w:anchor="page61">
              <w:r>
                <w:rPr>
                  <w:rFonts w:ascii="Arial" w:cs="Arial" w:eastAsia="Arial" w:hAnsi="Arial"/>
                  <w:sz w:val="20"/>
                  <w:szCs w:val="20"/>
                  <w:u w:val="single" w:color="auto"/>
                  <w:color w:val="0000FF"/>
                </w:rPr>
                <w:t>Signature</w:t>
              </w:r>
            </w:hyperlink>
          </w:p>
        </w:tc>
        <w:tc>
          <w:tcPr>
            <w:tcW w:w="1240" w:type="dxa"/>
            <w:vAlign w:val="bottom"/>
          </w:tcPr>
          <w:p>
            <w:pPr>
              <w:jc w:val="center"/>
              <w:ind w:left="961"/>
              <w:spacing w:after="0"/>
              <w:rPr>
                <w:rFonts w:ascii="Arial" w:cs="Arial" w:eastAsia="Arial" w:hAnsi="Arial"/>
                <w:sz w:val="20"/>
                <w:szCs w:val="20"/>
                <w:u w:val="single" w:color="auto"/>
                <w:color w:val="0000FF"/>
                <w:w w:val="80"/>
              </w:rPr>
            </w:pPr>
            <w:hyperlink w:anchor="page61">
              <w:r>
                <w:rPr>
                  <w:rFonts w:ascii="Arial" w:cs="Arial" w:eastAsia="Arial" w:hAnsi="Arial"/>
                  <w:sz w:val="20"/>
                  <w:szCs w:val="20"/>
                  <w:u w:val="single" w:color="auto"/>
                  <w:color w:val="0000FF"/>
                  <w:w w:val="80"/>
                </w:rPr>
                <w:t>61</w:t>
              </w:r>
            </w:hyperlink>
          </w:p>
        </w:tc>
      </w:tr>
      <w:tr>
        <w:trPr>
          <w:trHeight w:val="928"/>
        </w:trPr>
        <w:tc>
          <w:tcPr>
            <w:tcW w:w="8160" w:type="dxa"/>
            <w:vAlign w:val="bottom"/>
          </w:tcPr>
          <w:p>
            <w:pPr>
              <w:ind w:left="4440"/>
              <w:spacing w:after="0"/>
              <w:rPr>
                <w:sz w:val="20"/>
                <w:szCs w:val="20"/>
                <w:color w:val="auto"/>
              </w:rPr>
            </w:pPr>
            <w:r>
              <w:rPr>
                <w:rFonts w:ascii="Arial" w:cs="Arial" w:eastAsia="Arial" w:hAnsi="Arial"/>
                <w:sz w:val="18"/>
                <w:szCs w:val="18"/>
                <w:color w:val="auto"/>
              </w:rPr>
              <w:t>2</w:t>
            </w:r>
          </w:p>
        </w:tc>
        <w:tc>
          <w:tcPr>
            <w:tcW w:w="12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68580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720" w:space="420"/>
            <w:col w:w="10100"/>
          </w:cols>
          <w:pgMar w:left="320" w:top="121" w:right="339" w:bottom="1440" w:gutter="0" w:footer="0" w:header="0"/>
          <w:type w:val="continuous"/>
        </w:sectPr>
      </w:pPr>
    </w:p>
    <w:bookmarkStart w:id="3" w:name="page4"/>
    <w:bookmarkEnd w:id="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PART I: FINANCIAL INFORMATION</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Financial Statements</w:t>
      </w:r>
    </w:p>
    <w:p>
      <w:pPr>
        <w:spacing w:after="0" w:line="243" w:lineRule="exact"/>
        <w:rPr>
          <w:sz w:val="20"/>
          <w:szCs w:val="20"/>
          <w:color w:val="auto"/>
        </w:rPr>
      </w:pPr>
    </w:p>
    <w:p>
      <w:pPr>
        <w:ind w:left="4240"/>
        <w:spacing w:after="0"/>
        <w:rPr>
          <w:sz w:val="20"/>
          <w:szCs w:val="20"/>
          <w:color w:val="auto"/>
        </w:rPr>
      </w:pPr>
      <w:r>
        <w:rPr>
          <w:rFonts w:ascii="Arial" w:cs="Arial" w:eastAsia="Arial" w:hAnsi="Arial"/>
          <w:sz w:val="20"/>
          <w:szCs w:val="20"/>
          <w:b w:val="1"/>
          <w:bCs w:val="1"/>
          <w:color w:val="auto"/>
        </w:rPr>
        <w:t>CONSOLIDATED BALANCE SHEETS</w:t>
      </w:r>
    </w:p>
    <w:p>
      <w:pPr>
        <w:spacing w:after="0" w:line="26"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(IN THOUSANDS, EXCEPT SHARE AND PER SHARE DATA, UNAUDITED)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20" w:type="dxa"/>
            <w:vAlign w:val="bottom"/>
            <w:gridSpan w:val="2"/>
          </w:tcPr>
          <w:p>
            <w:pPr>
              <w:ind w:left="240"/>
              <w:spacing w:after="0"/>
              <w:rPr>
                <w:sz w:val="20"/>
                <w:szCs w:val="20"/>
                <w:color w:val="auto"/>
              </w:rPr>
            </w:pPr>
            <w:r>
              <w:rPr>
                <w:rFonts w:ascii="Arial" w:cs="Arial" w:eastAsia="Arial" w:hAnsi="Arial"/>
                <w:sz w:val="14"/>
                <w:szCs w:val="14"/>
                <w:b w:val="1"/>
                <w:bCs w:val="1"/>
                <w:color w:val="auto"/>
              </w:rPr>
              <w:t>JUNE 28, 2020</w:t>
            </w:r>
          </w:p>
        </w:tc>
        <w:tc>
          <w:tcPr>
            <w:tcW w:w="200" w:type="dxa"/>
            <w:vAlign w:val="bottom"/>
          </w:tcPr>
          <w:p>
            <w:pPr>
              <w:spacing w:after="0"/>
              <w:rPr>
                <w:sz w:val="17"/>
                <w:szCs w:val="17"/>
                <w:color w:val="auto"/>
              </w:rPr>
            </w:pPr>
          </w:p>
        </w:tc>
        <w:tc>
          <w:tcPr>
            <w:tcW w:w="1760" w:type="dxa"/>
            <w:vAlign w:val="bottom"/>
          </w:tcPr>
          <w:p>
            <w:pPr>
              <w:jc w:val="right"/>
              <w:ind w:right="219"/>
              <w:spacing w:after="0"/>
              <w:rPr>
                <w:sz w:val="20"/>
                <w:szCs w:val="20"/>
                <w:color w:val="auto"/>
              </w:rPr>
            </w:pPr>
            <w:r>
              <w:rPr>
                <w:rFonts w:ascii="Arial" w:cs="Arial" w:eastAsia="Arial" w:hAnsi="Arial"/>
                <w:sz w:val="14"/>
                <w:szCs w:val="14"/>
                <w:b w:val="1"/>
                <w:bCs w:val="1"/>
                <w:color w:val="auto"/>
              </w:rPr>
              <w:t>DECEMBER 29, 2019</w:t>
            </w:r>
          </w:p>
        </w:tc>
        <w:tc>
          <w:tcPr>
            <w:tcW w:w="0" w:type="dxa"/>
            <w:vAlign w:val="bottom"/>
          </w:tcPr>
          <w:p>
            <w:pPr>
              <w:spacing w:after="0"/>
              <w:rPr>
                <w:sz w:val="1"/>
                <w:szCs w:val="1"/>
                <w:color w:val="auto"/>
              </w:rPr>
            </w:pPr>
          </w:p>
        </w:tc>
      </w:tr>
      <w:tr>
        <w:trPr>
          <w:trHeight w:val="237"/>
        </w:trPr>
        <w:tc>
          <w:tcPr>
            <w:tcW w:w="7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340" w:type="dxa"/>
            <w:vAlign w:val="bottom"/>
            <w:tcBorders>
              <w:top w:val="single" w:sz="8" w:color="auto"/>
              <w:bottom w:val="single" w:sz="8" w:color="CCEEFF"/>
            </w:tcBorders>
            <w:shd w:val="clear" w:color="auto" w:fill="CCEEFF"/>
          </w:tcPr>
          <w:p>
            <w:pPr>
              <w:spacing w:after="0"/>
              <w:rPr>
                <w:sz w:val="20"/>
                <w:szCs w:val="20"/>
                <w:color w:val="auto"/>
              </w:rPr>
            </w:pPr>
          </w:p>
        </w:tc>
        <w:tc>
          <w:tcPr>
            <w:tcW w:w="17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76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12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3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Cash and cash equivalents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181,432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67,145</w:t>
            </w:r>
          </w:p>
        </w:tc>
        <w:tc>
          <w:tcPr>
            <w:tcW w:w="0" w:type="dxa"/>
            <w:vAlign w:val="bottom"/>
          </w:tcPr>
          <w:p>
            <w:pPr>
              <w:spacing w:after="0"/>
              <w:rPr>
                <w:sz w:val="1"/>
                <w:szCs w:val="1"/>
                <w:color w:val="auto"/>
              </w:rPr>
            </w:pPr>
          </w:p>
        </w:tc>
      </w:tr>
      <w:tr>
        <w:trPr>
          <w:trHeight w:val="224"/>
        </w:trPr>
        <w:tc>
          <w:tcPr>
            <w:tcW w:w="7120" w:type="dxa"/>
            <w:vAlign w:val="bottom"/>
          </w:tcPr>
          <w:p>
            <w:pPr>
              <w:ind w:left="120"/>
              <w:spacing w:after="0"/>
              <w:rPr>
                <w:sz w:val="20"/>
                <w:szCs w:val="20"/>
                <w:color w:val="auto"/>
              </w:rPr>
            </w:pPr>
            <w:r>
              <w:rPr>
                <w:rFonts w:ascii="Arial" w:cs="Arial" w:eastAsia="Arial" w:hAnsi="Arial"/>
                <w:sz w:val="16"/>
                <w:szCs w:val="16"/>
                <w:color w:val="auto"/>
              </w:rPr>
              <w:t>Restricted cash and cash equivalents</w:t>
            </w:r>
          </w:p>
        </w:tc>
        <w:tc>
          <w:tcPr>
            <w:tcW w:w="340" w:type="dxa"/>
            <w:vAlign w:val="bottom"/>
          </w:tcPr>
          <w:p>
            <w:pPr>
              <w:spacing w:after="0"/>
              <w:rPr>
                <w:sz w:val="19"/>
                <w:szCs w:val="19"/>
                <w:color w:val="auto"/>
              </w:rPr>
            </w:pPr>
          </w:p>
        </w:tc>
        <w:tc>
          <w:tcPr>
            <w:tcW w:w="1720" w:type="dxa"/>
            <w:vAlign w:val="bottom"/>
          </w:tcPr>
          <w:p>
            <w:pPr>
              <w:jc w:val="right"/>
              <w:ind w:right="79"/>
              <w:spacing w:after="0"/>
              <w:rPr>
                <w:sz w:val="20"/>
                <w:szCs w:val="20"/>
                <w:color w:val="auto"/>
              </w:rPr>
            </w:pPr>
            <w:r>
              <w:rPr>
                <w:rFonts w:ascii="Arial" w:cs="Arial" w:eastAsia="Arial" w:hAnsi="Arial"/>
                <w:sz w:val="16"/>
                <w:szCs w:val="16"/>
                <w:color w:val="auto"/>
              </w:rPr>
              <w:t>1,099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Inventories</w:t>
            </w:r>
          </w:p>
        </w:tc>
        <w:tc>
          <w:tcPr>
            <w:tcW w:w="34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63,563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86,861</w:t>
            </w:r>
          </w:p>
        </w:tc>
        <w:tc>
          <w:tcPr>
            <w:tcW w:w="0" w:type="dxa"/>
            <w:vAlign w:val="bottom"/>
          </w:tcPr>
          <w:p>
            <w:pPr>
              <w:spacing w:after="0"/>
              <w:rPr>
                <w:sz w:val="1"/>
                <w:szCs w:val="1"/>
                <w:color w:val="auto"/>
              </w:rPr>
            </w:pPr>
          </w:p>
        </w:tc>
      </w:tr>
      <w:tr>
        <w:trPr>
          <w:trHeight w:val="270"/>
        </w:trPr>
        <w:tc>
          <w:tcPr>
            <w:tcW w:w="71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Other current assets, net</w:t>
            </w:r>
          </w:p>
        </w:tc>
        <w:tc>
          <w:tcPr>
            <w:tcW w:w="34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81,489</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186,462</w:t>
            </w:r>
          </w:p>
        </w:tc>
        <w:tc>
          <w:tcPr>
            <w:tcW w:w="0" w:type="dxa"/>
            <w:vAlign w:val="bottom"/>
          </w:tcPr>
          <w:p>
            <w:pPr>
              <w:spacing w:after="0"/>
              <w:rPr>
                <w:sz w:val="1"/>
                <w:szCs w:val="1"/>
                <w:color w:val="auto"/>
              </w:rPr>
            </w:pPr>
          </w:p>
        </w:tc>
      </w:tr>
      <w:tr>
        <w:trPr>
          <w:trHeight w:val="230"/>
        </w:trPr>
        <w:tc>
          <w:tcPr>
            <w:tcW w:w="71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current assets</w:t>
            </w:r>
          </w:p>
        </w:tc>
        <w:tc>
          <w:tcPr>
            <w:tcW w:w="34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327,583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340,468</w:t>
            </w:r>
          </w:p>
        </w:tc>
        <w:tc>
          <w:tcPr>
            <w:tcW w:w="0" w:type="dxa"/>
            <w:vAlign w:val="bottom"/>
          </w:tcPr>
          <w:p>
            <w:pPr>
              <w:spacing w:after="0"/>
              <w:rPr>
                <w:sz w:val="1"/>
                <w:szCs w:val="1"/>
                <w:color w:val="auto"/>
              </w:rPr>
            </w:pPr>
          </w:p>
        </w:tc>
      </w:tr>
      <w:tr>
        <w:trPr>
          <w:trHeight w:val="223"/>
        </w:trPr>
        <w:tc>
          <w:tcPr>
            <w:tcW w:w="7120" w:type="dxa"/>
            <w:vAlign w:val="bottom"/>
          </w:tcPr>
          <w:p>
            <w:pPr>
              <w:ind w:left="20"/>
              <w:spacing w:after="0"/>
              <w:rPr>
                <w:sz w:val="20"/>
                <w:szCs w:val="20"/>
                <w:color w:val="auto"/>
              </w:rPr>
            </w:pPr>
            <w:r>
              <w:rPr>
                <w:rFonts w:ascii="Arial" w:cs="Arial" w:eastAsia="Arial" w:hAnsi="Arial"/>
                <w:sz w:val="16"/>
                <w:szCs w:val="16"/>
                <w:color w:val="auto"/>
              </w:rPr>
              <w:t>Property, fixtures and equipment, net</w:t>
            </w:r>
          </w:p>
        </w:tc>
        <w:tc>
          <w:tcPr>
            <w:tcW w:w="340" w:type="dxa"/>
            <w:vAlign w:val="bottom"/>
          </w:tcPr>
          <w:p>
            <w:pPr>
              <w:spacing w:after="0"/>
              <w:rPr>
                <w:sz w:val="19"/>
                <w:szCs w:val="19"/>
                <w:color w:val="auto"/>
              </w:rPr>
            </w:pPr>
          </w:p>
        </w:tc>
        <w:tc>
          <w:tcPr>
            <w:tcW w:w="1720" w:type="dxa"/>
            <w:vAlign w:val="bottom"/>
          </w:tcPr>
          <w:p>
            <w:pPr>
              <w:jc w:val="right"/>
              <w:ind w:right="79"/>
              <w:spacing w:after="0"/>
              <w:rPr>
                <w:sz w:val="20"/>
                <w:szCs w:val="20"/>
                <w:color w:val="auto"/>
              </w:rPr>
            </w:pPr>
            <w:r>
              <w:rPr>
                <w:rFonts w:ascii="Arial" w:cs="Arial" w:eastAsia="Arial" w:hAnsi="Arial"/>
                <w:sz w:val="16"/>
                <w:szCs w:val="16"/>
                <w:color w:val="auto"/>
              </w:rPr>
              <w:t>930,032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ind w:right="59"/>
              <w:spacing w:after="0"/>
              <w:rPr>
                <w:sz w:val="20"/>
                <w:szCs w:val="20"/>
                <w:color w:val="auto"/>
              </w:rPr>
            </w:pPr>
            <w:r>
              <w:rPr>
                <w:rFonts w:ascii="Arial" w:cs="Arial" w:eastAsia="Arial" w:hAnsi="Arial"/>
                <w:sz w:val="16"/>
                <w:szCs w:val="16"/>
                <w:color w:val="auto"/>
              </w:rPr>
              <w:t>1,036,077</w:t>
            </w:r>
          </w:p>
        </w:tc>
        <w:tc>
          <w:tcPr>
            <w:tcW w:w="0" w:type="dxa"/>
            <w:vAlign w:val="bottom"/>
          </w:tcPr>
          <w:p>
            <w:pPr>
              <w:spacing w:after="0"/>
              <w:rPr>
                <w:sz w:val="1"/>
                <w:szCs w:val="1"/>
                <w:color w:val="auto"/>
              </w:rPr>
            </w:pPr>
          </w:p>
        </w:tc>
      </w:tr>
      <w:tr>
        <w:trPr>
          <w:trHeight w:val="33"/>
        </w:trPr>
        <w:tc>
          <w:tcPr>
            <w:tcW w:w="7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w:t>
            </w:r>
          </w:p>
        </w:tc>
        <w:tc>
          <w:tcPr>
            <w:tcW w:w="34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1,212,916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1,266,548</w:t>
            </w:r>
          </w:p>
        </w:tc>
        <w:tc>
          <w:tcPr>
            <w:tcW w:w="0" w:type="dxa"/>
            <w:vAlign w:val="bottom"/>
          </w:tcPr>
          <w:p>
            <w:pPr>
              <w:spacing w:after="0"/>
              <w:rPr>
                <w:sz w:val="1"/>
                <w:szCs w:val="1"/>
                <w:color w:val="auto"/>
              </w:rPr>
            </w:pPr>
          </w:p>
        </w:tc>
      </w:tr>
      <w:tr>
        <w:trPr>
          <w:trHeight w:val="224"/>
        </w:trPr>
        <w:tc>
          <w:tcPr>
            <w:tcW w:w="7120" w:type="dxa"/>
            <w:vAlign w:val="bottom"/>
          </w:tcPr>
          <w:p>
            <w:pPr>
              <w:ind w:left="20"/>
              <w:spacing w:after="0"/>
              <w:rPr>
                <w:sz w:val="20"/>
                <w:szCs w:val="20"/>
                <w:color w:val="auto"/>
              </w:rPr>
            </w:pPr>
            <w:r>
              <w:rPr>
                <w:rFonts w:ascii="Arial" w:cs="Arial" w:eastAsia="Arial" w:hAnsi="Arial"/>
                <w:sz w:val="16"/>
                <w:szCs w:val="16"/>
                <w:color w:val="auto"/>
              </w:rPr>
              <w:t>Goodwill</w:t>
            </w:r>
          </w:p>
        </w:tc>
        <w:tc>
          <w:tcPr>
            <w:tcW w:w="340" w:type="dxa"/>
            <w:vAlign w:val="bottom"/>
          </w:tcPr>
          <w:p>
            <w:pPr>
              <w:spacing w:after="0"/>
              <w:rPr>
                <w:sz w:val="19"/>
                <w:szCs w:val="19"/>
                <w:color w:val="auto"/>
              </w:rPr>
            </w:pPr>
          </w:p>
        </w:tc>
        <w:tc>
          <w:tcPr>
            <w:tcW w:w="1720" w:type="dxa"/>
            <w:vAlign w:val="bottom"/>
          </w:tcPr>
          <w:p>
            <w:pPr>
              <w:jc w:val="right"/>
              <w:ind w:right="79"/>
              <w:spacing w:after="0"/>
              <w:rPr>
                <w:sz w:val="20"/>
                <w:szCs w:val="20"/>
                <w:color w:val="auto"/>
              </w:rPr>
            </w:pPr>
            <w:r>
              <w:rPr>
                <w:rFonts w:ascii="Arial" w:cs="Arial" w:eastAsia="Arial" w:hAnsi="Arial"/>
                <w:sz w:val="16"/>
                <w:szCs w:val="16"/>
                <w:color w:val="auto"/>
              </w:rPr>
              <w:t>271,395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ind w:right="59"/>
              <w:spacing w:after="0"/>
              <w:rPr>
                <w:sz w:val="20"/>
                <w:szCs w:val="20"/>
                <w:color w:val="auto"/>
              </w:rPr>
            </w:pPr>
            <w:r>
              <w:rPr>
                <w:rFonts w:ascii="Arial" w:cs="Arial" w:eastAsia="Arial" w:hAnsi="Arial"/>
                <w:sz w:val="16"/>
                <w:szCs w:val="16"/>
                <w:color w:val="auto"/>
              </w:rPr>
              <w:t>288,439</w:t>
            </w:r>
          </w:p>
        </w:tc>
        <w:tc>
          <w:tcPr>
            <w:tcW w:w="0" w:type="dxa"/>
            <w:vAlign w:val="bottom"/>
          </w:tcPr>
          <w:p>
            <w:pPr>
              <w:spacing w:after="0"/>
              <w:rPr>
                <w:sz w:val="1"/>
                <w:szCs w:val="1"/>
                <w:color w:val="auto"/>
              </w:rPr>
            </w:pPr>
          </w:p>
        </w:tc>
      </w:tr>
      <w:tr>
        <w:trPr>
          <w:trHeight w:val="33"/>
        </w:trPr>
        <w:tc>
          <w:tcPr>
            <w:tcW w:w="7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34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463,036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470,615</w:t>
            </w:r>
          </w:p>
        </w:tc>
        <w:tc>
          <w:tcPr>
            <w:tcW w:w="0" w:type="dxa"/>
            <w:vAlign w:val="bottom"/>
          </w:tcPr>
          <w:p>
            <w:pPr>
              <w:spacing w:after="0"/>
              <w:rPr>
                <w:sz w:val="1"/>
                <w:szCs w:val="1"/>
                <w:color w:val="auto"/>
              </w:rPr>
            </w:pPr>
          </w:p>
        </w:tc>
      </w:tr>
      <w:tr>
        <w:trPr>
          <w:trHeight w:val="223"/>
        </w:trPr>
        <w:tc>
          <w:tcPr>
            <w:tcW w:w="7120" w:type="dxa"/>
            <w:vAlign w:val="bottom"/>
          </w:tcPr>
          <w:p>
            <w:pPr>
              <w:ind w:left="20"/>
              <w:spacing w:after="0"/>
              <w:rPr>
                <w:sz w:val="20"/>
                <w:szCs w:val="20"/>
                <w:color w:val="auto"/>
              </w:rPr>
            </w:pPr>
            <w:r>
              <w:rPr>
                <w:rFonts w:ascii="Arial" w:cs="Arial" w:eastAsia="Arial" w:hAnsi="Arial"/>
                <w:sz w:val="16"/>
                <w:szCs w:val="16"/>
                <w:color w:val="auto"/>
              </w:rPr>
              <w:t>Deferred income tax assets, net</w:t>
            </w:r>
          </w:p>
        </w:tc>
        <w:tc>
          <w:tcPr>
            <w:tcW w:w="340" w:type="dxa"/>
            <w:vAlign w:val="bottom"/>
          </w:tcPr>
          <w:p>
            <w:pPr>
              <w:spacing w:after="0"/>
              <w:rPr>
                <w:sz w:val="19"/>
                <w:szCs w:val="19"/>
                <w:color w:val="auto"/>
              </w:rPr>
            </w:pPr>
          </w:p>
        </w:tc>
        <w:tc>
          <w:tcPr>
            <w:tcW w:w="1720" w:type="dxa"/>
            <w:vAlign w:val="bottom"/>
          </w:tcPr>
          <w:p>
            <w:pPr>
              <w:jc w:val="right"/>
              <w:ind w:right="79"/>
              <w:spacing w:after="0"/>
              <w:rPr>
                <w:sz w:val="20"/>
                <w:szCs w:val="20"/>
                <w:color w:val="auto"/>
              </w:rPr>
            </w:pPr>
            <w:r>
              <w:rPr>
                <w:rFonts w:ascii="Arial" w:cs="Arial" w:eastAsia="Arial" w:hAnsi="Arial"/>
                <w:sz w:val="16"/>
                <w:szCs w:val="16"/>
                <w:color w:val="auto"/>
              </w:rPr>
              <w:t>129,507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ind w:right="59"/>
              <w:spacing w:after="0"/>
              <w:rPr>
                <w:sz w:val="20"/>
                <w:szCs w:val="20"/>
                <w:color w:val="auto"/>
              </w:rPr>
            </w:pPr>
            <w:r>
              <w:rPr>
                <w:rFonts w:ascii="Arial" w:cs="Arial" w:eastAsia="Arial" w:hAnsi="Arial"/>
                <w:sz w:val="16"/>
                <w:szCs w:val="16"/>
                <w:color w:val="auto"/>
              </w:rPr>
              <w:t>73,426</w:t>
            </w:r>
          </w:p>
        </w:tc>
        <w:tc>
          <w:tcPr>
            <w:tcW w:w="0" w:type="dxa"/>
            <w:vAlign w:val="bottom"/>
          </w:tcPr>
          <w:p>
            <w:pPr>
              <w:spacing w:after="0"/>
              <w:rPr>
                <w:sz w:val="1"/>
                <w:szCs w:val="1"/>
                <w:color w:val="auto"/>
              </w:rPr>
            </w:pPr>
          </w:p>
        </w:tc>
      </w:tr>
      <w:tr>
        <w:trPr>
          <w:trHeight w:val="33"/>
        </w:trPr>
        <w:tc>
          <w:tcPr>
            <w:tcW w:w="7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assets, net</w:t>
            </w:r>
          </w:p>
        </w:tc>
        <w:tc>
          <w:tcPr>
            <w:tcW w:w="340" w:type="dxa"/>
            <w:vAlign w:val="bottom"/>
            <w:tcBorders>
              <w:bottom w:val="single" w:sz="8" w:color="auto"/>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99,106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7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117,110</w:t>
            </w:r>
          </w:p>
        </w:tc>
        <w:tc>
          <w:tcPr>
            <w:tcW w:w="0" w:type="dxa"/>
            <w:vAlign w:val="bottom"/>
          </w:tcPr>
          <w:p>
            <w:pPr>
              <w:spacing w:after="0"/>
              <w:rPr>
                <w:sz w:val="1"/>
                <w:szCs w:val="1"/>
                <w:color w:val="auto"/>
              </w:rPr>
            </w:pPr>
          </w:p>
        </w:tc>
      </w:tr>
      <w:tr>
        <w:trPr>
          <w:trHeight w:val="226"/>
        </w:trPr>
        <w:tc>
          <w:tcPr>
            <w:tcW w:w="7120" w:type="dxa"/>
            <w:vAlign w:val="bottom"/>
          </w:tcPr>
          <w:p>
            <w:pPr>
              <w:ind w:left="780"/>
              <w:spacing w:after="0"/>
              <w:rPr>
                <w:sz w:val="20"/>
                <w:szCs w:val="20"/>
                <w:color w:val="auto"/>
              </w:rPr>
            </w:pPr>
            <w:r>
              <w:rPr>
                <w:rFonts w:ascii="Arial" w:cs="Arial" w:eastAsia="Arial" w:hAnsi="Arial"/>
                <w:sz w:val="16"/>
                <w:szCs w:val="16"/>
                <w:color w:val="auto"/>
              </w:rPr>
              <w:t>Total assets</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3,433,575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3,592,683</w:t>
            </w:r>
          </w:p>
        </w:tc>
        <w:tc>
          <w:tcPr>
            <w:tcW w:w="0" w:type="dxa"/>
            <w:vAlign w:val="bottom"/>
          </w:tcPr>
          <w:p>
            <w:pPr>
              <w:spacing w:after="0"/>
              <w:rPr>
                <w:sz w:val="1"/>
                <w:szCs w:val="1"/>
                <w:color w:val="auto"/>
              </w:rPr>
            </w:pPr>
          </w:p>
        </w:tc>
      </w:tr>
      <w:tr>
        <w:trPr>
          <w:trHeight w:val="20"/>
        </w:trPr>
        <w:tc>
          <w:tcPr>
            <w:tcW w:w="7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LIABILITIES AND STOCKHOLDERS’ EQUITY</w:t>
            </w:r>
          </w:p>
        </w:tc>
        <w:tc>
          <w:tcPr>
            <w:tcW w:w="34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12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3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Accounts payable</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104,808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174,877</w:t>
            </w:r>
          </w:p>
        </w:tc>
        <w:tc>
          <w:tcPr>
            <w:tcW w:w="0" w:type="dxa"/>
            <w:vAlign w:val="bottom"/>
          </w:tcPr>
          <w:p>
            <w:pPr>
              <w:spacing w:after="0"/>
              <w:rPr>
                <w:sz w:val="1"/>
                <w:szCs w:val="1"/>
                <w:color w:val="auto"/>
              </w:rPr>
            </w:pPr>
          </w:p>
        </w:tc>
      </w:tr>
      <w:tr>
        <w:trPr>
          <w:trHeight w:val="223"/>
        </w:trPr>
        <w:tc>
          <w:tcPr>
            <w:tcW w:w="7120" w:type="dxa"/>
            <w:vAlign w:val="bottom"/>
          </w:tcPr>
          <w:p>
            <w:pPr>
              <w:ind w:left="120"/>
              <w:spacing w:after="0"/>
              <w:rPr>
                <w:sz w:val="20"/>
                <w:szCs w:val="20"/>
                <w:color w:val="auto"/>
              </w:rPr>
            </w:pPr>
            <w:r>
              <w:rPr>
                <w:rFonts w:ascii="Arial" w:cs="Arial" w:eastAsia="Arial" w:hAnsi="Arial"/>
                <w:sz w:val="16"/>
                <w:szCs w:val="16"/>
                <w:color w:val="auto"/>
              </w:rPr>
              <w:t>Accrued and other current liabilities</w:t>
            </w:r>
          </w:p>
        </w:tc>
        <w:tc>
          <w:tcPr>
            <w:tcW w:w="340" w:type="dxa"/>
            <w:vAlign w:val="bottom"/>
          </w:tcPr>
          <w:p>
            <w:pPr>
              <w:spacing w:after="0"/>
              <w:rPr>
                <w:sz w:val="19"/>
                <w:szCs w:val="19"/>
                <w:color w:val="auto"/>
              </w:rPr>
            </w:pPr>
          </w:p>
        </w:tc>
        <w:tc>
          <w:tcPr>
            <w:tcW w:w="1720" w:type="dxa"/>
            <w:vAlign w:val="bottom"/>
          </w:tcPr>
          <w:p>
            <w:pPr>
              <w:jc w:val="right"/>
              <w:ind w:right="79"/>
              <w:spacing w:after="0"/>
              <w:rPr>
                <w:sz w:val="20"/>
                <w:szCs w:val="20"/>
                <w:color w:val="auto"/>
              </w:rPr>
            </w:pPr>
            <w:r>
              <w:rPr>
                <w:rFonts w:ascii="Arial" w:cs="Arial" w:eastAsia="Arial" w:hAnsi="Arial"/>
                <w:sz w:val="16"/>
                <w:szCs w:val="16"/>
                <w:color w:val="auto"/>
              </w:rPr>
              <w:t>380,049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ind w:right="59"/>
              <w:spacing w:after="0"/>
              <w:rPr>
                <w:sz w:val="20"/>
                <w:szCs w:val="20"/>
                <w:color w:val="auto"/>
              </w:rPr>
            </w:pPr>
            <w:r>
              <w:rPr>
                <w:rFonts w:ascii="Arial" w:cs="Arial" w:eastAsia="Arial" w:hAnsi="Arial"/>
                <w:sz w:val="16"/>
                <w:szCs w:val="16"/>
                <w:color w:val="auto"/>
              </w:rPr>
              <w:t>391,451</w:t>
            </w:r>
          </w:p>
        </w:tc>
        <w:tc>
          <w:tcPr>
            <w:tcW w:w="0" w:type="dxa"/>
            <w:vAlign w:val="bottom"/>
          </w:tcPr>
          <w:p>
            <w:pPr>
              <w:spacing w:after="0"/>
              <w:rPr>
                <w:sz w:val="1"/>
                <w:szCs w:val="1"/>
                <w:color w:val="auto"/>
              </w:rPr>
            </w:pPr>
          </w:p>
        </w:tc>
      </w:tr>
      <w:tr>
        <w:trPr>
          <w:trHeight w:val="33"/>
        </w:trPr>
        <w:tc>
          <w:tcPr>
            <w:tcW w:w="7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Unearned revenue</w:t>
            </w:r>
          </w:p>
        </w:tc>
        <w:tc>
          <w:tcPr>
            <w:tcW w:w="34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293,627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369,282</w:t>
            </w:r>
          </w:p>
        </w:tc>
        <w:tc>
          <w:tcPr>
            <w:tcW w:w="0" w:type="dxa"/>
            <w:vAlign w:val="bottom"/>
          </w:tcPr>
          <w:p>
            <w:pPr>
              <w:spacing w:after="0"/>
              <w:rPr>
                <w:sz w:val="1"/>
                <w:szCs w:val="1"/>
                <w:color w:val="auto"/>
              </w:rPr>
            </w:pPr>
          </w:p>
        </w:tc>
      </w:tr>
      <w:tr>
        <w:trPr>
          <w:trHeight w:val="270"/>
        </w:trPr>
        <w:tc>
          <w:tcPr>
            <w:tcW w:w="71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Current portion of long-term debt</w:t>
            </w:r>
          </w:p>
        </w:tc>
        <w:tc>
          <w:tcPr>
            <w:tcW w:w="34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32,354</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26,411</w:t>
            </w:r>
          </w:p>
        </w:tc>
        <w:tc>
          <w:tcPr>
            <w:tcW w:w="0" w:type="dxa"/>
            <w:vAlign w:val="bottom"/>
          </w:tcPr>
          <w:p>
            <w:pPr>
              <w:spacing w:after="0"/>
              <w:rPr>
                <w:sz w:val="1"/>
                <w:szCs w:val="1"/>
                <w:color w:val="auto"/>
              </w:rPr>
            </w:pPr>
          </w:p>
        </w:tc>
      </w:tr>
      <w:tr>
        <w:trPr>
          <w:trHeight w:val="230"/>
        </w:trPr>
        <w:tc>
          <w:tcPr>
            <w:tcW w:w="71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current liabilities</w:t>
            </w:r>
          </w:p>
        </w:tc>
        <w:tc>
          <w:tcPr>
            <w:tcW w:w="34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810,838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962,021</w:t>
            </w:r>
          </w:p>
        </w:tc>
        <w:tc>
          <w:tcPr>
            <w:tcW w:w="0" w:type="dxa"/>
            <w:vAlign w:val="bottom"/>
          </w:tcPr>
          <w:p>
            <w:pPr>
              <w:spacing w:after="0"/>
              <w:rPr>
                <w:sz w:val="1"/>
                <w:szCs w:val="1"/>
                <w:color w:val="auto"/>
              </w:rPr>
            </w:pPr>
          </w:p>
        </w:tc>
      </w:tr>
      <w:tr>
        <w:trPr>
          <w:trHeight w:val="223"/>
        </w:trPr>
        <w:tc>
          <w:tcPr>
            <w:tcW w:w="7120" w:type="dxa"/>
            <w:vAlign w:val="bottom"/>
          </w:tcPr>
          <w:p>
            <w:pPr>
              <w:ind w:left="20"/>
              <w:spacing w:after="0"/>
              <w:rPr>
                <w:sz w:val="20"/>
                <w:szCs w:val="20"/>
                <w:color w:val="auto"/>
              </w:rPr>
            </w:pPr>
            <w:r>
              <w:rPr>
                <w:rFonts w:ascii="Arial" w:cs="Arial" w:eastAsia="Arial" w:hAnsi="Arial"/>
                <w:sz w:val="16"/>
                <w:szCs w:val="16"/>
                <w:color w:val="auto"/>
              </w:rPr>
              <w:t>Non-current operating lease liabilities</w:t>
            </w:r>
          </w:p>
        </w:tc>
        <w:tc>
          <w:tcPr>
            <w:tcW w:w="340" w:type="dxa"/>
            <w:vAlign w:val="bottom"/>
          </w:tcPr>
          <w:p>
            <w:pPr>
              <w:spacing w:after="0"/>
              <w:rPr>
                <w:sz w:val="19"/>
                <w:szCs w:val="19"/>
                <w:color w:val="auto"/>
              </w:rPr>
            </w:pPr>
          </w:p>
        </w:tc>
        <w:tc>
          <w:tcPr>
            <w:tcW w:w="1720" w:type="dxa"/>
            <w:vAlign w:val="bottom"/>
          </w:tcPr>
          <w:p>
            <w:pPr>
              <w:jc w:val="right"/>
              <w:ind w:right="79"/>
              <w:spacing w:after="0"/>
              <w:rPr>
                <w:sz w:val="20"/>
                <w:szCs w:val="20"/>
                <w:color w:val="auto"/>
              </w:rPr>
            </w:pPr>
            <w:r>
              <w:rPr>
                <w:rFonts w:ascii="Arial" w:cs="Arial" w:eastAsia="Arial" w:hAnsi="Arial"/>
                <w:sz w:val="16"/>
                <w:szCs w:val="16"/>
                <w:color w:val="auto"/>
              </w:rPr>
              <w:t>1,248,941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ind w:right="59"/>
              <w:spacing w:after="0"/>
              <w:rPr>
                <w:sz w:val="20"/>
                <w:szCs w:val="20"/>
                <w:color w:val="auto"/>
              </w:rPr>
            </w:pPr>
            <w:r>
              <w:rPr>
                <w:rFonts w:ascii="Arial" w:cs="Arial" w:eastAsia="Arial" w:hAnsi="Arial"/>
                <w:sz w:val="16"/>
                <w:szCs w:val="16"/>
                <w:color w:val="auto"/>
              </w:rPr>
              <w:t>1,279,051</w:t>
            </w:r>
          </w:p>
        </w:tc>
        <w:tc>
          <w:tcPr>
            <w:tcW w:w="0" w:type="dxa"/>
            <w:vAlign w:val="bottom"/>
          </w:tcPr>
          <w:p>
            <w:pPr>
              <w:spacing w:after="0"/>
              <w:rPr>
                <w:sz w:val="1"/>
                <w:szCs w:val="1"/>
                <w:color w:val="auto"/>
              </w:rPr>
            </w:pPr>
          </w:p>
        </w:tc>
      </w:tr>
      <w:tr>
        <w:trPr>
          <w:trHeight w:val="33"/>
        </w:trPr>
        <w:tc>
          <w:tcPr>
            <w:tcW w:w="7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income tax liabilities</w:t>
            </w:r>
          </w:p>
        </w:tc>
        <w:tc>
          <w:tcPr>
            <w:tcW w:w="34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3,262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13,777</w:t>
            </w:r>
          </w:p>
        </w:tc>
        <w:tc>
          <w:tcPr>
            <w:tcW w:w="0" w:type="dxa"/>
            <w:vAlign w:val="bottom"/>
          </w:tcPr>
          <w:p>
            <w:pPr>
              <w:spacing w:after="0"/>
              <w:rPr>
                <w:sz w:val="1"/>
                <w:szCs w:val="1"/>
                <w:color w:val="auto"/>
              </w:rPr>
            </w:pPr>
          </w:p>
        </w:tc>
      </w:tr>
      <w:tr>
        <w:trPr>
          <w:trHeight w:val="224"/>
        </w:trPr>
        <w:tc>
          <w:tcPr>
            <w:tcW w:w="7120" w:type="dxa"/>
            <w:vAlign w:val="bottom"/>
          </w:tcPr>
          <w:p>
            <w:pPr>
              <w:ind w:left="20"/>
              <w:spacing w:after="0"/>
              <w:rPr>
                <w:sz w:val="20"/>
                <w:szCs w:val="20"/>
                <w:color w:val="auto"/>
              </w:rPr>
            </w:pPr>
            <w:r>
              <w:rPr>
                <w:rFonts w:ascii="Arial" w:cs="Arial" w:eastAsia="Arial" w:hAnsi="Arial"/>
                <w:sz w:val="16"/>
                <w:szCs w:val="16"/>
                <w:color w:val="auto"/>
              </w:rPr>
              <w:t>Long-term debt, net</w:t>
            </w:r>
          </w:p>
        </w:tc>
        <w:tc>
          <w:tcPr>
            <w:tcW w:w="340" w:type="dxa"/>
            <w:vAlign w:val="bottom"/>
          </w:tcPr>
          <w:p>
            <w:pPr>
              <w:spacing w:after="0"/>
              <w:rPr>
                <w:sz w:val="19"/>
                <w:szCs w:val="19"/>
                <w:color w:val="auto"/>
              </w:rPr>
            </w:pPr>
          </w:p>
        </w:tc>
        <w:tc>
          <w:tcPr>
            <w:tcW w:w="1720" w:type="dxa"/>
            <w:vAlign w:val="bottom"/>
          </w:tcPr>
          <w:p>
            <w:pPr>
              <w:jc w:val="right"/>
              <w:ind w:right="79"/>
              <w:spacing w:after="0"/>
              <w:rPr>
                <w:sz w:val="20"/>
                <w:szCs w:val="20"/>
                <w:color w:val="auto"/>
              </w:rPr>
            </w:pPr>
            <w:r>
              <w:rPr>
                <w:rFonts w:ascii="Arial" w:cs="Arial" w:eastAsia="Arial" w:hAnsi="Arial"/>
                <w:sz w:val="16"/>
                <w:szCs w:val="16"/>
                <w:color w:val="auto"/>
              </w:rPr>
              <w:t>1,178,438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ind w:right="59"/>
              <w:spacing w:after="0"/>
              <w:rPr>
                <w:sz w:val="20"/>
                <w:szCs w:val="20"/>
                <w:color w:val="auto"/>
              </w:rPr>
            </w:pPr>
            <w:r>
              <w:rPr>
                <w:rFonts w:ascii="Arial" w:cs="Arial" w:eastAsia="Arial" w:hAnsi="Arial"/>
                <w:sz w:val="16"/>
                <w:szCs w:val="16"/>
                <w:color w:val="auto"/>
              </w:rPr>
              <w:t>1,022,293</w:t>
            </w:r>
          </w:p>
        </w:tc>
        <w:tc>
          <w:tcPr>
            <w:tcW w:w="0" w:type="dxa"/>
            <w:vAlign w:val="bottom"/>
          </w:tcPr>
          <w:p>
            <w:pPr>
              <w:spacing w:after="0"/>
              <w:rPr>
                <w:sz w:val="1"/>
                <w:szCs w:val="1"/>
                <w:color w:val="auto"/>
              </w:rPr>
            </w:pPr>
          </w:p>
        </w:tc>
      </w:tr>
      <w:tr>
        <w:trPr>
          <w:trHeight w:val="33"/>
        </w:trPr>
        <w:tc>
          <w:tcPr>
            <w:tcW w:w="7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long-term liabilities, net</w:t>
            </w:r>
          </w:p>
        </w:tc>
        <w:tc>
          <w:tcPr>
            <w:tcW w:w="340" w:type="dxa"/>
            <w:vAlign w:val="bottom"/>
            <w:tcBorders>
              <w:bottom w:val="single" w:sz="8" w:color="auto"/>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162,898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7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138,060</w:t>
            </w:r>
          </w:p>
        </w:tc>
        <w:tc>
          <w:tcPr>
            <w:tcW w:w="0" w:type="dxa"/>
            <w:vAlign w:val="bottom"/>
          </w:tcPr>
          <w:p>
            <w:pPr>
              <w:spacing w:after="0"/>
              <w:rPr>
                <w:sz w:val="1"/>
                <w:szCs w:val="1"/>
                <w:color w:val="auto"/>
              </w:rPr>
            </w:pPr>
          </w:p>
        </w:tc>
      </w:tr>
      <w:tr>
        <w:trPr>
          <w:trHeight w:val="270"/>
        </w:trPr>
        <w:tc>
          <w:tcPr>
            <w:tcW w:w="7120" w:type="dxa"/>
            <w:vAlign w:val="bottom"/>
            <w:tcBorders>
              <w:bottom w:val="single" w:sz="8" w:color="CCEEFF"/>
            </w:tcBorders>
          </w:tcPr>
          <w:p>
            <w:pPr>
              <w:ind w:left="780"/>
              <w:spacing w:after="0"/>
              <w:rPr>
                <w:sz w:val="20"/>
                <w:szCs w:val="20"/>
                <w:color w:val="auto"/>
              </w:rPr>
            </w:pPr>
            <w:r>
              <w:rPr>
                <w:rFonts w:ascii="Arial" w:cs="Arial" w:eastAsia="Arial" w:hAnsi="Arial"/>
                <w:sz w:val="16"/>
                <w:szCs w:val="16"/>
                <w:color w:val="auto"/>
              </w:rPr>
              <w:t>Total liabilities</w:t>
            </w:r>
          </w:p>
        </w:tc>
        <w:tc>
          <w:tcPr>
            <w:tcW w:w="34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3,404,377</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3,415,202</w:t>
            </w:r>
          </w:p>
        </w:tc>
        <w:tc>
          <w:tcPr>
            <w:tcW w:w="0" w:type="dxa"/>
            <w:vAlign w:val="bottom"/>
          </w:tcPr>
          <w:p>
            <w:pPr>
              <w:spacing w:after="0"/>
              <w:rPr>
                <w:sz w:val="1"/>
                <w:szCs w:val="1"/>
                <w:color w:val="auto"/>
              </w:rPr>
            </w:pPr>
          </w:p>
        </w:tc>
      </w:tr>
      <w:tr>
        <w:trPr>
          <w:trHeight w:val="217"/>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20)</w:t>
            </w:r>
          </w:p>
        </w:tc>
        <w:tc>
          <w:tcPr>
            <w:tcW w:w="34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7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12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3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Bloomin’ Brands stockholders’ equity</w:t>
            </w:r>
          </w:p>
        </w:tc>
        <w:tc>
          <w:tcPr>
            <w:tcW w:w="34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7120" w:type="dxa"/>
            <w:vAlign w:val="bottom"/>
          </w:tcPr>
          <w:p>
            <w:pPr>
              <w:ind w:left="360"/>
              <w:spacing w:after="0" w:line="166" w:lineRule="exact"/>
              <w:rPr>
                <w:sz w:val="20"/>
                <w:szCs w:val="20"/>
                <w:color w:val="auto"/>
              </w:rPr>
            </w:pPr>
            <w:r>
              <w:rPr>
                <w:rFonts w:ascii="Arial" w:cs="Arial" w:eastAsia="Arial" w:hAnsi="Arial"/>
                <w:sz w:val="16"/>
                <w:szCs w:val="16"/>
                <w:color w:val="auto"/>
                <w:w w:val="91"/>
              </w:rPr>
              <w:t>Preferred stock, $0.01 par value, 25,000,000 shares authorized; no shares issued and outstanding as of</w:t>
            </w:r>
          </w:p>
        </w:tc>
        <w:tc>
          <w:tcPr>
            <w:tcW w:w="340" w:type="dxa"/>
            <w:vAlign w:val="bottom"/>
          </w:tcPr>
          <w:p>
            <w:pPr>
              <w:spacing w:after="0"/>
              <w:rPr>
                <w:sz w:val="14"/>
                <w:szCs w:val="14"/>
                <w:color w:val="auto"/>
              </w:rPr>
            </w:pPr>
          </w:p>
        </w:tc>
        <w:tc>
          <w:tcPr>
            <w:tcW w:w="1820" w:type="dxa"/>
            <w:vAlign w:val="bottom"/>
            <w:gridSpan w:val="2"/>
            <w:vMerge w:val="restart"/>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1760" w:type="dxa"/>
            <w:vAlign w:val="bottom"/>
            <w:vMerge w:val="restart"/>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7120" w:type="dxa"/>
            <w:vAlign w:val="bottom"/>
          </w:tcPr>
          <w:p>
            <w:pPr>
              <w:ind w:left="360"/>
              <w:spacing w:after="0"/>
              <w:rPr>
                <w:sz w:val="20"/>
                <w:szCs w:val="20"/>
                <w:color w:val="auto"/>
              </w:rPr>
            </w:pPr>
            <w:r>
              <w:rPr>
                <w:rFonts w:ascii="Arial" w:cs="Arial" w:eastAsia="Arial" w:hAnsi="Arial"/>
                <w:sz w:val="16"/>
                <w:szCs w:val="16"/>
                <w:color w:val="auto"/>
              </w:rPr>
              <w:t>June 28, 2020 and December 29, 2019</w:t>
            </w:r>
          </w:p>
        </w:tc>
        <w:tc>
          <w:tcPr>
            <w:tcW w:w="340" w:type="dxa"/>
            <w:vAlign w:val="bottom"/>
          </w:tcPr>
          <w:p>
            <w:pPr>
              <w:spacing w:after="0"/>
              <w:rPr>
                <w:sz w:val="18"/>
                <w:szCs w:val="18"/>
                <w:color w:val="auto"/>
              </w:rPr>
            </w:pPr>
          </w:p>
        </w:tc>
        <w:tc>
          <w:tcPr>
            <w:tcW w:w="18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7120" w:type="dxa"/>
            <w:vAlign w:val="bottom"/>
            <w:shd w:val="clear" w:color="auto" w:fill="CCEEFF"/>
          </w:tcPr>
          <w:p>
            <w:pPr>
              <w:ind w:left="360"/>
              <w:spacing w:after="0" w:line="169" w:lineRule="exact"/>
              <w:rPr>
                <w:sz w:val="20"/>
                <w:szCs w:val="20"/>
                <w:color w:val="auto"/>
              </w:rPr>
            </w:pPr>
            <w:r>
              <w:rPr>
                <w:rFonts w:ascii="Arial" w:cs="Arial" w:eastAsia="Arial" w:hAnsi="Arial"/>
                <w:sz w:val="16"/>
                <w:szCs w:val="16"/>
                <w:color w:val="auto"/>
                <w:w w:val="94"/>
              </w:rPr>
              <w:t>Common stock, $0.01 par value, 475,000,000 shares authorized; 87,533,599 and 86,945,869 shares</w:t>
            </w:r>
          </w:p>
        </w:tc>
        <w:tc>
          <w:tcPr>
            <w:tcW w:w="340" w:type="dxa"/>
            <w:vAlign w:val="bottom"/>
            <w:shd w:val="clear" w:color="auto" w:fill="CCEEFF"/>
          </w:tcPr>
          <w:p>
            <w:pPr>
              <w:spacing w:after="0"/>
              <w:rPr>
                <w:sz w:val="14"/>
                <w:szCs w:val="14"/>
                <w:color w:val="auto"/>
              </w:rPr>
            </w:pPr>
          </w:p>
        </w:tc>
        <w:tc>
          <w:tcPr>
            <w:tcW w:w="172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875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76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869</w:t>
            </w:r>
          </w:p>
        </w:tc>
        <w:tc>
          <w:tcPr>
            <w:tcW w:w="0" w:type="dxa"/>
            <w:vAlign w:val="bottom"/>
          </w:tcPr>
          <w:p>
            <w:pPr>
              <w:spacing w:after="0"/>
              <w:rPr>
                <w:sz w:val="1"/>
                <w:szCs w:val="1"/>
                <w:color w:val="auto"/>
              </w:rPr>
            </w:pPr>
          </w:p>
        </w:tc>
      </w:tr>
      <w:tr>
        <w:trPr>
          <w:trHeight w:val="212"/>
        </w:trPr>
        <w:tc>
          <w:tcPr>
            <w:tcW w:w="71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issued and outstanding as of June 28, 2020 and December 29, 2019, respectively</w:t>
            </w:r>
          </w:p>
        </w:tc>
        <w:tc>
          <w:tcPr>
            <w:tcW w:w="340" w:type="dxa"/>
            <w:vAlign w:val="bottom"/>
            <w:shd w:val="clear" w:color="auto" w:fill="CCEEFF"/>
          </w:tcPr>
          <w:p>
            <w:pPr>
              <w:spacing w:after="0"/>
              <w:rPr>
                <w:sz w:val="18"/>
                <w:szCs w:val="18"/>
                <w:color w:val="auto"/>
              </w:rPr>
            </w:pPr>
          </w:p>
        </w:tc>
        <w:tc>
          <w:tcPr>
            <w:tcW w:w="1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120" w:type="dxa"/>
            <w:vAlign w:val="bottom"/>
          </w:tcPr>
          <w:p>
            <w:pPr>
              <w:ind w:left="340"/>
              <w:spacing w:after="0"/>
              <w:rPr>
                <w:sz w:val="20"/>
                <w:szCs w:val="20"/>
                <w:color w:val="auto"/>
              </w:rPr>
            </w:pPr>
            <w:r>
              <w:rPr>
                <w:rFonts w:ascii="Arial" w:cs="Arial" w:eastAsia="Arial" w:hAnsi="Arial"/>
                <w:sz w:val="16"/>
                <w:szCs w:val="16"/>
                <w:color w:val="auto"/>
              </w:rPr>
              <w:t>Additional paid-in capital</w:t>
            </w:r>
          </w:p>
        </w:tc>
        <w:tc>
          <w:tcPr>
            <w:tcW w:w="340" w:type="dxa"/>
            <w:vAlign w:val="bottom"/>
          </w:tcPr>
          <w:p>
            <w:pPr>
              <w:spacing w:after="0"/>
              <w:rPr>
                <w:sz w:val="19"/>
                <w:szCs w:val="19"/>
                <w:color w:val="auto"/>
              </w:rPr>
            </w:pPr>
          </w:p>
        </w:tc>
        <w:tc>
          <w:tcPr>
            <w:tcW w:w="1720" w:type="dxa"/>
            <w:vAlign w:val="bottom"/>
          </w:tcPr>
          <w:p>
            <w:pPr>
              <w:jc w:val="right"/>
              <w:ind w:right="79"/>
              <w:spacing w:after="0"/>
              <w:rPr>
                <w:sz w:val="20"/>
                <w:szCs w:val="20"/>
                <w:color w:val="auto"/>
              </w:rPr>
            </w:pPr>
            <w:r>
              <w:rPr>
                <w:rFonts w:ascii="Arial" w:cs="Arial" w:eastAsia="Arial" w:hAnsi="Arial"/>
                <w:sz w:val="16"/>
                <w:szCs w:val="16"/>
                <w:color w:val="auto"/>
              </w:rPr>
              <w:t>1,123,613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ind w:right="59"/>
              <w:spacing w:after="0"/>
              <w:rPr>
                <w:sz w:val="20"/>
                <w:szCs w:val="20"/>
                <w:color w:val="auto"/>
              </w:rPr>
            </w:pPr>
            <w:r>
              <w:rPr>
                <w:rFonts w:ascii="Arial" w:cs="Arial" w:eastAsia="Arial" w:hAnsi="Arial"/>
                <w:sz w:val="16"/>
                <w:szCs w:val="16"/>
                <w:color w:val="auto"/>
              </w:rPr>
              <w:t>1,094,338</w:t>
            </w:r>
          </w:p>
        </w:tc>
        <w:tc>
          <w:tcPr>
            <w:tcW w:w="0" w:type="dxa"/>
            <w:vAlign w:val="bottom"/>
          </w:tcPr>
          <w:p>
            <w:pPr>
              <w:spacing w:after="0"/>
              <w:rPr>
                <w:sz w:val="1"/>
                <w:szCs w:val="1"/>
                <w:color w:val="auto"/>
              </w:rPr>
            </w:pPr>
          </w:p>
        </w:tc>
      </w:tr>
      <w:tr>
        <w:trPr>
          <w:trHeight w:val="33"/>
        </w:trPr>
        <w:tc>
          <w:tcPr>
            <w:tcW w:w="7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1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Accumulated deficit</w:t>
            </w:r>
          </w:p>
        </w:tc>
        <w:tc>
          <w:tcPr>
            <w:tcW w:w="34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(886,248)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(755,089)</w:t>
            </w:r>
          </w:p>
        </w:tc>
        <w:tc>
          <w:tcPr>
            <w:tcW w:w="0" w:type="dxa"/>
            <w:vAlign w:val="bottom"/>
          </w:tcPr>
          <w:p>
            <w:pPr>
              <w:spacing w:after="0"/>
              <w:rPr>
                <w:sz w:val="1"/>
                <w:szCs w:val="1"/>
                <w:color w:val="auto"/>
              </w:rPr>
            </w:pPr>
          </w:p>
        </w:tc>
      </w:tr>
      <w:tr>
        <w:trPr>
          <w:trHeight w:val="270"/>
        </w:trPr>
        <w:tc>
          <w:tcPr>
            <w:tcW w:w="71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Accumulated other comprehensive loss</w:t>
            </w:r>
          </w:p>
        </w:tc>
        <w:tc>
          <w:tcPr>
            <w:tcW w:w="34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(217,130)</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(169,776)</w:t>
            </w:r>
          </w:p>
        </w:tc>
        <w:tc>
          <w:tcPr>
            <w:tcW w:w="0" w:type="dxa"/>
            <w:vAlign w:val="bottom"/>
          </w:tcPr>
          <w:p>
            <w:pPr>
              <w:spacing w:after="0"/>
              <w:rPr>
                <w:sz w:val="1"/>
                <w:szCs w:val="1"/>
                <w:color w:val="auto"/>
              </w:rPr>
            </w:pPr>
          </w:p>
        </w:tc>
      </w:tr>
      <w:tr>
        <w:trPr>
          <w:trHeight w:val="230"/>
        </w:trPr>
        <w:tc>
          <w:tcPr>
            <w:tcW w:w="71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Total Bloomin’ Brands stockholders’ equity</w:t>
            </w:r>
          </w:p>
        </w:tc>
        <w:tc>
          <w:tcPr>
            <w:tcW w:w="34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21,110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170,342</w:t>
            </w:r>
          </w:p>
        </w:tc>
        <w:tc>
          <w:tcPr>
            <w:tcW w:w="0" w:type="dxa"/>
            <w:vAlign w:val="bottom"/>
          </w:tcPr>
          <w:p>
            <w:pPr>
              <w:spacing w:after="0"/>
              <w:rPr>
                <w:sz w:val="1"/>
                <w:szCs w:val="1"/>
                <w:color w:val="auto"/>
              </w:rPr>
            </w:pPr>
          </w:p>
        </w:tc>
      </w:tr>
      <w:tr>
        <w:trPr>
          <w:trHeight w:val="270"/>
        </w:trPr>
        <w:tc>
          <w:tcPr>
            <w:tcW w:w="71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Noncontrolling interests</w:t>
            </w:r>
          </w:p>
        </w:tc>
        <w:tc>
          <w:tcPr>
            <w:tcW w:w="34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8,088</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7,139</w:t>
            </w:r>
          </w:p>
        </w:tc>
        <w:tc>
          <w:tcPr>
            <w:tcW w:w="0" w:type="dxa"/>
            <w:vAlign w:val="bottom"/>
          </w:tcPr>
          <w:p>
            <w:pPr>
              <w:spacing w:after="0"/>
              <w:rPr>
                <w:sz w:val="1"/>
                <w:szCs w:val="1"/>
                <w:color w:val="auto"/>
              </w:rPr>
            </w:pPr>
          </w:p>
        </w:tc>
      </w:tr>
      <w:tr>
        <w:trPr>
          <w:trHeight w:val="257"/>
        </w:trPr>
        <w:tc>
          <w:tcPr>
            <w:tcW w:w="71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Total stockholders’ equity</w:t>
            </w:r>
          </w:p>
        </w:tc>
        <w:tc>
          <w:tcPr>
            <w:tcW w:w="340" w:type="dxa"/>
            <w:vAlign w:val="bottom"/>
            <w:tcBorders>
              <w:bottom w:val="single" w:sz="8" w:color="auto"/>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29,198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7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177,481</w:t>
            </w:r>
          </w:p>
        </w:tc>
        <w:tc>
          <w:tcPr>
            <w:tcW w:w="0" w:type="dxa"/>
            <w:vAlign w:val="bottom"/>
          </w:tcPr>
          <w:p>
            <w:pPr>
              <w:spacing w:after="0"/>
              <w:rPr>
                <w:sz w:val="1"/>
                <w:szCs w:val="1"/>
                <w:color w:val="auto"/>
              </w:rPr>
            </w:pPr>
          </w:p>
        </w:tc>
      </w:tr>
      <w:tr>
        <w:trPr>
          <w:trHeight w:val="253"/>
        </w:trPr>
        <w:tc>
          <w:tcPr>
            <w:tcW w:w="7120" w:type="dxa"/>
            <w:vAlign w:val="bottom"/>
          </w:tcPr>
          <w:p>
            <w:pPr>
              <w:ind w:left="780"/>
              <w:spacing w:after="0"/>
              <w:rPr>
                <w:sz w:val="20"/>
                <w:szCs w:val="20"/>
                <w:color w:val="auto"/>
              </w:rPr>
            </w:pPr>
            <w:r>
              <w:rPr>
                <w:rFonts w:ascii="Arial" w:cs="Arial" w:eastAsia="Arial" w:hAnsi="Arial"/>
                <w:sz w:val="16"/>
                <w:szCs w:val="16"/>
                <w:color w:val="auto"/>
              </w:rPr>
              <w:t>Total liabilities and stockholders’ equity</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3,433,575</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3,592,683</w:t>
            </w:r>
          </w:p>
        </w:tc>
        <w:tc>
          <w:tcPr>
            <w:tcW w:w="0" w:type="dxa"/>
            <w:vAlign w:val="bottom"/>
          </w:tcPr>
          <w:p>
            <w:pPr>
              <w:spacing w:after="0"/>
              <w:rPr>
                <w:sz w:val="1"/>
                <w:szCs w:val="1"/>
                <w:color w:val="auto"/>
              </w:rPr>
            </w:pPr>
          </w:p>
        </w:tc>
      </w:tr>
      <w:tr>
        <w:trPr>
          <w:trHeight w:val="24"/>
        </w:trPr>
        <w:tc>
          <w:tcPr>
            <w:tcW w:w="7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accompanying notes are an integral part of these consolidated financial statements.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 w:name="page5"/>
    <w:bookmarkEnd w:id="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OPERATIONS AND COMPREHENSIVE (LOSS) INCOME</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DATA, UNAUDITED)</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9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4"/>
          </w:tcPr>
          <w:p>
            <w:pPr>
              <w:jc w:val="right"/>
              <w:ind w:right="539"/>
              <w:spacing w:after="0"/>
              <w:rPr>
                <w:sz w:val="20"/>
                <w:szCs w:val="20"/>
                <w:color w:val="auto"/>
              </w:rPr>
            </w:pPr>
            <w:r>
              <w:rPr>
                <w:rFonts w:ascii="Arial" w:cs="Arial" w:eastAsia="Arial" w:hAnsi="Arial"/>
                <w:sz w:val="14"/>
                <w:szCs w:val="14"/>
                <w:b w:val="1"/>
                <w:bCs w:val="1"/>
                <w:color w:val="auto"/>
              </w:rPr>
              <w:t>THIRTEEN WEEKS ENDED</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4"/>
          </w:tcPr>
          <w:p>
            <w:pPr>
              <w:jc w:val="right"/>
              <w:ind w:right="459"/>
              <w:spacing w:after="0"/>
              <w:rPr>
                <w:sz w:val="20"/>
                <w:szCs w:val="20"/>
                <w:color w:val="auto"/>
              </w:rPr>
            </w:pPr>
            <w:r>
              <w:rPr>
                <w:rFonts w:ascii="Arial" w:cs="Arial" w:eastAsia="Arial" w:hAnsi="Arial"/>
                <w:sz w:val="14"/>
                <w:szCs w:val="14"/>
                <w:b w:val="1"/>
                <w:bCs w:val="1"/>
                <w:color w:val="auto"/>
              </w:rPr>
              <w:t>TWENTY-SIX WEEKS ENDED</w:t>
            </w:r>
          </w:p>
        </w:tc>
        <w:tc>
          <w:tcPr>
            <w:tcW w:w="0" w:type="dxa"/>
            <w:vAlign w:val="bottom"/>
          </w:tcPr>
          <w:p>
            <w:pPr>
              <w:spacing w:after="0"/>
              <w:rPr>
                <w:sz w:val="1"/>
                <w:szCs w:val="1"/>
                <w:color w:val="auto"/>
              </w:rPr>
            </w:pPr>
          </w:p>
        </w:tc>
      </w:tr>
      <w:tr>
        <w:trPr>
          <w:trHeight w:val="209"/>
        </w:trPr>
        <w:tc>
          <w:tcPr>
            <w:tcW w:w="4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28, 2020</w:t>
            </w:r>
          </w:p>
        </w:tc>
        <w:tc>
          <w:tcPr>
            <w:tcW w:w="200" w:type="dxa"/>
            <w:vAlign w:val="bottom"/>
          </w:tcPr>
          <w:p>
            <w:pPr>
              <w:spacing w:after="0"/>
              <w:rPr>
                <w:sz w:val="18"/>
                <w:szCs w:val="18"/>
                <w:color w:val="auto"/>
              </w:rPr>
            </w:pPr>
          </w:p>
        </w:tc>
        <w:tc>
          <w:tcPr>
            <w:tcW w:w="142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2019</w:t>
            </w:r>
          </w:p>
        </w:tc>
        <w:tc>
          <w:tcPr>
            <w:tcW w:w="200" w:type="dxa"/>
            <w:vAlign w:val="bottom"/>
          </w:tcPr>
          <w:p>
            <w:pPr>
              <w:spacing w:after="0"/>
              <w:rPr>
                <w:sz w:val="18"/>
                <w:szCs w:val="18"/>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28, 2020</w:t>
            </w:r>
          </w:p>
        </w:tc>
        <w:tc>
          <w:tcPr>
            <w:tcW w:w="200" w:type="dxa"/>
            <w:vAlign w:val="bottom"/>
          </w:tcPr>
          <w:p>
            <w:pPr>
              <w:spacing w:after="0"/>
              <w:rPr>
                <w:sz w:val="18"/>
                <w:szCs w:val="18"/>
                <w:color w:val="auto"/>
              </w:rPr>
            </w:pPr>
          </w:p>
        </w:tc>
        <w:tc>
          <w:tcPr>
            <w:tcW w:w="1300" w:type="dxa"/>
            <w:vAlign w:val="bottom"/>
          </w:tcPr>
          <w:p>
            <w:pPr>
              <w:jc w:val="right"/>
              <w:ind w:right="219"/>
              <w:spacing w:after="0"/>
              <w:rPr>
                <w:sz w:val="20"/>
                <w:szCs w:val="20"/>
                <w:color w:val="auto"/>
              </w:rPr>
            </w:pPr>
            <w:r>
              <w:rPr>
                <w:rFonts w:ascii="Arial" w:cs="Arial" w:eastAsia="Arial" w:hAnsi="Arial"/>
                <w:sz w:val="14"/>
                <w:szCs w:val="14"/>
                <w:b w:val="1"/>
                <w:bCs w:val="1"/>
                <w:color w:val="auto"/>
              </w:rPr>
              <w:t>JUNE 30, 2019</w:t>
            </w:r>
          </w:p>
        </w:tc>
        <w:tc>
          <w:tcPr>
            <w:tcW w:w="0" w:type="dxa"/>
            <w:vAlign w:val="bottom"/>
          </w:tcPr>
          <w:p>
            <w:pPr>
              <w:spacing w:after="0"/>
              <w:rPr>
                <w:sz w:val="1"/>
                <w:szCs w:val="1"/>
                <w:color w:val="auto"/>
              </w:rPr>
            </w:pPr>
          </w:p>
        </w:tc>
      </w:tr>
      <w:tr>
        <w:trPr>
          <w:trHeight w:val="237"/>
        </w:trPr>
        <w:tc>
          <w:tcPr>
            <w:tcW w:w="4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920" w:type="dxa"/>
            <w:vAlign w:val="bottom"/>
          </w:tcPr>
          <w:p>
            <w:pPr>
              <w:ind w:left="120"/>
              <w:spacing w:after="0"/>
              <w:rPr>
                <w:sz w:val="20"/>
                <w:szCs w:val="20"/>
                <w:color w:val="auto"/>
              </w:rPr>
            </w:pPr>
            <w:r>
              <w:rPr>
                <w:rFonts w:ascii="Arial" w:cs="Arial" w:eastAsia="Arial" w:hAnsi="Arial"/>
                <w:sz w:val="16"/>
                <w:szCs w:val="16"/>
                <w:color w:val="auto"/>
              </w:rPr>
              <w:t>Restaurant sales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60"/>
              <w:spacing w:after="0"/>
              <w:rPr>
                <w:sz w:val="20"/>
                <w:szCs w:val="20"/>
                <w:color w:val="auto"/>
              </w:rPr>
            </w:pPr>
            <w:r>
              <w:rPr>
                <w:rFonts w:ascii="Arial" w:cs="Arial" w:eastAsia="Arial" w:hAnsi="Arial"/>
                <w:sz w:val="16"/>
                <w:szCs w:val="16"/>
                <w:color w:val="auto"/>
              </w:rPr>
              <w:t>576,261</w:t>
            </w:r>
          </w:p>
        </w:tc>
        <w:tc>
          <w:tcPr>
            <w:tcW w:w="10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1,005,687</w:t>
            </w:r>
          </w:p>
        </w:tc>
        <w:tc>
          <w:tcPr>
            <w:tcW w:w="12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1,572,498</w:t>
            </w:r>
          </w:p>
        </w:tc>
        <w:tc>
          <w:tcPr>
            <w:tcW w:w="10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2,117,329</w:t>
            </w: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49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Franchise and other revenues</w:t>
            </w:r>
          </w:p>
        </w:tc>
        <w:tc>
          <w:tcPr>
            <w:tcW w:w="2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2,198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16,243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14,298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32,732</w:t>
            </w:r>
          </w:p>
        </w:tc>
        <w:tc>
          <w:tcPr>
            <w:tcW w:w="0" w:type="dxa"/>
            <w:vAlign w:val="bottom"/>
          </w:tcPr>
          <w:p>
            <w:pPr>
              <w:spacing w:after="0"/>
              <w:rPr>
                <w:sz w:val="1"/>
                <w:szCs w:val="1"/>
                <w:color w:val="auto"/>
              </w:rPr>
            </w:pPr>
          </w:p>
        </w:tc>
      </w:tr>
      <w:tr>
        <w:trPr>
          <w:trHeight w:val="270"/>
        </w:trPr>
        <w:tc>
          <w:tcPr>
            <w:tcW w:w="4920" w:type="dxa"/>
            <w:vAlign w:val="bottom"/>
            <w:tcBorders>
              <w:bottom w:val="single" w:sz="8" w:color="CCEEFF"/>
            </w:tcBorders>
          </w:tcPr>
          <w:p>
            <w:pPr>
              <w:ind w:left="780"/>
              <w:spacing w:after="0"/>
              <w:rPr>
                <w:sz w:val="20"/>
                <w:szCs w:val="20"/>
                <w:color w:val="auto"/>
              </w:rPr>
            </w:pPr>
            <w:r>
              <w:rPr>
                <w:rFonts w:ascii="Arial" w:cs="Arial" w:eastAsia="Arial" w:hAnsi="Arial"/>
                <w:sz w:val="16"/>
                <w:szCs w:val="16"/>
                <w:color w:val="auto"/>
              </w:rPr>
              <w:t>Total revenues</w:t>
            </w:r>
          </w:p>
        </w:tc>
        <w:tc>
          <w:tcPr>
            <w:tcW w:w="2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578,459</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1,021,930</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1,586,796</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2,150,061</w:t>
            </w:r>
          </w:p>
        </w:tc>
        <w:tc>
          <w:tcPr>
            <w:tcW w:w="0" w:type="dxa"/>
            <w:vAlign w:val="bottom"/>
          </w:tcPr>
          <w:p>
            <w:pPr>
              <w:spacing w:after="0"/>
              <w:rPr>
                <w:sz w:val="1"/>
                <w:szCs w:val="1"/>
                <w:color w:val="auto"/>
              </w:rPr>
            </w:pPr>
          </w:p>
        </w:tc>
      </w:tr>
      <w:tr>
        <w:trPr>
          <w:trHeight w:val="230"/>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Costs and expenses</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920" w:type="dxa"/>
            <w:vAlign w:val="bottom"/>
          </w:tcPr>
          <w:p>
            <w:pPr>
              <w:ind w:left="120"/>
              <w:spacing w:after="0"/>
              <w:rPr>
                <w:sz w:val="20"/>
                <w:szCs w:val="20"/>
                <w:color w:val="auto"/>
              </w:rPr>
            </w:pPr>
            <w:r>
              <w:rPr>
                <w:rFonts w:ascii="Arial" w:cs="Arial" w:eastAsia="Arial" w:hAnsi="Arial"/>
                <w:sz w:val="16"/>
                <w:szCs w:val="16"/>
                <w:color w:val="auto"/>
              </w:rPr>
              <w:t>Cost of sales</w:t>
            </w:r>
          </w:p>
        </w:tc>
        <w:tc>
          <w:tcPr>
            <w:tcW w:w="200" w:type="dxa"/>
            <w:vAlign w:val="bottom"/>
          </w:tcPr>
          <w:p>
            <w:pPr>
              <w:spacing w:after="0"/>
              <w:rPr>
                <w:sz w:val="19"/>
                <w:szCs w:val="19"/>
                <w:color w:val="auto"/>
              </w:rPr>
            </w:pPr>
          </w:p>
        </w:tc>
        <w:tc>
          <w:tcPr>
            <w:tcW w:w="1300" w:type="dxa"/>
            <w:vAlign w:val="bottom"/>
          </w:tcPr>
          <w:p>
            <w:pPr>
              <w:jc w:val="right"/>
              <w:ind w:right="60"/>
              <w:spacing w:after="0"/>
              <w:rPr>
                <w:sz w:val="20"/>
                <w:szCs w:val="20"/>
                <w:color w:val="auto"/>
              </w:rPr>
            </w:pPr>
            <w:r>
              <w:rPr>
                <w:rFonts w:ascii="Arial" w:cs="Arial" w:eastAsia="Arial" w:hAnsi="Arial"/>
                <w:sz w:val="16"/>
                <w:szCs w:val="16"/>
                <w:color w:val="auto"/>
              </w:rPr>
              <w:t>180,758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312,679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500,451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664,790</w:t>
            </w: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9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Labor and other related</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205,537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301,213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514,806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620,228</w:t>
            </w:r>
          </w:p>
        </w:tc>
        <w:tc>
          <w:tcPr>
            <w:tcW w:w="0" w:type="dxa"/>
            <w:vAlign w:val="bottom"/>
          </w:tcPr>
          <w:p>
            <w:pPr>
              <w:spacing w:after="0"/>
              <w:rPr>
                <w:sz w:val="1"/>
                <w:szCs w:val="1"/>
                <w:color w:val="auto"/>
              </w:rPr>
            </w:pPr>
          </w:p>
        </w:tc>
      </w:tr>
      <w:tr>
        <w:trPr>
          <w:trHeight w:val="223"/>
        </w:trPr>
        <w:tc>
          <w:tcPr>
            <w:tcW w:w="4920" w:type="dxa"/>
            <w:vAlign w:val="bottom"/>
          </w:tcPr>
          <w:p>
            <w:pPr>
              <w:ind w:left="120"/>
              <w:spacing w:after="0"/>
              <w:rPr>
                <w:sz w:val="20"/>
                <w:szCs w:val="20"/>
                <w:color w:val="auto"/>
              </w:rPr>
            </w:pPr>
            <w:r>
              <w:rPr>
                <w:rFonts w:ascii="Arial" w:cs="Arial" w:eastAsia="Arial" w:hAnsi="Arial"/>
                <w:sz w:val="16"/>
                <w:szCs w:val="16"/>
                <w:color w:val="auto"/>
              </w:rPr>
              <w:t>Other restaurant operating</w:t>
            </w:r>
          </w:p>
        </w:tc>
        <w:tc>
          <w:tcPr>
            <w:tcW w:w="200" w:type="dxa"/>
            <w:vAlign w:val="bottom"/>
          </w:tcPr>
          <w:p>
            <w:pPr>
              <w:spacing w:after="0"/>
              <w:rPr>
                <w:sz w:val="19"/>
                <w:szCs w:val="19"/>
                <w:color w:val="auto"/>
              </w:rPr>
            </w:pPr>
          </w:p>
        </w:tc>
        <w:tc>
          <w:tcPr>
            <w:tcW w:w="1300" w:type="dxa"/>
            <w:vAlign w:val="bottom"/>
          </w:tcPr>
          <w:p>
            <w:pPr>
              <w:jc w:val="right"/>
              <w:ind w:right="60"/>
              <w:spacing w:after="0"/>
              <w:rPr>
                <w:sz w:val="20"/>
                <w:szCs w:val="20"/>
                <w:color w:val="auto"/>
              </w:rPr>
            </w:pPr>
            <w:r>
              <w:rPr>
                <w:rFonts w:ascii="Arial" w:cs="Arial" w:eastAsia="Arial" w:hAnsi="Arial"/>
                <w:sz w:val="16"/>
                <w:szCs w:val="16"/>
                <w:color w:val="auto"/>
              </w:rPr>
              <w:t>177,846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240,895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424,401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491,749</w:t>
            </w: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9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Depreciation and amortization</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45,784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49,788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94,052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99,270</w:t>
            </w:r>
          </w:p>
        </w:tc>
        <w:tc>
          <w:tcPr>
            <w:tcW w:w="0" w:type="dxa"/>
            <w:vAlign w:val="bottom"/>
          </w:tcPr>
          <w:p>
            <w:pPr>
              <w:spacing w:after="0"/>
              <w:rPr>
                <w:sz w:val="1"/>
                <w:szCs w:val="1"/>
                <w:color w:val="auto"/>
              </w:rPr>
            </w:pPr>
          </w:p>
        </w:tc>
      </w:tr>
      <w:tr>
        <w:trPr>
          <w:trHeight w:val="224"/>
        </w:trPr>
        <w:tc>
          <w:tcPr>
            <w:tcW w:w="4920" w:type="dxa"/>
            <w:vAlign w:val="bottom"/>
          </w:tcPr>
          <w:p>
            <w:pPr>
              <w:ind w:left="120"/>
              <w:spacing w:after="0"/>
              <w:rPr>
                <w:sz w:val="20"/>
                <w:szCs w:val="20"/>
                <w:color w:val="auto"/>
              </w:rPr>
            </w:pPr>
            <w:r>
              <w:rPr>
                <w:rFonts w:ascii="Arial" w:cs="Arial" w:eastAsia="Arial" w:hAnsi="Arial"/>
                <w:sz w:val="16"/>
                <w:szCs w:val="16"/>
                <w:color w:val="auto"/>
              </w:rPr>
              <w:t>General and administrative</w:t>
            </w:r>
          </w:p>
        </w:tc>
        <w:tc>
          <w:tcPr>
            <w:tcW w:w="200" w:type="dxa"/>
            <w:vAlign w:val="bottom"/>
          </w:tcPr>
          <w:p>
            <w:pPr>
              <w:spacing w:after="0"/>
              <w:rPr>
                <w:sz w:val="19"/>
                <w:szCs w:val="19"/>
                <w:color w:val="auto"/>
              </w:rPr>
            </w:pPr>
          </w:p>
        </w:tc>
        <w:tc>
          <w:tcPr>
            <w:tcW w:w="1300" w:type="dxa"/>
            <w:vAlign w:val="bottom"/>
          </w:tcPr>
          <w:p>
            <w:pPr>
              <w:jc w:val="right"/>
              <w:ind w:right="60"/>
              <w:spacing w:after="0"/>
              <w:rPr>
                <w:sz w:val="20"/>
                <w:szCs w:val="20"/>
                <w:color w:val="auto"/>
              </w:rPr>
            </w:pPr>
            <w:r>
              <w:rPr>
                <w:rFonts w:ascii="Arial" w:cs="Arial" w:eastAsia="Arial" w:hAnsi="Arial"/>
                <w:sz w:val="16"/>
                <w:szCs w:val="16"/>
                <w:color w:val="auto"/>
              </w:rPr>
              <w:t>55,487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71,955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ind w:right="80"/>
              <w:spacing w:after="0"/>
              <w:rPr>
                <w:sz w:val="20"/>
                <w:szCs w:val="20"/>
                <w:color w:val="auto"/>
              </w:rPr>
            </w:pPr>
            <w:r>
              <w:rPr>
                <w:rFonts w:ascii="Arial" w:cs="Arial" w:eastAsia="Arial" w:hAnsi="Arial"/>
                <w:sz w:val="16"/>
                <w:szCs w:val="16"/>
                <w:color w:val="auto"/>
              </w:rPr>
              <w:t>140,289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142,544</w:t>
            </w: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49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Provision for impaired assets and restaurant closings</w:t>
            </w:r>
          </w:p>
        </w:tc>
        <w:tc>
          <w:tcPr>
            <w:tcW w:w="2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24,959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1,940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66,277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5,526</w:t>
            </w:r>
          </w:p>
        </w:tc>
        <w:tc>
          <w:tcPr>
            <w:tcW w:w="0" w:type="dxa"/>
            <w:vAlign w:val="bottom"/>
          </w:tcPr>
          <w:p>
            <w:pPr>
              <w:spacing w:after="0"/>
              <w:rPr>
                <w:sz w:val="1"/>
                <w:szCs w:val="1"/>
                <w:color w:val="auto"/>
              </w:rPr>
            </w:pPr>
          </w:p>
        </w:tc>
      </w:tr>
      <w:tr>
        <w:trPr>
          <w:trHeight w:val="270"/>
        </w:trPr>
        <w:tc>
          <w:tcPr>
            <w:tcW w:w="4920" w:type="dxa"/>
            <w:vAlign w:val="bottom"/>
            <w:tcBorders>
              <w:bottom w:val="single" w:sz="8" w:color="CCEEFF"/>
            </w:tcBorders>
          </w:tcPr>
          <w:p>
            <w:pPr>
              <w:ind w:left="780"/>
              <w:spacing w:after="0"/>
              <w:rPr>
                <w:sz w:val="20"/>
                <w:szCs w:val="20"/>
                <w:color w:val="auto"/>
              </w:rPr>
            </w:pPr>
            <w:r>
              <w:rPr>
                <w:rFonts w:ascii="Arial" w:cs="Arial" w:eastAsia="Arial" w:hAnsi="Arial"/>
                <w:sz w:val="16"/>
                <w:szCs w:val="16"/>
                <w:color w:val="auto"/>
              </w:rPr>
              <w:t>Total costs and expenses</w:t>
            </w:r>
          </w:p>
        </w:tc>
        <w:tc>
          <w:tcPr>
            <w:tcW w:w="2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690,371</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978,470</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1,740,276</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2,024,107</w:t>
            </w:r>
          </w:p>
        </w:tc>
        <w:tc>
          <w:tcPr>
            <w:tcW w:w="0" w:type="dxa"/>
            <w:vAlign w:val="bottom"/>
          </w:tcPr>
          <w:p>
            <w:pPr>
              <w:spacing w:after="0"/>
              <w:rPr>
                <w:sz w:val="1"/>
                <w:szCs w:val="1"/>
                <w:color w:val="auto"/>
              </w:rPr>
            </w:pPr>
          </w:p>
        </w:tc>
      </w:tr>
      <w:tr>
        <w:trPr>
          <w:trHeight w:val="230"/>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(Loss) income from operations</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(111,912)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43,460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(153,480)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125,954</w:t>
            </w:r>
          </w:p>
        </w:tc>
        <w:tc>
          <w:tcPr>
            <w:tcW w:w="0" w:type="dxa"/>
            <w:vAlign w:val="bottom"/>
          </w:tcPr>
          <w:p>
            <w:pPr>
              <w:spacing w:after="0"/>
              <w:rPr>
                <w:sz w:val="1"/>
                <w:szCs w:val="1"/>
                <w:color w:val="auto"/>
              </w:rPr>
            </w:pPr>
          </w:p>
        </w:tc>
      </w:tr>
      <w:tr>
        <w:trPr>
          <w:trHeight w:val="224"/>
        </w:trPr>
        <w:tc>
          <w:tcPr>
            <w:tcW w:w="4920" w:type="dxa"/>
            <w:vAlign w:val="bottom"/>
          </w:tcPr>
          <w:p>
            <w:pPr>
              <w:ind w:left="20"/>
              <w:spacing w:after="0"/>
              <w:rPr>
                <w:sz w:val="20"/>
                <w:szCs w:val="20"/>
                <w:color w:val="auto"/>
              </w:rPr>
            </w:pPr>
            <w:r>
              <w:rPr>
                <w:rFonts w:ascii="Arial" w:cs="Arial" w:eastAsia="Arial" w:hAnsi="Arial"/>
                <w:sz w:val="16"/>
                <w:szCs w:val="16"/>
                <w:color w:val="auto"/>
              </w:rPr>
              <w:t>Loss on modification of debt</w:t>
            </w:r>
          </w:p>
        </w:tc>
        <w:tc>
          <w:tcPr>
            <w:tcW w:w="200" w:type="dxa"/>
            <w:vAlign w:val="bottom"/>
          </w:tcPr>
          <w:p>
            <w:pPr>
              <w:spacing w:after="0"/>
              <w:rPr>
                <w:sz w:val="19"/>
                <w:szCs w:val="19"/>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(237)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(237)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581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r>
        <w:trPr>
          <w:trHeight w:val="270"/>
        </w:trPr>
        <w:tc>
          <w:tcPr>
            <w:tcW w:w="49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expense, net</w:t>
            </w:r>
          </w:p>
        </w:tc>
        <w:tc>
          <w:tcPr>
            <w:tcW w:w="2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(16,639)</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(12,448)</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(28,347)</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(23,629)</w:t>
            </w:r>
          </w:p>
        </w:tc>
        <w:tc>
          <w:tcPr>
            <w:tcW w:w="0" w:type="dxa"/>
            <w:vAlign w:val="bottom"/>
          </w:tcPr>
          <w:p>
            <w:pPr>
              <w:spacing w:after="0"/>
              <w:rPr>
                <w:sz w:val="1"/>
                <w:szCs w:val="1"/>
                <w:color w:val="auto"/>
              </w:rPr>
            </w:pPr>
          </w:p>
        </w:tc>
      </w:tr>
      <w:tr>
        <w:trPr>
          <w:trHeight w:val="230"/>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(Loss) income before (benefit) provision for income taxes</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(128,207)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31,024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(182,276)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102,169</w:t>
            </w:r>
          </w:p>
        </w:tc>
        <w:tc>
          <w:tcPr>
            <w:tcW w:w="0" w:type="dxa"/>
            <w:vAlign w:val="bottom"/>
          </w:tcPr>
          <w:p>
            <w:pPr>
              <w:spacing w:after="0"/>
              <w:rPr>
                <w:sz w:val="1"/>
                <w:szCs w:val="1"/>
                <w:color w:val="auto"/>
              </w:rPr>
            </w:pPr>
          </w:p>
        </w:tc>
      </w:tr>
      <w:tr>
        <w:trPr>
          <w:trHeight w:val="270"/>
        </w:trPr>
        <w:tc>
          <w:tcPr>
            <w:tcW w:w="49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(Benefit) provision for income taxes</w:t>
            </w:r>
          </w:p>
        </w:tc>
        <w:tc>
          <w:tcPr>
            <w:tcW w:w="2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(35,779)</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1,215</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(55,434)</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6,711</w:t>
            </w:r>
          </w:p>
        </w:tc>
        <w:tc>
          <w:tcPr>
            <w:tcW w:w="0" w:type="dxa"/>
            <w:vAlign w:val="bottom"/>
          </w:tcPr>
          <w:p>
            <w:pPr>
              <w:spacing w:after="0"/>
              <w:rPr>
                <w:sz w:val="1"/>
                <w:szCs w:val="1"/>
                <w:color w:val="auto"/>
              </w:rPr>
            </w:pPr>
          </w:p>
        </w:tc>
      </w:tr>
      <w:tr>
        <w:trPr>
          <w:trHeight w:val="230"/>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income</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(92,428)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29,809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(126,842)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95,458</w:t>
            </w:r>
          </w:p>
        </w:tc>
        <w:tc>
          <w:tcPr>
            <w:tcW w:w="0" w:type="dxa"/>
            <w:vAlign w:val="bottom"/>
          </w:tcPr>
          <w:p>
            <w:pPr>
              <w:spacing w:after="0"/>
              <w:rPr>
                <w:sz w:val="1"/>
                <w:szCs w:val="1"/>
                <w:color w:val="auto"/>
              </w:rPr>
            </w:pPr>
          </w:p>
        </w:tc>
      </w:tr>
      <w:tr>
        <w:trPr>
          <w:trHeight w:val="270"/>
        </w:trPr>
        <w:tc>
          <w:tcPr>
            <w:tcW w:w="49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net (loss) income attributable to noncontrolling interests</w:t>
            </w:r>
          </w:p>
        </w:tc>
        <w:tc>
          <w:tcPr>
            <w:tcW w:w="2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(172)</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788</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2,137</w:t>
            </w:r>
          </w:p>
        </w:tc>
        <w:tc>
          <w:tcPr>
            <w:tcW w:w="0" w:type="dxa"/>
            <w:vAlign w:val="bottom"/>
          </w:tcPr>
          <w:p>
            <w:pPr>
              <w:spacing w:after="0"/>
              <w:rPr>
                <w:sz w:val="1"/>
                <w:szCs w:val="1"/>
                <w:color w:val="auto"/>
              </w:rPr>
            </w:pPr>
          </w:p>
        </w:tc>
      </w:tr>
      <w:tr>
        <w:trPr>
          <w:trHeight w:val="257"/>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income attributable to Bloomin’ Brands</w:t>
            </w:r>
          </w:p>
        </w:tc>
        <w:tc>
          <w:tcPr>
            <w:tcW w:w="2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(92,256)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29,021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(126,867)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93,321</w:t>
            </w:r>
          </w:p>
        </w:tc>
        <w:tc>
          <w:tcPr>
            <w:tcW w:w="0" w:type="dxa"/>
            <w:vAlign w:val="bottom"/>
          </w:tcPr>
          <w:p>
            <w:pPr>
              <w:spacing w:after="0"/>
              <w:rPr>
                <w:sz w:val="1"/>
                <w:szCs w:val="1"/>
                <w:color w:val="auto"/>
              </w:rPr>
            </w:pPr>
          </w:p>
        </w:tc>
      </w:tr>
      <w:tr>
        <w:trPr>
          <w:trHeight w:val="270"/>
        </w:trPr>
        <w:tc>
          <w:tcPr>
            <w:tcW w:w="4920" w:type="dxa"/>
            <w:vAlign w:val="bottom"/>
          </w:tcPr>
          <w:p>
            <w:pPr>
              <w:ind w:left="20"/>
              <w:spacing w:after="0"/>
              <w:rPr>
                <w:sz w:val="20"/>
                <w:szCs w:val="20"/>
                <w:color w:val="auto"/>
              </w:rPr>
            </w:pPr>
            <w:r>
              <w:rPr>
                <w:rFonts w:ascii="Arial" w:cs="Arial" w:eastAsia="Arial" w:hAnsi="Arial"/>
                <w:sz w:val="16"/>
                <w:szCs w:val="16"/>
                <w:color w:val="auto"/>
              </w:rPr>
              <w:t>Redemption of preferred stock in excess of carrying value</w:t>
            </w:r>
          </w:p>
        </w:tc>
        <w:tc>
          <w:tcPr>
            <w:tcW w:w="200" w:type="dxa"/>
            <w:vAlign w:val="bottom"/>
          </w:tcPr>
          <w:p>
            <w:pPr>
              <w:spacing w:after="0"/>
              <w:rPr>
                <w:sz w:val="23"/>
                <w:szCs w:val="23"/>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(3,496)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2"/>
        </w:trPr>
        <w:tc>
          <w:tcPr>
            <w:tcW w:w="4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income attributable to common stockholders</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(92,256)</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29,021</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(130,363)</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93,321</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income</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(92,428)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29,809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(126,842)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95,458</w:t>
            </w:r>
          </w:p>
        </w:tc>
        <w:tc>
          <w:tcPr>
            <w:tcW w:w="0" w:type="dxa"/>
            <w:vAlign w:val="bottom"/>
          </w:tcPr>
          <w:p>
            <w:pPr>
              <w:spacing w:after="0"/>
              <w:rPr>
                <w:sz w:val="1"/>
                <w:szCs w:val="1"/>
                <w:color w:val="auto"/>
              </w:rPr>
            </w:pPr>
          </w:p>
        </w:tc>
      </w:tr>
      <w:tr>
        <w:trPr>
          <w:trHeight w:val="224"/>
        </w:trPr>
        <w:tc>
          <w:tcPr>
            <w:tcW w:w="4920" w:type="dxa"/>
            <w:vAlign w:val="bottom"/>
          </w:tcPr>
          <w:p>
            <w:pPr>
              <w:ind w:left="20"/>
              <w:spacing w:after="0"/>
              <w:rPr>
                <w:sz w:val="20"/>
                <w:szCs w:val="20"/>
                <w:color w:val="auto"/>
              </w:rPr>
            </w:pPr>
            <w:r>
              <w:rPr>
                <w:rFonts w:ascii="Arial" w:cs="Arial" w:eastAsia="Arial" w:hAnsi="Arial"/>
                <w:sz w:val="16"/>
                <w:szCs w:val="16"/>
                <w:color w:val="auto"/>
              </w:rPr>
              <w:t>Other comprehensive (loss) income:</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9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Foreign currency translation adjustment</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(29,146)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(8,476)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(37,107)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(2,721)</w:t>
            </w:r>
          </w:p>
        </w:tc>
        <w:tc>
          <w:tcPr>
            <w:tcW w:w="0" w:type="dxa"/>
            <w:vAlign w:val="bottom"/>
          </w:tcPr>
          <w:p>
            <w:pPr>
              <w:spacing w:after="0"/>
              <w:rPr>
                <w:sz w:val="1"/>
                <w:szCs w:val="1"/>
                <w:color w:val="auto"/>
              </w:rPr>
            </w:pPr>
          </w:p>
        </w:tc>
      </w:tr>
      <w:tr>
        <w:trPr>
          <w:trHeight w:val="223"/>
        </w:trPr>
        <w:tc>
          <w:tcPr>
            <w:tcW w:w="4920" w:type="dxa"/>
            <w:vAlign w:val="bottom"/>
          </w:tcPr>
          <w:p>
            <w:pPr>
              <w:ind w:left="120"/>
              <w:spacing w:after="0"/>
              <w:rPr>
                <w:sz w:val="20"/>
                <w:szCs w:val="20"/>
                <w:color w:val="auto"/>
              </w:rPr>
            </w:pPr>
            <w:r>
              <w:rPr>
                <w:rFonts w:ascii="Arial" w:cs="Arial" w:eastAsia="Arial" w:hAnsi="Arial"/>
                <w:sz w:val="16"/>
                <w:szCs w:val="16"/>
                <w:color w:val="auto"/>
              </w:rPr>
              <w:t>Unrealized loss on derivatives, net of tax</w:t>
            </w:r>
          </w:p>
        </w:tc>
        <w:tc>
          <w:tcPr>
            <w:tcW w:w="200" w:type="dxa"/>
            <w:vAlign w:val="bottom"/>
          </w:tcPr>
          <w:p>
            <w:pPr>
              <w:spacing w:after="0"/>
              <w:rPr>
                <w:sz w:val="19"/>
                <w:szCs w:val="19"/>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(1,556)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(7,239)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(14,892)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(11,620)</w:t>
            </w: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92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6"/>
              </w:rPr>
              <w:t>Reclassification of adjustment for loss (gain) on derivatives included in</w:t>
            </w:r>
          </w:p>
        </w:tc>
        <w:tc>
          <w:tcPr>
            <w:tcW w:w="200" w:type="dxa"/>
            <w:vAlign w:val="bottom"/>
            <w:shd w:val="clear" w:color="auto" w:fill="CCEEFF"/>
          </w:tcPr>
          <w:p>
            <w:pPr>
              <w:spacing w:after="0"/>
              <w:rPr>
                <w:sz w:val="19"/>
                <w:szCs w:val="19"/>
                <w:color w:val="auto"/>
              </w:rPr>
            </w:pPr>
          </w:p>
        </w:tc>
        <w:tc>
          <w:tcPr>
            <w:tcW w:w="1300" w:type="dxa"/>
            <w:vAlign w:val="bottom"/>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2,585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130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3,981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(234)</w:t>
            </w:r>
          </w:p>
        </w:tc>
        <w:tc>
          <w:tcPr>
            <w:tcW w:w="0" w:type="dxa"/>
            <w:vAlign w:val="bottom"/>
          </w:tcPr>
          <w:p>
            <w:pPr>
              <w:spacing w:after="0"/>
              <w:rPr>
                <w:sz w:val="1"/>
                <w:szCs w:val="1"/>
                <w:color w:val="auto"/>
              </w:rPr>
            </w:pPr>
          </w:p>
        </w:tc>
      </w:tr>
      <w:tr>
        <w:trPr>
          <w:trHeight w:val="233"/>
        </w:trPr>
        <w:tc>
          <w:tcPr>
            <w:tcW w:w="49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Net (loss) income, net of tax</w:t>
            </w:r>
          </w:p>
        </w:tc>
        <w:tc>
          <w:tcPr>
            <w:tcW w:w="20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920" w:type="dxa"/>
            <w:vAlign w:val="bottom"/>
          </w:tcPr>
          <w:p>
            <w:pPr>
              <w:ind w:left="20"/>
              <w:spacing w:after="0"/>
              <w:rPr>
                <w:sz w:val="20"/>
                <w:szCs w:val="20"/>
                <w:color w:val="auto"/>
              </w:rPr>
            </w:pPr>
            <w:r>
              <w:rPr>
                <w:rFonts w:ascii="Arial" w:cs="Arial" w:eastAsia="Arial" w:hAnsi="Arial"/>
                <w:sz w:val="16"/>
                <w:szCs w:val="16"/>
                <w:color w:val="auto"/>
              </w:rPr>
              <w:t>Comprehensive (loss) income</w:t>
            </w:r>
          </w:p>
        </w:tc>
        <w:tc>
          <w:tcPr>
            <w:tcW w:w="200" w:type="dxa"/>
            <w:vAlign w:val="bottom"/>
          </w:tcPr>
          <w:p>
            <w:pPr>
              <w:spacing w:after="0"/>
              <w:rPr>
                <w:sz w:val="19"/>
                <w:szCs w:val="19"/>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(120,545)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14,224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(174,860)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80,883</w:t>
            </w: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9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Less: comprehensive (loss) income attributable to noncontrolling</w:t>
            </w:r>
          </w:p>
        </w:tc>
        <w:tc>
          <w:tcPr>
            <w:tcW w:w="200" w:type="dxa"/>
            <w:vAlign w:val="bottom"/>
            <w:shd w:val="clear" w:color="auto" w:fill="CCEEFF"/>
          </w:tcPr>
          <w:p>
            <w:pPr>
              <w:spacing w:after="0"/>
              <w:rPr>
                <w:sz w:val="19"/>
                <w:szCs w:val="19"/>
                <w:color w:val="auto"/>
              </w:rPr>
            </w:pPr>
          </w:p>
        </w:tc>
        <w:tc>
          <w:tcPr>
            <w:tcW w:w="130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(172)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896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(639)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2,153</w:t>
            </w:r>
          </w:p>
        </w:tc>
        <w:tc>
          <w:tcPr>
            <w:tcW w:w="0" w:type="dxa"/>
            <w:vAlign w:val="bottom"/>
          </w:tcPr>
          <w:p>
            <w:pPr>
              <w:spacing w:after="0"/>
              <w:rPr>
                <w:sz w:val="1"/>
                <w:szCs w:val="1"/>
                <w:color w:val="auto"/>
              </w:rPr>
            </w:pPr>
          </w:p>
        </w:tc>
      </w:tr>
      <w:tr>
        <w:trPr>
          <w:trHeight w:val="233"/>
        </w:trPr>
        <w:tc>
          <w:tcPr>
            <w:tcW w:w="49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interests</w:t>
            </w:r>
          </w:p>
        </w:tc>
        <w:tc>
          <w:tcPr>
            <w:tcW w:w="20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920" w:type="dxa"/>
            <w:vAlign w:val="bottom"/>
          </w:tcPr>
          <w:p>
            <w:pPr>
              <w:ind w:left="20"/>
              <w:spacing w:after="0"/>
              <w:rPr>
                <w:sz w:val="20"/>
                <w:szCs w:val="20"/>
                <w:color w:val="auto"/>
              </w:rPr>
            </w:pPr>
            <w:r>
              <w:rPr>
                <w:rFonts w:ascii="Arial" w:cs="Arial" w:eastAsia="Arial" w:hAnsi="Arial"/>
                <w:sz w:val="16"/>
                <w:szCs w:val="16"/>
                <w:color w:val="auto"/>
              </w:rPr>
              <w:t>Comprehensive (loss) income attributable to Bloomin’ Brands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(120,373)</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13,328</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(174,221)</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78,730</w:t>
            </w:r>
          </w:p>
        </w:tc>
        <w:tc>
          <w:tcPr>
            <w:tcW w:w="0" w:type="dxa"/>
            <w:vAlign w:val="bottom"/>
          </w:tcPr>
          <w:p>
            <w:pPr>
              <w:spacing w:after="0"/>
              <w:rPr>
                <w:sz w:val="1"/>
                <w:szCs w:val="1"/>
                <w:color w:val="auto"/>
              </w:rPr>
            </w:pP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4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920" w:type="dxa"/>
            <w:vAlign w:val="bottom"/>
          </w:tcPr>
          <w:p>
            <w:pPr>
              <w:ind w:left="20"/>
              <w:spacing w:after="0"/>
              <w:rPr>
                <w:sz w:val="20"/>
                <w:szCs w:val="20"/>
                <w:color w:val="auto"/>
              </w:rPr>
            </w:pPr>
            <w:r>
              <w:rPr>
                <w:rFonts w:ascii="Arial" w:cs="Arial" w:eastAsia="Arial" w:hAnsi="Arial"/>
                <w:sz w:val="16"/>
                <w:szCs w:val="16"/>
                <w:color w:val="auto"/>
              </w:rPr>
              <w:t>(Loss) earnings per share attributable to common stockholders:</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8"/>
        </w:trPr>
        <w:tc>
          <w:tcPr>
            <w:tcW w:w="49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Basic</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(1.05)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0.32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(1.49)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920" w:type="dxa"/>
            <w:vAlign w:val="bottom"/>
          </w:tcPr>
          <w:p>
            <w:pPr>
              <w:ind w:left="120"/>
              <w:spacing w:after="0"/>
              <w:rPr>
                <w:sz w:val="20"/>
                <w:szCs w:val="20"/>
                <w:color w:val="auto"/>
              </w:rPr>
            </w:pPr>
            <w:r>
              <w:rPr>
                <w:rFonts w:ascii="Arial" w:cs="Arial" w:eastAsia="Arial" w:hAnsi="Arial"/>
                <w:sz w:val="16"/>
                <w:szCs w:val="16"/>
                <w:color w:val="auto"/>
              </w:rPr>
              <w:t>Diluted</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0.32</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(1.49)</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2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4920" w:type="dxa"/>
            <w:vAlign w:val="bottom"/>
          </w:tcPr>
          <w:p>
            <w:pPr>
              <w:ind w:left="120"/>
              <w:spacing w:after="0"/>
              <w:rPr>
                <w:sz w:val="20"/>
                <w:szCs w:val="20"/>
                <w:color w:val="auto"/>
              </w:rPr>
            </w:pPr>
            <w:r>
              <w:rPr>
                <w:rFonts w:ascii="Arial" w:cs="Arial" w:eastAsia="Arial" w:hAnsi="Arial"/>
                <w:sz w:val="16"/>
                <w:szCs w:val="16"/>
                <w:color w:val="auto"/>
              </w:rPr>
              <w:t>Basic</w:t>
            </w: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87,496</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90,194</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87,312</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90,805</w:t>
            </w:r>
          </w:p>
        </w:tc>
        <w:tc>
          <w:tcPr>
            <w:tcW w:w="0" w:type="dxa"/>
            <w:vAlign w:val="bottom"/>
          </w:tcPr>
          <w:p>
            <w:pPr>
              <w:spacing w:after="0"/>
              <w:rPr>
                <w:sz w:val="1"/>
                <w:szCs w:val="1"/>
                <w:color w:val="auto"/>
              </w:rPr>
            </w:pP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49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Diluted</w:t>
            </w:r>
          </w:p>
        </w:tc>
        <w:tc>
          <w:tcPr>
            <w:tcW w:w="2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87,496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90,953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87,312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91,807</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accompanying notes are an integral part of these consolidated financial statements.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 w:name="page6"/>
    <w:bookmarkEnd w:id="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BLOOMIN’ BRANDS, INC.</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CONSOLIDATED STATEMENTS OF CHANGES IN STOCKHOLDERS’ EQUITY</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 EXCEPT PER SHARE DATA, UNAUDITED)</w:t>
      </w:r>
    </w:p>
    <w:p>
      <w:pPr>
        <w:spacing w:after="0" w:line="200" w:lineRule="exact"/>
        <w:rPr>
          <w:sz w:val="20"/>
          <w:szCs w:val="20"/>
          <w:color w:val="auto"/>
        </w:rPr>
      </w:pP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205"/>
        </w:trPr>
        <w:tc>
          <w:tcPr>
            <w:tcW w:w="218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BLOOMIN’ BRANDS, INC.</w:t>
            </w:r>
          </w:p>
        </w:tc>
        <w:tc>
          <w:tcPr>
            <w:tcW w:w="1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180" w:type="dxa"/>
            <w:vAlign w:val="bottom"/>
          </w:tcPr>
          <w:p>
            <w:pPr>
              <w:spacing w:after="0"/>
              <w:rPr>
                <w:sz w:val="13"/>
                <w:szCs w:val="13"/>
                <w:color w:val="auto"/>
              </w:rPr>
            </w:pPr>
          </w:p>
        </w:tc>
        <w:tc>
          <w:tcPr>
            <w:tcW w:w="1940" w:type="dxa"/>
            <w:vAlign w:val="bottom"/>
            <w:gridSpan w:val="4"/>
            <w:vMerge w:val="restart"/>
          </w:tcPr>
          <w:p>
            <w:pPr>
              <w:jc w:val="right"/>
              <w:ind w:right="279"/>
              <w:spacing w:after="0"/>
              <w:rPr>
                <w:sz w:val="20"/>
                <w:szCs w:val="20"/>
                <w:color w:val="auto"/>
              </w:rPr>
            </w:pPr>
            <w:r>
              <w:rPr>
                <w:rFonts w:ascii="Arial" w:cs="Arial" w:eastAsia="Arial" w:hAnsi="Arial"/>
                <w:sz w:val="14"/>
                <w:szCs w:val="14"/>
                <w:b w:val="1"/>
                <w:bCs w:val="1"/>
                <w:color w:val="auto"/>
              </w:rPr>
              <w:t>COMMON STOCK</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ACCUM-</w:t>
            </w:r>
          </w:p>
        </w:tc>
        <w:tc>
          <w:tcPr>
            <w:tcW w:w="140" w:type="dxa"/>
            <w:vAlign w:val="bottom"/>
          </w:tcPr>
          <w:p>
            <w:pPr>
              <w:spacing w:after="0"/>
              <w:rPr>
                <w:sz w:val="13"/>
                <w:szCs w:val="13"/>
                <w:color w:val="auto"/>
              </w:rPr>
            </w:pPr>
          </w:p>
        </w:tc>
        <w:tc>
          <w:tcPr>
            <w:tcW w:w="166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180" w:type="dxa"/>
            <w:vAlign w:val="bottom"/>
          </w:tcPr>
          <w:p>
            <w:pPr>
              <w:spacing w:after="0"/>
              <w:rPr>
                <w:sz w:val="14"/>
                <w:szCs w:val="14"/>
                <w:color w:val="auto"/>
              </w:rPr>
            </w:pPr>
          </w:p>
        </w:tc>
        <w:tc>
          <w:tcPr>
            <w:tcW w:w="1940" w:type="dxa"/>
            <w:vAlign w:val="bottom"/>
            <w:tcBorders>
              <w:bottom w:val="single" w:sz="8" w:color="auto"/>
            </w:tcBorders>
            <w:gridSpan w:val="4"/>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2180" w:type="dxa"/>
            <w:vAlign w:val="bottom"/>
          </w:tcPr>
          <w:p>
            <w:pPr>
              <w:spacing w:after="0"/>
              <w:rPr>
                <w:sz w:val="9"/>
                <w:szCs w:val="9"/>
                <w:color w:val="auto"/>
              </w:rPr>
            </w:pPr>
          </w:p>
        </w:tc>
        <w:tc>
          <w:tcPr>
            <w:tcW w:w="10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9"/>
                <w:szCs w:val="9"/>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9"/>
                <w:szCs w:val="9"/>
                <w:color w:val="auto"/>
              </w:rPr>
            </w:pPr>
          </w:p>
        </w:tc>
        <w:tc>
          <w:tcPr>
            <w:tcW w:w="1260" w:type="dxa"/>
            <w:vAlign w:val="bottom"/>
            <w:gridSpan w:val="2"/>
          </w:tcPr>
          <w:p>
            <w:pPr>
              <w:ind w:left="40"/>
              <w:spacing w:after="0" w:line="113" w:lineRule="exact"/>
              <w:rPr>
                <w:sz w:val="20"/>
                <w:szCs w:val="20"/>
                <w:color w:val="auto"/>
              </w:rPr>
            </w:pPr>
            <w:r>
              <w:rPr>
                <w:rFonts w:ascii="Arial" w:cs="Arial" w:eastAsia="Arial" w:hAnsi="Arial"/>
                <w:sz w:val="13"/>
                <w:szCs w:val="13"/>
                <w:b w:val="1"/>
                <w:bCs w:val="1"/>
                <w:color w:val="auto"/>
              </w:rPr>
              <w:t>ADDITIONAL</w:t>
            </w:r>
          </w:p>
        </w:tc>
        <w:tc>
          <w:tcPr>
            <w:tcW w:w="180" w:type="dxa"/>
            <w:vAlign w:val="bottom"/>
          </w:tcPr>
          <w:p>
            <w:pPr>
              <w:spacing w:after="0"/>
              <w:rPr>
                <w:sz w:val="9"/>
                <w:szCs w:val="9"/>
                <w:color w:val="auto"/>
              </w:rPr>
            </w:pPr>
          </w:p>
        </w:tc>
        <w:tc>
          <w:tcPr>
            <w:tcW w:w="1080" w:type="dxa"/>
            <w:vAlign w:val="bottom"/>
            <w:gridSpan w:val="2"/>
          </w:tcPr>
          <w:p>
            <w:pPr>
              <w:ind w:left="100"/>
              <w:spacing w:after="0" w:line="113" w:lineRule="exact"/>
              <w:rPr>
                <w:sz w:val="20"/>
                <w:szCs w:val="20"/>
                <w:color w:val="auto"/>
              </w:rPr>
            </w:pPr>
            <w:r>
              <w:rPr>
                <w:rFonts w:ascii="Arial" w:cs="Arial" w:eastAsia="Arial" w:hAnsi="Arial"/>
                <w:sz w:val="13"/>
                <w:szCs w:val="13"/>
                <w:b w:val="1"/>
                <w:bCs w:val="1"/>
                <w:color w:val="auto"/>
              </w:rPr>
              <w:t>ULATED</w:t>
            </w:r>
          </w:p>
        </w:tc>
        <w:tc>
          <w:tcPr>
            <w:tcW w:w="140" w:type="dxa"/>
            <w:vAlign w:val="bottom"/>
          </w:tcPr>
          <w:p>
            <w:pPr>
              <w:spacing w:after="0"/>
              <w:rPr>
                <w:sz w:val="9"/>
                <w:szCs w:val="9"/>
                <w:color w:val="auto"/>
              </w:rPr>
            </w:pPr>
          </w:p>
        </w:tc>
        <w:tc>
          <w:tcPr>
            <w:tcW w:w="1660" w:type="dxa"/>
            <w:vAlign w:val="bottom"/>
            <w:gridSpan w:val="2"/>
          </w:tcPr>
          <w:p>
            <w:pPr>
              <w:jc w:val="center"/>
              <w:ind w:right="260"/>
              <w:spacing w:after="0" w:line="113" w:lineRule="exact"/>
              <w:rPr>
                <w:sz w:val="20"/>
                <w:szCs w:val="20"/>
                <w:color w:val="auto"/>
              </w:rPr>
            </w:pPr>
            <w:r>
              <w:rPr>
                <w:rFonts w:ascii="Arial" w:cs="Arial" w:eastAsia="Arial" w:hAnsi="Arial"/>
                <w:sz w:val="13"/>
                <w:szCs w:val="13"/>
                <w:b w:val="1"/>
                <w:bCs w:val="1"/>
                <w:color w:val="auto"/>
              </w:rPr>
              <w:t>COMPREHENSIVE</w:t>
            </w:r>
          </w:p>
        </w:tc>
        <w:tc>
          <w:tcPr>
            <w:tcW w:w="1600" w:type="dxa"/>
            <w:vAlign w:val="bottom"/>
            <w:gridSpan w:val="3"/>
          </w:tcPr>
          <w:p>
            <w:pPr>
              <w:ind w:left="20"/>
              <w:spacing w:after="0" w:line="113" w:lineRule="exact"/>
              <w:rPr>
                <w:sz w:val="20"/>
                <w:szCs w:val="20"/>
                <w:color w:val="auto"/>
              </w:rPr>
            </w:pPr>
            <w:r>
              <w:rPr>
                <w:rFonts w:ascii="Arial" w:cs="Arial" w:eastAsia="Arial" w:hAnsi="Arial"/>
                <w:sz w:val="13"/>
                <w:szCs w:val="13"/>
                <w:b w:val="1"/>
                <w:bCs w:val="1"/>
                <w:color w:val="auto"/>
              </w:rPr>
              <w:t>NON-CONTROLLING</w:t>
            </w:r>
          </w:p>
        </w:tc>
        <w:tc>
          <w:tcPr>
            <w:tcW w:w="140" w:type="dxa"/>
            <w:vAlign w:val="bottom"/>
          </w:tcPr>
          <w:p>
            <w:pPr>
              <w:spacing w:after="0"/>
              <w:rPr>
                <w:sz w:val="9"/>
                <w:szCs w:val="9"/>
                <w:color w:val="auto"/>
              </w:rPr>
            </w:pPr>
          </w:p>
        </w:tc>
        <w:tc>
          <w:tcPr>
            <w:tcW w:w="78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5"/>
        </w:trPr>
        <w:tc>
          <w:tcPr>
            <w:tcW w:w="218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380" w:type="dxa"/>
            <w:vAlign w:val="bottom"/>
            <w:gridSpan w:val="3"/>
          </w:tcPr>
          <w:p>
            <w:pPr>
              <w:ind w:left="20"/>
              <w:spacing w:after="0"/>
              <w:rPr>
                <w:sz w:val="20"/>
                <w:szCs w:val="20"/>
                <w:color w:val="auto"/>
              </w:rPr>
            </w:pPr>
            <w:r>
              <w:rPr>
                <w:rFonts w:ascii="Arial" w:cs="Arial" w:eastAsia="Arial" w:hAnsi="Arial"/>
                <w:sz w:val="14"/>
                <w:szCs w:val="14"/>
                <w:b w:val="1"/>
                <w:bCs w:val="1"/>
                <w:color w:val="auto"/>
              </w:rPr>
              <w:t>PAID-IN CAPITAL</w:t>
            </w:r>
          </w:p>
        </w:tc>
        <w:tc>
          <w:tcPr>
            <w:tcW w:w="180" w:type="dxa"/>
            <w:vAlign w:val="bottom"/>
          </w:tcPr>
          <w:p>
            <w:pPr>
              <w:spacing w:after="0"/>
              <w:rPr>
                <w:sz w:val="17"/>
                <w:szCs w:val="17"/>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7"/>
                <w:szCs w:val="17"/>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LOSS</w:t>
            </w:r>
          </w:p>
        </w:tc>
        <w:tc>
          <w:tcPr>
            <w:tcW w:w="220" w:type="dxa"/>
            <w:vAlign w:val="bottom"/>
          </w:tcPr>
          <w:p>
            <w:pPr>
              <w:spacing w:after="0"/>
              <w:rPr>
                <w:sz w:val="17"/>
                <w:szCs w:val="17"/>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INTERESTS</w:t>
            </w:r>
          </w:p>
        </w:tc>
        <w:tc>
          <w:tcPr>
            <w:tcW w:w="1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March 29, 2020</w:t>
            </w:r>
          </w:p>
        </w:tc>
        <w:tc>
          <w:tcPr>
            <w:tcW w:w="900" w:type="dxa"/>
            <w:vAlign w:val="bottom"/>
            <w:tcBorders>
              <w:top w:val="single" w:sz="8" w:color="auto"/>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87,417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874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1,074,081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(793,992)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(189,013)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8,193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100,143</w:t>
            </w:r>
          </w:p>
        </w:tc>
        <w:tc>
          <w:tcPr>
            <w:tcW w:w="0" w:type="dxa"/>
            <w:vAlign w:val="bottom"/>
          </w:tcPr>
          <w:p>
            <w:pPr>
              <w:spacing w:after="0"/>
              <w:rPr>
                <w:sz w:val="1"/>
                <w:szCs w:val="1"/>
                <w:color w:val="auto"/>
              </w:rPr>
            </w:pPr>
          </w:p>
        </w:tc>
      </w:tr>
      <w:tr>
        <w:trPr>
          <w:trHeight w:val="223"/>
        </w:trPr>
        <w:tc>
          <w:tcPr>
            <w:tcW w:w="2180" w:type="dxa"/>
            <w:vAlign w:val="bottom"/>
          </w:tcPr>
          <w:p>
            <w:pPr>
              <w:spacing w:after="0"/>
              <w:rPr>
                <w:sz w:val="20"/>
                <w:szCs w:val="20"/>
                <w:color w:val="auto"/>
              </w:rPr>
            </w:pPr>
            <w:r>
              <w:rPr>
                <w:rFonts w:ascii="Arial" w:cs="Arial" w:eastAsia="Arial" w:hAnsi="Arial"/>
                <w:sz w:val="16"/>
                <w:szCs w:val="16"/>
                <w:color w:val="auto"/>
              </w:rPr>
              <w:t>Net loss</w:t>
            </w: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(92,256)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(172)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(92,428)</w:t>
            </w:r>
          </w:p>
        </w:tc>
        <w:tc>
          <w:tcPr>
            <w:tcW w:w="0" w:type="dxa"/>
            <w:vAlign w:val="bottom"/>
          </w:tcPr>
          <w:p>
            <w:pPr>
              <w:spacing w:after="0"/>
              <w:rPr>
                <w:sz w:val="1"/>
                <w:szCs w:val="1"/>
                <w:color w:val="auto"/>
              </w:rPr>
            </w:pPr>
          </w:p>
        </w:tc>
      </w:tr>
      <w:tr>
        <w:trPr>
          <w:trHeight w:val="33"/>
        </w:trPr>
        <w:tc>
          <w:tcPr>
            <w:tcW w:w="2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180" w:type="dxa"/>
            <w:vAlign w:val="bottom"/>
            <w:shd w:val="clear" w:color="auto" w:fill="CCEEFF"/>
          </w:tcPr>
          <w:p>
            <w:pPr>
              <w:spacing w:after="0"/>
              <w:rPr>
                <w:sz w:val="20"/>
                <w:szCs w:val="20"/>
                <w:color w:val="auto"/>
              </w:rPr>
            </w:pPr>
            <w:r>
              <w:rPr>
                <w:rFonts w:ascii="Arial" w:cs="Arial" w:eastAsia="Arial" w:hAnsi="Arial"/>
                <w:sz w:val="16"/>
                <w:szCs w:val="16"/>
                <w:color w:val="auto"/>
                <w:w w:val="91"/>
              </w:rPr>
              <w:t>Other comprehensive loss, net of</w:t>
            </w: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tax</w:t>
            </w: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(28,117)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(28,117)</w:t>
            </w:r>
          </w:p>
        </w:tc>
        <w:tc>
          <w:tcPr>
            <w:tcW w:w="0" w:type="dxa"/>
            <w:vAlign w:val="bottom"/>
          </w:tcPr>
          <w:p>
            <w:pPr>
              <w:spacing w:after="0"/>
              <w:rPr>
                <w:sz w:val="1"/>
                <w:szCs w:val="1"/>
                <w:color w:val="auto"/>
              </w:rPr>
            </w:pPr>
          </w:p>
        </w:tc>
      </w:tr>
      <w:tr>
        <w:trPr>
          <w:trHeight w:val="224"/>
        </w:trPr>
        <w:tc>
          <w:tcPr>
            <w:tcW w:w="218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40" w:type="dxa"/>
            <w:vAlign w:val="bottom"/>
          </w:tcPr>
          <w:p>
            <w:pPr>
              <w:jc w:val="right"/>
              <w:ind w:right="60"/>
              <w:spacing w:after="0"/>
              <w:rPr>
                <w:sz w:val="20"/>
                <w:szCs w:val="20"/>
                <w:color w:val="auto"/>
              </w:rPr>
            </w:pPr>
            <w:r>
              <w:rPr>
                <w:rFonts w:ascii="Arial" w:cs="Arial" w:eastAsia="Arial" w:hAnsi="Arial"/>
                <w:sz w:val="16"/>
                <w:szCs w:val="16"/>
                <w:color w:val="auto"/>
              </w:rPr>
              <w:t>5,071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5,071</w:t>
            </w:r>
          </w:p>
        </w:tc>
        <w:tc>
          <w:tcPr>
            <w:tcW w:w="0" w:type="dxa"/>
            <w:vAlign w:val="bottom"/>
          </w:tcPr>
          <w:p>
            <w:pPr>
              <w:spacing w:after="0"/>
              <w:rPr>
                <w:sz w:val="1"/>
                <w:szCs w:val="1"/>
                <w:color w:val="auto"/>
              </w:rPr>
            </w:pPr>
          </w:p>
        </w:tc>
      </w:tr>
      <w:tr>
        <w:trPr>
          <w:trHeight w:val="33"/>
        </w:trPr>
        <w:tc>
          <w:tcPr>
            <w:tcW w:w="2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180" w:type="dxa"/>
            <w:vAlign w:val="bottom"/>
            <w:shd w:val="clear" w:color="auto" w:fill="CCEEFF"/>
          </w:tcPr>
          <w:p>
            <w:pPr>
              <w:spacing w:after="0"/>
              <w:rPr>
                <w:sz w:val="20"/>
                <w:szCs w:val="20"/>
                <w:color w:val="auto"/>
              </w:rPr>
            </w:pPr>
            <w:r>
              <w:rPr>
                <w:rFonts w:ascii="Arial" w:cs="Arial" w:eastAsia="Arial" w:hAnsi="Arial"/>
                <w:sz w:val="16"/>
                <w:szCs w:val="16"/>
                <w:color w:val="auto"/>
              </w:rPr>
              <w:t>Common stock issued under</w:t>
            </w: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stock plans (1)</w:t>
            </w: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117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(356)</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(355)</w:t>
            </w:r>
          </w:p>
        </w:tc>
        <w:tc>
          <w:tcPr>
            <w:tcW w:w="0" w:type="dxa"/>
            <w:vAlign w:val="bottom"/>
          </w:tcPr>
          <w:p>
            <w:pPr>
              <w:spacing w:after="0"/>
              <w:rPr>
                <w:sz w:val="1"/>
                <w:szCs w:val="1"/>
                <w:color w:val="auto"/>
              </w:rPr>
            </w:pPr>
          </w:p>
        </w:tc>
      </w:tr>
      <w:tr>
        <w:trPr>
          <w:trHeight w:val="220"/>
        </w:trPr>
        <w:tc>
          <w:tcPr>
            <w:tcW w:w="2180" w:type="dxa"/>
            <w:vAlign w:val="bottom"/>
          </w:tcPr>
          <w:p>
            <w:pPr>
              <w:spacing w:after="0"/>
              <w:rPr>
                <w:sz w:val="20"/>
                <w:szCs w:val="20"/>
                <w:color w:val="auto"/>
              </w:rPr>
            </w:pPr>
            <w:r>
              <w:rPr>
                <w:rFonts w:ascii="Arial" w:cs="Arial" w:eastAsia="Arial" w:hAnsi="Arial"/>
                <w:sz w:val="16"/>
                <w:szCs w:val="16"/>
                <w:color w:val="auto"/>
              </w:rPr>
              <w:t>Distributions to noncontrolling</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180" w:type="dxa"/>
            <w:vAlign w:val="bottom"/>
          </w:tcPr>
          <w:p>
            <w:pPr>
              <w:spacing w:after="0"/>
              <w:rPr>
                <w:sz w:val="20"/>
                <w:szCs w:val="20"/>
                <w:color w:val="auto"/>
              </w:rPr>
            </w:pPr>
            <w:r>
              <w:rPr>
                <w:rFonts w:ascii="Arial" w:cs="Arial" w:eastAsia="Arial" w:hAnsi="Arial"/>
                <w:sz w:val="16"/>
                <w:szCs w:val="16"/>
                <w:color w:val="auto"/>
              </w:rPr>
              <w:t>interests</w:t>
            </w: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8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33"/>
        </w:trPr>
        <w:tc>
          <w:tcPr>
            <w:tcW w:w="2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180" w:type="dxa"/>
            <w:vAlign w:val="bottom"/>
            <w:shd w:val="clear" w:color="auto" w:fill="CCEEFF"/>
          </w:tcPr>
          <w:p>
            <w:pPr>
              <w:spacing w:after="0"/>
              <w:rPr>
                <w:sz w:val="20"/>
                <w:szCs w:val="20"/>
                <w:color w:val="auto"/>
              </w:rPr>
            </w:pPr>
            <w:r>
              <w:rPr>
                <w:rFonts w:ascii="Arial" w:cs="Arial" w:eastAsia="Arial" w:hAnsi="Arial"/>
                <w:sz w:val="16"/>
                <w:szCs w:val="16"/>
                <w:color w:val="auto"/>
              </w:rPr>
              <w:t>Contributions from</w:t>
            </w: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noncontrolling interests</w:t>
            </w: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166"/>
        </w:trPr>
        <w:tc>
          <w:tcPr>
            <w:tcW w:w="2180" w:type="dxa"/>
            <w:vAlign w:val="bottom"/>
          </w:tcPr>
          <w:p>
            <w:pPr>
              <w:spacing w:after="0" w:line="166" w:lineRule="exact"/>
              <w:rPr>
                <w:sz w:val="20"/>
                <w:szCs w:val="20"/>
                <w:color w:val="auto"/>
              </w:rPr>
            </w:pPr>
            <w:r>
              <w:rPr>
                <w:rFonts w:ascii="Arial" w:cs="Arial" w:eastAsia="Arial" w:hAnsi="Arial"/>
                <w:sz w:val="16"/>
                <w:szCs w:val="16"/>
                <w:color w:val="auto"/>
              </w:rPr>
              <w:t>Equity component value of</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80" w:type="dxa"/>
            <w:vAlign w:val="bottom"/>
          </w:tcPr>
          <w:p>
            <w:pPr>
              <w:spacing w:after="0" w:line="162" w:lineRule="exact"/>
              <w:rPr>
                <w:sz w:val="20"/>
                <w:szCs w:val="20"/>
                <w:color w:val="auto"/>
              </w:rPr>
            </w:pPr>
            <w:r>
              <w:rPr>
                <w:rFonts w:ascii="Arial" w:cs="Arial" w:eastAsia="Arial" w:hAnsi="Arial"/>
                <w:sz w:val="16"/>
                <w:szCs w:val="16"/>
                <w:color w:val="auto"/>
                <w:w w:val="94"/>
              </w:rPr>
              <w:t>convertible note issuance, net of</w:t>
            </w:r>
          </w:p>
        </w:tc>
        <w:tc>
          <w:tcPr>
            <w:tcW w:w="1000" w:type="dxa"/>
            <w:vAlign w:val="bottom"/>
            <w:gridSpan w:val="2"/>
            <w:vMerge w:val="restart"/>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20" w:type="dxa"/>
            <w:vAlign w:val="bottom"/>
            <w:gridSpan w:val="2"/>
            <w:vMerge w:val="restart"/>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40" w:type="dxa"/>
            <w:vAlign w:val="bottom"/>
            <w:vMerge w:val="restart"/>
          </w:tcPr>
          <w:p>
            <w:pPr>
              <w:jc w:val="right"/>
              <w:ind w:right="60"/>
              <w:spacing w:after="0"/>
              <w:rPr>
                <w:sz w:val="20"/>
                <w:szCs w:val="20"/>
                <w:color w:val="auto"/>
              </w:rPr>
            </w:pPr>
            <w:r>
              <w:rPr>
                <w:rFonts w:ascii="Arial" w:cs="Arial" w:eastAsia="Arial" w:hAnsi="Arial"/>
                <w:sz w:val="16"/>
                <w:szCs w:val="16"/>
                <w:color w:val="auto"/>
              </w:rPr>
              <w:t>64,367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vMerge w:val="restart"/>
          </w:tcPr>
          <w:p>
            <w:pPr>
              <w:ind w:left="6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660" w:type="dxa"/>
            <w:vAlign w:val="bottom"/>
            <w:gridSpan w:val="2"/>
            <w:vMerge w:val="restart"/>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1380" w:type="dxa"/>
            <w:vAlign w:val="bottom"/>
            <w:gridSpan w:val="2"/>
            <w:vMerge w:val="restart"/>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780" w:type="dxa"/>
            <w:vAlign w:val="bottom"/>
            <w:vMerge w:val="restart"/>
          </w:tcPr>
          <w:p>
            <w:pPr>
              <w:jc w:val="right"/>
              <w:ind w:right="59"/>
              <w:spacing w:after="0"/>
              <w:rPr>
                <w:sz w:val="20"/>
                <w:szCs w:val="20"/>
                <w:color w:val="auto"/>
              </w:rPr>
            </w:pPr>
            <w:r>
              <w:rPr>
                <w:rFonts w:ascii="Arial" w:cs="Arial" w:eastAsia="Arial" w:hAnsi="Arial"/>
                <w:sz w:val="16"/>
                <w:szCs w:val="16"/>
                <w:color w:val="auto"/>
              </w:rPr>
              <w:t>64,367</w:t>
            </w:r>
          </w:p>
        </w:tc>
        <w:tc>
          <w:tcPr>
            <w:tcW w:w="0" w:type="dxa"/>
            <w:vAlign w:val="bottom"/>
          </w:tcPr>
          <w:p>
            <w:pPr>
              <w:spacing w:after="0"/>
              <w:rPr>
                <w:sz w:val="1"/>
                <w:szCs w:val="1"/>
                <w:color w:val="auto"/>
              </w:rPr>
            </w:pPr>
          </w:p>
        </w:tc>
      </w:tr>
      <w:tr>
        <w:trPr>
          <w:trHeight w:val="209"/>
        </w:trPr>
        <w:tc>
          <w:tcPr>
            <w:tcW w:w="2180" w:type="dxa"/>
            <w:vAlign w:val="bottom"/>
          </w:tcPr>
          <w:p>
            <w:pPr>
              <w:spacing w:after="0"/>
              <w:rPr>
                <w:sz w:val="20"/>
                <w:szCs w:val="20"/>
                <w:color w:val="auto"/>
              </w:rPr>
            </w:pPr>
            <w:r>
              <w:rPr>
                <w:rFonts w:ascii="Arial" w:cs="Arial" w:eastAsia="Arial" w:hAnsi="Arial"/>
                <w:sz w:val="16"/>
                <w:szCs w:val="16"/>
                <w:color w:val="auto"/>
              </w:rPr>
              <w:t>tax of $650</w:t>
            </w: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Sale of common stock warrant</w:t>
            </w: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46,690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46,690</w:t>
            </w:r>
          </w:p>
        </w:tc>
        <w:tc>
          <w:tcPr>
            <w:tcW w:w="0" w:type="dxa"/>
            <w:vAlign w:val="bottom"/>
          </w:tcPr>
          <w:p>
            <w:pPr>
              <w:spacing w:after="0"/>
              <w:rPr>
                <w:sz w:val="1"/>
                <w:szCs w:val="1"/>
                <w:color w:val="auto"/>
              </w:rPr>
            </w:pPr>
          </w:p>
        </w:tc>
      </w:tr>
      <w:tr>
        <w:trPr>
          <w:trHeight w:val="220"/>
        </w:trPr>
        <w:tc>
          <w:tcPr>
            <w:tcW w:w="2180" w:type="dxa"/>
            <w:vAlign w:val="bottom"/>
          </w:tcPr>
          <w:p>
            <w:pPr>
              <w:spacing w:after="0"/>
              <w:rPr>
                <w:sz w:val="20"/>
                <w:szCs w:val="20"/>
                <w:color w:val="auto"/>
              </w:rPr>
            </w:pPr>
            <w:r>
              <w:rPr>
                <w:rFonts w:ascii="Arial" w:cs="Arial" w:eastAsia="Arial" w:hAnsi="Arial"/>
                <w:sz w:val="16"/>
                <w:szCs w:val="16"/>
                <w:color w:val="auto"/>
              </w:rPr>
              <w:t>Purchase of convertible note</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180" w:type="dxa"/>
            <w:vAlign w:val="bottom"/>
          </w:tcPr>
          <w:p>
            <w:pPr>
              <w:spacing w:after="0"/>
              <w:rPr>
                <w:sz w:val="20"/>
                <w:szCs w:val="20"/>
                <w:color w:val="auto"/>
              </w:rPr>
            </w:pPr>
            <w:r>
              <w:rPr>
                <w:rFonts w:ascii="Arial" w:cs="Arial" w:eastAsia="Arial" w:hAnsi="Arial"/>
                <w:sz w:val="16"/>
                <w:szCs w:val="16"/>
                <w:color w:val="auto"/>
              </w:rPr>
              <w:t>hedge</w:t>
            </w: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(66,240)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(66,240)</w:t>
            </w:r>
          </w:p>
        </w:tc>
        <w:tc>
          <w:tcPr>
            <w:tcW w:w="0" w:type="dxa"/>
            <w:vAlign w:val="bottom"/>
          </w:tcPr>
          <w:p>
            <w:pPr>
              <w:spacing w:after="0"/>
              <w:rPr>
                <w:sz w:val="1"/>
                <w:szCs w:val="1"/>
                <w:color w:val="auto"/>
              </w:rPr>
            </w:pPr>
          </w:p>
        </w:tc>
      </w:tr>
      <w:tr>
        <w:trPr>
          <w:trHeight w:val="272"/>
        </w:trPr>
        <w:tc>
          <w:tcPr>
            <w:tcW w:w="2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June 28, 2020</w:t>
            </w:r>
          </w:p>
        </w:tc>
        <w:tc>
          <w:tcPr>
            <w:tcW w:w="90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87,534</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875</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1,123,613</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(886,248)</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(217,130)</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8,088</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29,198</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18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December 29, 2019</w:t>
            </w: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86,946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869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1,094,338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(755,089)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(169,776)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7,139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177,481</w:t>
            </w:r>
          </w:p>
        </w:tc>
        <w:tc>
          <w:tcPr>
            <w:tcW w:w="0" w:type="dxa"/>
            <w:vAlign w:val="bottom"/>
          </w:tcPr>
          <w:p>
            <w:pPr>
              <w:spacing w:after="0"/>
              <w:rPr>
                <w:sz w:val="1"/>
                <w:szCs w:val="1"/>
                <w:color w:val="auto"/>
              </w:rPr>
            </w:pPr>
          </w:p>
        </w:tc>
      </w:tr>
      <w:tr>
        <w:trPr>
          <w:trHeight w:val="220"/>
        </w:trPr>
        <w:tc>
          <w:tcPr>
            <w:tcW w:w="2180" w:type="dxa"/>
            <w:vAlign w:val="bottom"/>
          </w:tcPr>
          <w:p>
            <w:pPr>
              <w:spacing w:after="0"/>
              <w:rPr>
                <w:sz w:val="20"/>
                <w:szCs w:val="20"/>
                <w:color w:val="auto"/>
              </w:rPr>
            </w:pPr>
            <w:r>
              <w:rPr>
                <w:rFonts w:ascii="Arial" w:cs="Arial" w:eastAsia="Arial" w:hAnsi="Arial"/>
                <w:sz w:val="16"/>
                <w:szCs w:val="16"/>
                <w:color w:val="auto"/>
                <w:w w:val="93"/>
              </w:rPr>
              <w:t>Cumulative-effect from a change</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180" w:type="dxa"/>
            <w:vAlign w:val="bottom"/>
          </w:tcPr>
          <w:p>
            <w:pPr>
              <w:spacing w:after="0"/>
              <w:rPr>
                <w:sz w:val="20"/>
                <w:szCs w:val="20"/>
                <w:color w:val="auto"/>
              </w:rPr>
            </w:pPr>
            <w:r>
              <w:rPr>
                <w:rFonts w:ascii="Arial" w:cs="Arial" w:eastAsia="Arial" w:hAnsi="Arial"/>
                <w:sz w:val="16"/>
                <w:szCs w:val="16"/>
                <w:color w:val="auto"/>
              </w:rPr>
              <w:t>in accounting principle, net of</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180" w:type="dxa"/>
            <w:vAlign w:val="bottom"/>
          </w:tcPr>
          <w:p>
            <w:pPr>
              <w:spacing w:after="0"/>
              <w:rPr>
                <w:sz w:val="20"/>
                <w:szCs w:val="20"/>
                <w:color w:val="auto"/>
              </w:rPr>
            </w:pPr>
            <w:r>
              <w:rPr>
                <w:rFonts w:ascii="Arial" w:cs="Arial" w:eastAsia="Arial" w:hAnsi="Arial"/>
                <w:sz w:val="16"/>
                <w:szCs w:val="16"/>
                <w:color w:val="auto"/>
              </w:rPr>
              <w:t>tax</w:t>
            </w: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(4,292)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(4,292)</w:t>
            </w:r>
          </w:p>
        </w:tc>
        <w:tc>
          <w:tcPr>
            <w:tcW w:w="0" w:type="dxa"/>
            <w:vAlign w:val="bottom"/>
          </w:tcPr>
          <w:p>
            <w:pPr>
              <w:spacing w:after="0"/>
              <w:rPr>
                <w:sz w:val="1"/>
                <w:szCs w:val="1"/>
                <w:color w:val="auto"/>
              </w:rPr>
            </w:pPr>
          </w:p>
        </w:tc>
      </w:tr>
      <w:tr>
        <w:trPr>
          <w:trHeight w:val="33"/>
        </w:trPr>
        <w:tc>
          <w:tcPr>
            <w:tcW w:w="2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(loss) income</w:t>
            </w: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(126,867)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6"/>
              </w:rPr>
              <w:t>(126,842)</w:t>
            </w:r>
          </w:p>
        </w:tc>
        <w:tc>
          <w:tcPr>
            <w:tcW w:w="0" w:type="dxa"/>
            <w:vAlign w:val="bottom"/>
          </w:tcPr>
          <w:p>
            <w:pPr>
              <w:spacing w:after="0"/>
              <w:rPr>
                <w:sz w:val="1"/>
                <w:szCs w:val="1"/>
                <w:color w:val="auto"/>
              </w:rPr>
            </w:pPr>
          </w:p>
        </w:tc>
      </w:tr>
      <w:tr>
        <w:trPr>
          <w:trHeight w:val="220"/>
        </w:trPr>
        <w:tc>
          <w:tcPr>
            <w:tcW w:w="2180" w:type="dxa"/>
            <w:vAlign w:val="bottom"/>
          </w:tcPr>
          <w:p>
            <w:pPr>
              <w:spacing w:after="0"/>
              <w:rPr>
                <w:sz w:val="20"/>
                <w:szCs w:val="20"/>
                <w:color w:val="auto"/>
              </w:rPr>
            </w:pPr>
            <w:r>
              <w:rPr>
                <w:rFonts w:ascii="Arial" w:cs="Arial" w:eastAsia="Arial" w:hAnsi="Arial"/>
                <w:sz w:val="16"/>
                <w:szCs w:val="16"/>
                <w:color w:val="auto"/>
                <w:w w:val="91"/>
              </w:rPr>
              <w:t>Other comprehensive loss, net of</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180" w:type="dxa"/>
            <w:vAlign w:val="bottom"/>
          </w:tcPr>
          <w:p>
            <w:pPr>
              <w:spacing w:after="0"/>
              <w:rPr>
                <w:sz w:val="20"/>
                <w:szCs w:val="20"/>
                <w:color w:val="auto"/>
              </w:rPr>
            </w:pPr>
            <w:r>
              <w:rPr>
                <w:rFonts w:ascii="Arial" w:cs="Arial" w:eastAsia="Arial" w:hAnsi="Arial"/>
                <w:sz w:val="16"/>
                <w:szCs w:val="16"/>
                <w:color w:val="auto"/>
              </w:rPr>
              <w:t>tax</w:t>
            </w: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8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560" w:type="dxa"/>
            <w:vAlign w:val="bottom"/>
          </w:tcPr>
          <w:p>
            <w:pPr>
              <w:jc w:val="right"/>
              <w:ind w:right="40"/>
              <w:spacing w:after="0"/>
              <w:rPr>
                <w:sz w:val="20"/>
                <w:szCs w:val="20"/>
                <w:color w:val="auto"/>
              </w:rPr>
            </w:pPr>
            <w:r>
              <w:rPr>
                <w:rFonts w:ascii="Arial" w:cs="Arial" w:eastAsia="Arial" w:hAnsi="Arial"/>
                <w:sz w:val="16"/>
                <w:szCs w:val="16"/>
                <w:color w:val="auto"/>
              </w:rPr>
              <w:t>(47,871)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(147)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(48,018)</w:t>
            </w:r>
          </w:p>
        </w:tc>
        <w:tc>
          <w:tcPr>
            <w:tcW w:w="0" w:type="dxa"/>
            <w:vAlign w:val="bottom"/>
          </w:tcPr>
          <w:p>
            <w:pPr>
              <w:spacing w:after="0"/>
              <w:rPr>
                <w:sz w:val="1"/>
                <w:szCs w:val="1"/>
                <w:color w:val="auto"/>
              </w:rPr>
            </w:pPr>
          </w:p>
        </w:tc>
      </w:tr>
      <w:tr>
        <w:trPr>
          <w:trHeight w:val="33"/>
        </w:trPr>
        <w:tc>
          <w:tcPr>
            <w:tcW w:w="2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180" w:type="dxa"/>
            <w:vAlign w:val="bottom"/>
            <w:shd w:val="clear" w:color="auto" w:fill="CCEEFF"/>
          </w:tcPr>
          <w:p>
            <w:pPr>
              <w:spacing w:after="0" w:line="166" w:lineRule="exact"/>
              <w:rPr>
                <w:sz w:val="20"/>
                <w:szCs w:val="20"/>
                <w:color w:val="auto"/>
              </w:rPr>
            </w:pPr>
            <w:r>
              <w:rPr>
                <w:rFonts w:ascii="Arial" w:cs="Arial" w:eastAsia="Arial" w:hAnsi="Arial"/>
                <w:sz w:val="16"/>
                <w:szCs w:val="16"/>
                <w:color w:val="auto"/>
                <w:w w:val="96"/>
              </w:rPr>
              <w:t>Cash dividends declared, $0.20</w:t>
            </w:r>
          </w:p>
        </w:tc>
        <w:tc>
          <w:tcPr>
            <w:tcW w:w="10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(17,480)</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6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13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(17,480)</w:t>
            </w:r>
          </w:p>
        </w:tc>
        <w:tc>
          <w:tcPr>
            <w:tcW w:w="0" w:type="dxa"/>
            <w:vAlign w:val="bottom"/>
          </w:tcPr>
          <w:p>
            <w:pPr>
              <w:spacing w:after="0"/>
              <w:rPr>
                <w:sz w:val="1"/>
                <w:szCs w:val="1"/>
                <w:color w:val="auto"/>
              </w:rPr>
            </w:pPr>
          </w:p>
        </w:tc>
      </w:tr>
      <w:tr>
        <w:trPr>
          <w:trHeight w:val="212"/>
        </w:trPr>
        <w:tc>
          <w:tcPr>
            <w:tcW w:w="2180" w:type="dxa"/>
            <w:vAlign w:val="bottom"/>
            <w:shd w:val="clear" w:color="auto" w:fill="CCEEFF"/>
          </w:tcPr>
          <w:p>
            <w:pPr>
              <w:spacing w:after="0"/>
              <w:rPr>
                <w:sz w:val="20"/>
                <w:szCs w:val="20"/>
                <w:color w:val="auto"/>
              </w:rPr>
            </w:pPr>
            <w:r>
              <w:rPr>
                <w:rFonts w:ascii="Arial" w:cs="Arial" w:eastAsia="Arial" w:hAnsi="Arial"/>
                <w:sz w:val="16"/>
                <w:szCs w:val="16"/>
                <w:color w:val="auto"/>
              </w:rPr>
              <w:t>per common share</w:t>
            </w: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18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40" w:type="dxa"/>
            <w:vAlign w:val="bottom"/>
          </w:tcPr>
          <w:p>
            <w:pPr>
              <w:jc w:val="right"/>
              <w:ind w:right="60"/>
              <w:spacing w:after="0"/>
              <w:rPr>
                <w:sz w:val="20"/>
                <w:szCs w:val="20"/>
                <w:color w:val="auto"/>
              </w:rPr>
            </w:pPr>
            <w:r>
              <w:rPr>
                <w:rFonts w:ascii="Arial" w:cs="Arial" w:eastAsia="Arial" w:hAnsi="Arial"/>
                <w:sz w:val="16"/>
                <w:szCs w:val="16"/>
                <w:color w:val="auto"/>
              </w:rPr>
              <w:t>8,360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8,360</w:t>
            </w:r>
          </w:p>
        </w:tc>
        <w:tc>
          <w:tcPr>
            <w:tcW w:w="0" w:type="dxa"/>
            <w:vAlign w:val="bottom"/>
          </w:tcPr>
          <w:p>
            <w:pPr>
              <w:spacing w:after="0"/>
              <w:rPr>
                <w:sz w:val="1"/>
                <w:szCs w:val="1"/>
                <w:color w:val="auto"/>
              </w:rPr>
            </w:pPr>
          </w:p>
        </w:tc>
      </w:tr>
      <w:tr>
        <w:trPr>
          <w:trHeight w:val="33"/>
        </w:trPr>
        <w:tc>
          <w:tcPr>
            <w:tcW w:w="2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180" w:type="dxa"/>
            <w:vAlign w:val="bottom"/>
            <w:shd w:val="clear" w:color="auto" w:fill="CCEEFF"/>
          </w:tcPr>
          <w:p>
            <w:pPr>
              <w:spacing w:after="0"/>
              <w:rPr>
                <w:sz w:val="20"/>
                <w:szCs w:val="20"/>
                <w:color w:val="auto"/>
              </w:rPr>
            </w:pPr>
            <w:r>
              <w:rPr>
                <w:rFonts w:ascii="Arial" w:cs="Arial" w:eastAsia="Arial" w:hAnsi="Arial"/>
                <w:sz w:val="16"/>
                <w:szCs w:val="16"/>
                <w:color w:val="auto"/>
              </w:rPr>
              <w:t>Consideration for preferred</w:t>
            </w: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180" w:type="dxa"/>
            <w:vAlign w:val="bottom"/>
            <w:shd w:val="clear" w:color="auto" w:fill="CCEEFF"/>
          </w:tcPr>
          <w:p>
            <w:pPr>
              <w:spacing w:after="0"/>
              <w:rPr>
                <w:sz w:val="20"/>
                <w:szCs w:val="20"/>
                <w:color w:val="auto"/>
              </w:rPr>
            </w:pPr>
            <w:r>
              <w:rPr>
                <w:rFonts w:ascii="Arial" w:cs="Arial" w:eastAsia="Arial" w:hAnsi="Arial"/>
                <w:sz w:val="16"/>
                <w:szCs w:val="16"/>
                <w:color w:val="auto"/>
              </w:rPr>
              <w:t>stock in excess of carrying</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value, net of tax</w:t>
            </w: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(3,496)</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517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1,261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(1,718)</w:t>
            </w:r>
          </w:p>
        </w:tc>
        <w:tc>
          <w:tcPr>
            <w:tcW w:w="0" w:type="dxa"/>
            <w:vAlign w:val="bottom"/>
          </w:tcPr>
          <w:p>
            <w:pPr>
              <w:spacing w:after="0"/>
              <w:rPr>
                <w:sz w:val="1"/>
                <w:szCs w:val="1"/>
                <w:color w:val="auto"/>
              </w:rPr>
            </w:pPr>
          </w:p>
        </w:tc>
      </w:tr>
      <w:tr>
        <w:trPr>
          <w:trHeight w:val="220"/>
        </w:trPr>
        <w:tc>
          <w:tcPr>
            <w:tcW w:w="2180" w:type="dxa"/>
            <w:vAlign w:val="bottom"/>
          </w:tcPr>
          <w:p>
            <w:pPr>
              <w:spacing w:after="0"/>
              <w:rPr>
                <w:sz w:val="20"/>
                <w:szCs w:val="20"/>
                <w:color w:val="auto"/>
              </w:rPr>
            </w:pPr>
            <w:r>
              <w:rPr>
                <w:rFonts w:ascii="Arial" w:cs="Arial" w:eastAsia="Arial" w:hAnsi="Arial"/>
                <w:sz w:val="16"/>
                <w:szCs w:val="16"/>
                <w:color w:val="auto"/>
              </w:rPr>
              <w:t>Common stock issued under</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180" w:type="dxa"/>
            <w:vAlign w:val="bottom"/>
          </w:tcPr>
          <w:p>
            <w:pPr>
              <w:spacing w:after="0"/>
              <w:rPr>
                <w:sz w:val="20"/>
                <w:szCs w:val="20"/>
                <w:color w:val="auto"/>
              </w:rPr>
            </w:pPr>
            <w:r>
              <w:rPr>
                <w:rFonts w:ascii="Arial" w:cs="Arial" w:eastAsia="Arial" w:hAnsi="Arial"/>
                <w:sz w:val="16"/>
                <w:szCs w:val="16"/>
                <w:color w:val="auto"/>
              </w:rPr>
              <w:t>stock plans (1)</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588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(2,868)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(2,862)</w:t>
            </w:r>
          </w:p>
        </w:tc>
        <w:tc>
          <w:tcPr>
            <w:tcW w:w="0" w:type="dxa"/>
            <w:vAlign w:val="bottom"/>
          </w:tcPr>
          <w:p>
            <w:pPr>
              <w:spacing w:after="0"/>
              <w:rPr>
                <w:sz w:val="1"/>
                <w:szCs w:val="1"/>
                <w:color w:val="auto"/>
              </w:rPr>
            </w:pPr>
          </w:p>
        </w:tc>
      </w:tr>
      <w:tr>
        <w:trPr>
          <w:trHeight w:val="33"/>
        </w:trPr>
        <w:tc>
          <w:tcPr>
            <w:tcW w:w="2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180" w:type="dxa"/>
            <w:vAlign w:val="bottom"/>
            <w:shd w:val="clear" w:color="auto" w:fill="CCEEFF"/>
          </w:tcPr>
          <w:p>
            <w:pPr>
              <w:spacing w:after="0"/>
              <w:rPr>
                <w:sz w:val="20"/>
                <w:szCs w:val="20"/>
                <w:color w:val="auto"/>
              </w:rPr>
            </w:pPr>
            <w:r>
              <w:rPr>
                <w:rFonts w:ascii="Arial" w:cs="Arial" w:eastAsia="Arial" w:hAnsi="Arial"/>
                <w:sz w:val="16"/>
                <w:szCs w:val="16"/>
                <w:color w:val="auto"/>
              </w:rPr>
              <w:t>Purchase of noncontrolling</w:t>
            </w: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interests</w:t>
            </w: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20"/>
        </w:trPr>
        <w:tc>
          <w:tcPr>
            <w:tcW w:w="2180" w:type="dxa"/>
            <w:vAlign w:val="bottom"/>
          </w:tcPr>
          <w:p>
            <w:pPr>
              <w:spacing w:after="0"/>
              <w:rPr>
                <w:sz w:val="20"/>
                <w:szCs w:val="20"/>
                <w:color w:val="auto"/>
              </w:rPr>
            </w:pPr>
            <w:r>
              <w:rPr>
                <w:rFonts w:ascii="Arial" w:cs="Arial" w:eastAsia="Arial" w:hAnsi="Arial"/>
                <w:sz w:val="16"/>
                <w:szCs w:val="16"/>
                <w:color w:val="auto"/>
              </w:rPr>
              <w:t>Distributions to noncontrolling</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180" w:type="dxa"/>
            <w:vAlign w:val="bottom"/>
          </w:tcPr>
          <w:p>
            <w:pPr>
              <w:spacing w:after="0"/>
              <w:rPr>
                <w:sz w:val="20"/>
                <w:szCs w:val="20"/>
                <w:color w:val="auto"/>
              </w:rPr>
            </w:pPr>
            <w:r>
              <w:rPr>
                <w:rFonts w:ascii="Arial" w:cs="Arial" w:eastAsia="Arial" w:hAnsi="Arial"/>
                <w:sz w:val="16"/>
                <w:szCs w:val="16"/>
                <w:color w:val="auto"/>
              </w:rPr>
              <w:t>interests</w:t>
            </w: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8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(338)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(338)</w:t>
            </w:r>
          </w:p>
        </w:tc>
        <w:tc>
          <w:tcPr>
            <w:tcW w:w="0" w:type="dxa"/>
            <w:vAlign w:val="bottom"/>
          </w:tcPr>
          <w:p>
            <w:pPr>
              <w:spacing w:after="0"/>
              <w:rPr>
                <w:sz w:val="1"/>
                <w:szCs w:val="1"/>
                <w:color w:val="auto"/>
              </w:rPr>
            </w:pPr>
          </w:p>
        </w:tc>
      </w:tr>
      <w:tr>
        <w:trPr>
          <w:trHeight w:val="33"/>
        </w:trPr>
        <w:tc>
          <w:tcPr>
            <w:tcW w:w="2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180" w:type="dxa"/>
            <w:vAlign w:val="bottom"/>
            <w:shd w:val="clear" w:color="auto" w:fill="CCEEFF"/>
          </w:tcPr>
          <w:p>
            <w:pPr>
              <w:spacing w:after="0"/>
              <w:rPr>
                <w:sz w:val="20"/>
                <w:szCs w:val="20"/>
                <w:color w:val="auto"/>
              </w:rPr>
            </w:pPr>
            <w:r>
              <w:rPr>
                <w:rFonts w:ascii="Arial" w:cs="Arial" w:eastAsia="Arial" w:hAnsi="Arial"/>
                <w:sz w:val="16"/>
                <w:szCs w:val="16"/>
                <w:color w:val="auto"/>
              </w:rPr>
              <w:t>Contributions from</w:t>
            </w: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noncontrolling interests</w:t>
            </w: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166"/>
        </w:trPr>
        <w:tc>
          <w:tcPr>
            <w:tcW w:w="2180" w:type="dxa"/>
            <w:vAlign w:val="bottom"/>
          </w:tcPr>
          <w:p>
            <w:pPr>
              <w:spacing w:after="0" w:line="166" w:lineRule="exact"/>
              <w:rPr>
                <w:sz w:val="20"/>
                <w:szCs w:val="20"/>
                <w:color w:val="auto"/>
              </w:rPr>
            </w:pPr>
            <w:r>
              <w:rPr>
                <w:rFonts w:ascii="Arial" w:cs="Arial" w:eastAsia="Arial" w:hAnsi="Arial"/>
                <w:sz w:val="16"/>
                <w:szCs w:val="16"/>
                <w:color w:val="auto"/>
              </w:rPr>
              <w:t>Equity component value of</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80" w:type="dxa"/>
            <w:vAlign w:val="bottom"/>
          </w:tcPr>
          <w:p>
            <w:pPr>
              <w:spacing w:after="0" w:line="162" w:lineRule="exact"/>
              <w:rPr>
                <w:sz w:val="20"/>
                <w:szCs w:val="20"/>
                <w:color w:val="auto"/>
              </w:rPr>
            </w:pPr>
            <w:r>
              <w:rPr>
                <w:rFonts w:ascii="Arial" w:cs="Arial" w:eastAsia="Arial" w:hAnsi="Arial"/>
                <w:sz w:val="16"/>
                <w:szCs w:val="16"/>
                <w:color w:val="auto"/>
                <w:w w:val="94"/>
              </w:rPr>
              <w:t>convertible note issuance, net of</w:t>
            </w:r>
          </w:p>
        </w:tc>
        <w:tc>
          <w:tcPr>
            <w:tcW w:w="1000" w:type="dxa"/>
            <w:vAlign w:val="bottom"/>
            <w:gridSpan w:val="2"/>
            <w:vMerge w:val="restart"/>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20" w:type="dxa"/>
            <w:vAlign w:val="bottom"/>
            <w:gridSpan w:val="2"/>
            <w:vMerge w:val="restart"/>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40" w:type="dxa"/>
            <w:vAlign w:val="bottom"/>
            <w:vMerge w:val="restart"/>
          </w:tcPr>
          <w:p>
            <w:pPr>
              <w:jc w:val="right"/>
              <w:ind w:right="60"/>
              <w:spacing w:after="0"/>
              <w:rPr>
                <w:sz w:val="20"/>
                <w:szCs w:val="20"/>
                <w:color w:val="auto"/>
              </w:rPr>
            </w:pPr>
            <w:r>
              <w:rPr>
                <w:rFonts w:ascii="Arial" w:cs="Arial" w:eastAsia="Arial" w:hAnsi="Arial"/>
                <w:sz w:val="16"/>
                <w:szCs w:val="16"/>
                <w:color w:val="auto"/>
              </w:rPr>
              <w:t>64,367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vMerge w:val="restart"/>
          </w:tcPr>
          <w:p>
            <w:pPr>
              <w:ind w:left="6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660" w:type="dxa"/>
            <w:vAlign w:val="bottom"/>
            <w:gridSpan w:val="2"/>
            <w:vMerge w:val="restart"/>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1380" w:type="dxa"/>
            <w:vAlign w:val="bottom"/>
            <w:gridSpan w:val="2"/>
            <w:vMerge w:val="restart"/>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780" w:type="dxa"/>
            <w:vAlign w:val="bottom"/>
            <w:vMerge w:val="restart"/>
          </w:tcPr>
          <w:p>
            <w:pPr>
              <w:jc w:val="right"/>
              <w:ind w:right="59"/>
              <w:spacing w:after="0"/>
              <w:rPr>
                <w:sz w:val="20"/>
                <w:szCs w:val="20"/>
                <w:color w:val="auto"/>
              </w:rPr>
            </w:pPr>
            <w:r>
              <w:rPr>
                <w:rFonts w:ascii="Arial" w:cs="Arial" w:eastAsia="Arial" w:hAnsi="Arial"/>
                <w:sz w:val="16"/>
                <w:szCs w:val="16"/>
                <w:color w:val="auto"/>
              </w:rPr>
              <w:t>64,367</w:t>
            </w:r>
          </w:p>
        </w:tc>
        <w:tc>
          <w:tcPr>
            <w:tcW w:w="0" w:type="dxa"/>
            <w:vAlign w:val="bottom"/>
          </w:tcPr>
          <w:p>
            <w:pPr>
              <w:spacing w:after="0"/>
              <w:rPr>
                <w:sz w:val="1"/>
                <w:szCs w:val="1"/>
                <w:color w:val="auto"/>
              </w:rPr>
            </w:pPr>
          </w:p>
        </w:tc>
      </w:tr>
      <w:tr>
        <w:trPr>
          <w:trHeight w:val="209"/>
        </w:trPr>
        <w:tc>
          <w:tcPr>
            <w:tcW w:w="2180" w:type="dxa"/>
            <w:vAlign w:val="bottom"/>
          </w:tcPr>
          <w:p>
            <w:pPr>
              <w:spacing w:after="0"/>
              <w:rPr>
                <w:sz w:val="20"/>
                <w:szCs w:val="20"/>
                <w:color w:val="auto"/>
              </w:rPr>
            </w:pPr>
            <w:r>
              <w:rPr>
                <w:rFonts w:ascii="Arial" w:cs="Arial" w:eastAsia="Arial" w:hAnsi="Arial"/>
                <w:sz w:val="16"/>
                <w:szCs w:val="16"/>
                <w:color w:val="auto"/>
              </w:rPr>
              <w:t>tax of $650</w:t>
            </w: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2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Sale of common stock warrant</w:t>
            </w: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46,690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46,690</w:t>
            </w:r>
          </w:p>
        </w:tc>
        <w:tc>
          <w:tcPr>
            <w:tcW w:w="0" w:type="dxa"/>
            <w:vAlign w:val="bottom"/>
          </w:tcPr>
          <w:p>
            <w:pPr>
              <w:spacing w:after="0"/>
              <w:rPr>
                <w:sz w:val="1"/>
                <w:szCs w:val="1"/>
                <w:color w:val="auto"/>
              </w:rPr>
            </w:pPr>
          </w:p>
        </w:tc>
      </w:tr>
      <w:tr>
        <w:trPr>
          <w:trHeight w:val="220"/>
        </w:trPr>
        <w:tc>
          <w:tcPr>
            <w:tcW w:w="2180" w:type="dxa"/>
            <w:vAlign w:val="bottom"/>
          </w:tcPr>
          <w:p>
            <w:pPr>
              <w:spacing w:after="0"/>
              <w:rPr>
                <w:sz w:val="20"/>
                <w:szCs w:val="20"/>
                <w:color w:val="auto"/>
              </w:rPr>
            </w:pPr>
            <w:r>
              <w:rPr>
                <w:rFonts w:ascii="Arial" w:cs="Arial" w:eastAsia="Arial" w:hAnsi="Arial"/>
                <w:sz w:val="16"/>
                <w:szCs w:val="16"/>
                <w:color w:val="auto"/>
              </w:rPr>
              <w:t>Purchase of convertible note</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180" w:type="dxa"/>
            <w:vAlign w:val="bottom"/>
          </w:tcPr>
          <w:p>
            <w:pPr>
              <w:spacing w:after="0"/>
              <w:rPr>
                <w:sz w:val="20"/>
                <w:szCs w:val="20"/>
                <w:color w:val="auto"/>
              </w:rPr>
            </w:pPr>
            <w:r>
              <w:rPr>
                <w:rFonts w:ascii="Arial" w:cs="Arial" w:eastAsia="Arial" w:hAnsi="Arial"/>
                <w:sz w:val="16"/>
                <w:szCs w:val="16"/>
                <w:color w:val="auto"/>
              </w:rPr>
              <w:t>hedge</w:t>
            </w: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(66,240)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(66,240)</w:t>
            </w:r>
          </w:p>
        </w:tc>
        <w:tc>
          <w:tcPr>
            <w:tcW w:w="0" w:type="dxa"/>
            <w:vAlign w:val="bottom"/>
          </w:tcPr>
          <w:p>
            <w:pPr>
              <w:spacing w:after="0"/>
              <w:rPr>
                <w:sz w:val="1"/>
                <w:szCs w:val="1"/>
                <w:color w:val="auto"/>
              </w:rPr>
            </w:pPr>
          </w:p>
        </w:tc>
      </w:tr>
      <w:tr>
        <w:trPr>
          <w:trHeight w:val="272"/>
        </w:trPr>
        <w:tc>
          <w:tcPr>
            <w:tcW w:w="2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June 28, 2020</w:t>
            </w:r>
          </w:p>
        </w:tc>
        <w:tc>
          <w:tcPr>
            <w:tcW w:w="90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87,534</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875</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1,123,613</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(886,248)</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(217,130)</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8,088</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29,198</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6" w:name="page7"/>
    <w:bookmarkEnd w:id="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BLOOMIN’ BRANDS, INC.</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CONSOLIDATED STATEMENTS OF CHANGES IN STOCKHOLDERS’ EQUITY</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 EXCEPT PER SHARE DATA, UNAUDITED)</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BLOOMIN’ BRANDS, INC.</w:t>
            </w:r>
          </w:p>
        </w:tc>
        <w:tc>
          <w:tcPr>
            <w:tcW w:w="1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940" w:type="dxa"/>
            <w:vAlign w:val="bottom"/>
            <w:gridSpan w:val="4"/>
            <w:vMerge w:val="restart"/>
          </w:tcPr>
          <w:p>
            <w:pPr>
              <w:jc w:val="right"/>
              <w:ind w:right="279"/>
              <w:spacing w:after="0"/>
              <w:rPr>
                <w:sz w:val="20"/>
                <w:szCs w:val="20"/>
                <w:color w:val="auto"/>
              </w:rPr>
            </w:pPr>
            <w:r>
              <w:rPr>
                <w:rFonts w:ascii="Arial" w:cs="Arial" w:eastAsia="Arial" w:hAnsi="Arial"/>
                <w:sz w:val="14"/>
                <w:szCs w:val="14"/>
                <w:b w:val="1"/>
                <w:bCs w:val="1"/>
                <w:color w:val="auto"/>
              </w:rPr>
              <w:t>COMMON STOCK</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ACCUM-</w:t>
            </w:r>
          </w:p>
        </w:tc>
        <w:tc>
          <w:tcPr>
            <w:tcW w:w="140" w:type="dxa"/>
            <w:vAlign w:val="bottom"/>
          </w:tcPr>
          <w:p>
            <w:pPr>
              <w:spacing w:after="0"/>
              <w:rPr>
                <w:sz w:val="13"/>
                <w:szCs w:val="13"/>
                <w:color w:val="auto"/>
              </w:rPr>
            </w:pPr>
          </w:p>
        </w:tc>
        <w:tc>
          <w:tcPr>
            <w:tcW w:w="166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940" w:type="dxa"/>
            <w:vAlign w:val="bottom"/>
            <w:tcBorders>
              <w:bottom w:val="single" w:sz="8" w:color="auto"/>
            </w:tcBorders>
            <w:gridSpan w:val="4"/>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4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0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9"/>
                <w:szCs w:val="9"/>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9"/>
                <w:szCs w:val="9"/>
                <w:color w:val="auto"/>
              </w:rPr>
            </w:pPr>
          </w:p>
        </w:tc>
        <w:tc>
          <w:tcPr>
            <w:tcW w:w="1260" w:type="dxa"/>
            <w:vAlign w:val="bottom"/>
            <w:gridSpan w:val="2"/>
          </w:tcPr>
          <w:p>
            <w:pPr>
              <w:ind w:left="40"/>
              <w:spacing w:after="0" w:line="113" w:lineRule="exact"/>
              <w:rPr>
                <w:sz w:val="20"/>
                <w:szCs w:val="20"/>
                <w:color w:val="auto"/>
              </w:rPr>
            </w:pPr>
            <w:r>
              <w:rPr>
                <w:rFonts w:ascii="Arial" w:cs="Arial" w:eastAsia="Arial" w:hAnsi="Arial"/>
                <w:sz w:val="13"/>
                <w:szCs w:val="13"/>
                <w:b w:val="1"/>
                <w:bCs w:val="1"/>
                <w:color w:val="auto"/>
              </w:rPr>
              <w:t>ADDITIONAL</w:t>
            </w:r>
          </w:p>
        </w:tc>
        <w:tc>
          <w:tcPr>
            <w:tcW w:w="180" w:type="dxa"/>
            <w:vAlign w:val="bottom"/>
          </w:tcPr>
          <w:p>
            <w:pPr>
              <w:spacing w:after="0"/>
              <w:rPr>
                <w:sz w:val="9"/>
                <w:szCs w:val="9"/>
                <w:color w:val="auto"/>
              </w:rPr>
            </w:pPr>
          </w:p>
        </w:tc>
        <w:tc>
          <w:tcPr>
            <w:tcW w:w="1080" w:type="dxa"/>
            <w:vAlign w:val="bottom"/>
            <w:gridSpan w:val="2"/>
          </w:tcPr>
          <w:p>
            <w:pPr>
              <w:ind w:left="100"/>
              <w:spacing w:after="0" w:line="113" w:lineRule="exact"/>
              <w:rPr>
                <w:sz w:val="20"/>
                <w:szCs w:val="20"/>
                <w:color w:val="auto"/>
              </w:rPr>
            </w:pPr>
            <w:r>
              <w:rPr>
                <w:rFonts w:ascii="Arial" w:cs="Arial" w:eastAsia="Arial" w:hAnsi="Arial"/>
                <w:sz w:val="13"/>
                <w:szCs w:val="13"/>
                <w:b w:val="1"/>
                <w:bCs w:val="1"/>
                <w:color w:val="auto"/>
              </w:rPr>
              <w:t>ULATED</w:t>
            </w:r>
          </w:p>
        </w:tc>
        <w:tc>
          <w:tcPr>
            <w:tcW w:w="140" w:type="dxa"/>
            <w:vAlign w:val="bottom"/>
          </w:tcPr>
          <w:p>
            <w:pPr>
              <w:spacing w:after="0"/>
              <w:rPr>
                <w:sz w:val="9"/>
                <w:szCs w:val="9"/>
                <w:color w:val="auto"/>
              </w:rPr>
            </w:pPr>
          </w:p>
        </w:tc>
        <w:tc>
          <w:tcPr>
            <w:tcW w:w="1660" w:type="dxa"/>
            <w:vAlign w:val="bottom"/>
            <w:gridSpan w:val="2"/>
          </w:tcPr>
          <w:p>
            <w:pPr>
              <w:jc w:val="center"/>
              <w:ind w:right="260"/>
              <w:spacing w:after="0" w:line="113" w:lineRule="exact"/>
              <w:rPr>
                <w:sz w:val="20"/>
                <w:szCs w:val="20"/>
                <w:color w:val="auto"/>
              </w:rPr>
            </w:pPr>
            <w:r>
              <w:rPr>
                <w:rFonts w:ascii="Arial" w:cs="Arial" w:eastAsia="Arial" w:hAnsi="Arial"/>
                <w:sz w:val="13"/>
                <w:szCs w:val="13"/>
                <w:b w:val="1"/>
                <w:bCs w:val="1"/>
                <w:color w:val="auto"/>
              </w:rPr>
              <w:t>COMPREHENSIVE</w:t>
            </w:r>
          </w:p>
        </w:tc>
        <w:tc>
          <w:tcPr>
            <w:tcW w:w="1600" w:type="dxa"/>
            <w:vAlign w:val="bottom"/>
            <w:gridSpan w:val="3"/>
          </w:tcPr>
          <w:p>
            <w:pPr>
              <w:ind w:left="20"/>
              <w:spacing w:after="0" w:line="113" w:lineRule="exact"/>
              <w:rPr>
                <w:sz w:val="20"/>
                <w:szCs w:val="20"/>
                <w:color w:val="auto"/>
              </w:rPr>
            </w:pPr>
            <w:r>
              <w:rPr>
                <w:rFonts w:ascii="Arial" w:cs="Arial" w:eastAsia="Arial" w:hAnsi="Arial"/>
                <w:sz w:val="13"/>
                <w:szCs w:val="13"/>
                <w:b w:val="1"/>
                <w:bCs w:val="1"/>
                <w:color w:val="auto"/>
              </w:rPr>
              <w:t>NON-CONTROLLING</w:t>
            </w:r>
          </w:p>
        </w:tc>
        <w:tc>
          <w:tcPr>
            <w:tcW w:w="140" w:type="dxa"/>
            <w:vAlign w:val="bottom"/>
          </w:tcPr>
          <w:p>
            <w:pPr>
              <w:spacing w:after="0"/>
              <w:rPr>
                <w:sz w:val="9"/>
                <w:szCs w:val="9"/>
                <w:color w:val="auto"/>
              </w:rPr>
            </w:pPr>
          </w:p>
        </w:tc>
        <w:tc>
          <w:tcPr>
            <w:tcW w:w="78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380" w:type="dxa"/>
            <w:vAlign w:val="bottom"/>
            <w:gridSpan w:val="3"/>
          </w:tcPr>
          <w:p>
            <w:pPr>
              <w:ind w:left="20"/>
              <w:spacing w:after="0"/>
              <w:rPr>
                <w:sz w:val="20"/>
                <w:szCs w:val="20"/>
                <w:color w:val="auto"/>
              </w:rPr>
            </w:pPr>
            <w:r>
              <w:rPr>
                <w:rFonts w:ascii="Arial" w:cs="Arial" w:eastAsia="Arial" w:hAnsi="Arial"/>
                <w:sz w:val="14"/>
                <w:szCs w:val="14"/>
                <w:b w:val="1"/>
                <w:bCs w:val="1"/>
                <w:color w:val="auto"/>
              </w:rPr>
              <w:t>PAID-IN CAPITAL</w:t>
            </w:r>
          </w:p>
        </w:tc>
        <w:tc>
          <w:tcPr>
            <w:tcW w:w="180" w:type="dxa"/>
            <w:vAlign w:val="bottom"/>
          </w:tcPr>
          <w:p>
            <w:pPr>
              <w:spacing w:after="0"/>
              <w:rPr>
                <w:sz w:val="17"/>
                <w:szCs w:val="17"/>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7"/>
                <w:szCs w:val="17"/>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LOSS</w:t>
            </w:r>
          </w:p>
        </w:tc>
        <w:tc>
          <w:tcPr>
            <w:tcW w:w="220" w:type="dxa"/>
            <w:vAlign w:val="bottom"/>
          </w:tcPr>
          <w:p>
            <w:pPr>
              <w:spacing w:after="0"/>
              <w:rPr>
                <w:sz w:val="17"/>
                <w:szCs w:val="17"/>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INTERESTS</w:t>
            </w:r>
          </w:p>
        </w:tc>
        <w:tc>
          <w:tcPr>
            <w:tcW w:w="1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March 31, 2019</w:t>
            </w:r>
          </w:p>
        </w:tc>
        <w:tc>
          <w:tcPr>
            <w:tcW w:w="900" w:type="dxa"/>
            <w:vAlign w:val="bottom"/>
            <w:tcBorders>
              <w:top w:val="single" w:sz="8" w:color="auto"/>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91,647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916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1,099,346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(714,425)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(141,653)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8,179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252,363</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2180" w:type="dxa"/>
            <w:vAlign w:val="bottom"/>
          </w:tcPr>
          <w:p>
            <w:pPr>
              <w:spacing w:after="0"/>
              <w:rPr>
                <w:sz w:val="20"/>
                <w:szCs w:val="20"/>
                <w:color w:val="auto"/>
              </w:rPr>
            </w:pPr>
            <w:r>
              <w:rPr>
                <w:rFonts w:ascii="Arial" w:cs="Arial" w:eastAsia="Arial" w:hAnsi="Arial"/>
                <w:sz w:val="16"/>
                <w:szCs w:val="16"/>
                <w:color w:val="auto"/>
              </w:rPr>
              <w:t>Net income</w:t>
            </w: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29,021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gridSpan w:val="2"/>
          </w:tcPr>
          <w:p>
            <w:pPr>
              <w:ind w:left="1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788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29,809</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 w:type="dxa"/>
            <w:vAlign w:val="bottom"/>
          </w:tcPr>
          <w:p>
            <w:pPr>
              <w:spacing w:after="0"/>
              <w:rPr>
                <w:sz w:val="19"/>
                <w:szCs w:val="19"/>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6"/>
                <w:szCs w:val="16"/>
                <w:color w:val="auto"/>
              </w:rPr>
              <w:t>Other comprehensive (loss)</w:t>
            </w: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2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income, net of tax</w:t>
            </w: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(15,727)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(15,585)</w:t>
            </w: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2180" w:type="dxa"/>
            <w:vAlign w:val="bottom"/>
          </w:tcPr>
          <w:p>
            <w:pPr>
              <w:spacing w:after="0" w:line="166" w:lineRule="exact"/>
              <w:rPr>
                <w:sz w:val="20"/>
                <w:szCs w:val="20"/>
                <w:color w:val="auto"/>
              </w:rPr>
            </w:pPr>
            <w:r>
              <w:rPr>
                <w:rFonts w:ascii="Arial" w:cs="Arial" w:eastAsia="Arial" w:hAnsi="Arial"/>
                <w:sz w:val="16"/>
                <w:szCs w:val="16"/>
                <w:color w:val="auto"/>
                <w:w w:val="96"/>
              </w:rPr>
              <w:t>Cash dividends declared, $0.10</w:t>
            </w:r>
          </w:p>
        </w:tc>
        <w:tc>
          <w:tcPr>
            <w:tcW w:w="1000" w:type="dxa"/>
            <w:vAlign w:val="bottom"/>
            <w:gridSpan w:val="2"/>
            <w:vMerge w:val="restart"/>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20" w:type="dxa"/>
            <w:vAlign w:val="bottom"/>
            <w:gridSpan w:val="2"/>
            <w:vMerge w:val="restart"/>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140" w:type="dxa"/>
            <w:vAlign w:val="bottom"/>
            <w:vMerge w:val="restart"/>
          </w:tcPr>
          <w:p>
            <w:pPr>
              <w:jc w:val="right"/>
              <w:ind w:right="20"/>
              <w:spacing w:after="0"/>
              <w:rPr>
                <w:sz w:val="20"/>
                <w:szCs w:val="20"/>
                <w:color w:val="auto"/>
              </w:rPr>
            </w:pPr>
            <w:r>
              <w:rPr>
                <w:rFonts w:ascii="Arial" w:cs="Arial" w:eastAsia="Arial" w:hAnsi="Arial"/>
                <w:sz w:val="16"/>
                <w:szCs w:val="16"/>
                <w:color w:val="auto"/>
              </w:rPr>
              <w:t>(9,227)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vMerge w:val="restart"/>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660" w:type="dxa"/>
            <w:vAlign w:val="bottom"/>
            <w:gridSpan w:val="2"/>
            <w:vMerge w:val="restart"/>
          </w:tcPr>
          <w:p>
            <w:pPr>
              <w:ind w:left="1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1380" w:type="dxa"/>
            <w:vAlign w:val="bottom"/>
            <w:gridSpan w:val="2"/>
            <w:vMerge w:val="restart"/>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780" w:type="dxa"/>
            <w:vAlign w:val="bottom"/>
            <w:vMerge w:val="restart"/>
          </w:tcPr>
          <w:p>
            <w:pPr>
              <w:jc w:val="right"/>
              <w:ind w:right="19"/>
              <w:spacing w:after="0"/>
              <w:rPr>
                <w:sz w:val="20"/>
                <w:szCs w:val="20"/>
                <w:color w:val="auto"/>
              </w:rPr>
            </w:pPr>
            <w:r>
              <w:rPr>
                <w:rFonts w:ascii="Arial" w:cs="Arial" w:eastAsia="Arial" w:hAnsi="Arial"/>
                <w:sz w:val="16"/>
                <w:szCs w:val="16"/>
                <w:color w:val="auto"/>
              </w:rPr>
              <w:t>(9,227)</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6"/>
                <w:szCs w:val="16"/>
                <w:color w:val="auto"/>
              </w:rPr>
              <w:t>per common share</w:t>
            </w: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6"/>
                <w:szCs w:val="16"/>
                <w:color w:val="auto"/>
              </w:rPr>
              <w:t>Repurchase and retirement of</w:t>
            </w: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2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common stock</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(5,469)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(106,937)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gridSpan w:val="2"/>
            <w:shd w:val="clear" w:color="auto" w:fill="CCEEFF"/>
          </w:tcPr>
          <w:p>
            <w:pPr>
              <w:ind w:left="1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6"/>
              </w:rPr>
              <w:t>(106,992)</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218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40" w:type="dxa"/>
            <w:vAlign w:val="bottom"/>
          </w:tcPr>
          <w:p>
            <w:pPr>
              <w:jc w:val="right"/>
              <w:ind w:right="60"/>
              <w:spacing w:after="0"/>
              <w:rPr>
                <w:sz w:val="20"/>
                <w:szCs w:val="20"/>
                <w:color w:val="auto"/>
              </w:rPr>
            </w:pPr>
            <w:r>
              <w:rPr>
                <w:rFonts w:ascii="Arial" w:cs="Arial" w:eastAsia="Arial" w:hAnsi="Arial"/>
                <w:sz w:val="16"/>
                <w:szCs w:val="16"/>
                <w:color w:val="auto"/>
              </w:rPr>
              <w:t>5,137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660" w:type="dxa"/>
            <w:vAlign w:val="bottom"/>
            <w:gridSpan w:val="2"/>
          </w:tcPr>
          <w:p>
            <w:pPr>
              <w:ind w:left="1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5,137</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 w:type="dxa"/>
            <w:vAlign w:val="bottom"/>
          </w:tcPr>
          <w:p>
            <w:pPr>
              <w:spacing w:after="0"/>
              <w:rPr>
                <w:sz w:val="19"/>
                <w:szCs w:val="19"/>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6"/>
                <w:szCs w:val="16"/>
                <w:color w:val="auto"/>
              </w:rPr>
              <w:t>Common stock issued under</w:t>
            </w: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2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stock plans (1)</w:t>
            </w: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649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4,499</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gridSpan w:val="2"/>
            <w:shd w:val="clear" w:color="auto" w:fill="CCEEFF"/>
          </w:tcPr>
          <w:p>
            <w:pPr>
              <w:ind w:left="1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4,506</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180" w:type="dxa"/>
            <w:vAlign w:val="bottom"/>
          </w:tcPr>
          <w:p>
            <w:pPr>
              <w:spacing w:after="0"/>
              <w:rPr>
                <w:sz w:val="20"/>
                <w:szCs w:val="20"/>
                <w:color w:val="auto"/>
              </w:rPr>
            </w:pPr>
            <w:r>
              <w:rPr>
                <w:rFonts w:ascii="Arial" w:cs="Arial" w:eastAsia="Arial" w:hAnsi="Arial"/>
                <w:sz w:val="16"/>
                <w:szCs w:val="16"/>
                <w:color w:val="auto"/>
              </w:rPr>
              <w:t>Purchase of noncontrolling</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2180" w:type="dxa"/>
            <w:vAlign w:val="bottom"/>
          </w:tcPr>
          <w:p>
            <w:pPr>
              <w:spacing w:after="0"/>
              <w:rPr>
                <w:sz w:val="20"/>
                <w:szCs w:val="20"/>
                <w:color w:val="auto"/>
              </w:rPr>
            </w:pPr>
            <w:r>
              <w:rPr>
                <w:rFonts w:ascii="Arial" w:cs="Arial" w:eastAsia="Arial" w:hAnsi="Arial"/>
                <w:sz w:val="16"/>
                <w:szCs w:val="16"/>
                <w:color w:val="auto"/>
              </w:rPr>
              <w:t>interests</w:t>
            </w: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(157)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560" w:type="dxa"/>
            <w:vAlign w:val="bottom"/>
          </w:tcPr>
          <w:p>
            <w:pPr>
              <w:ind w:left="1240"/>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 w:type="dxa"/>
            <w:vAlign w:val="bottom"/>
          </w:tcPr>
          <w:p>
            <w:pPr>
              <w:spacing w:after="0"/>
              <w:rPr>
                <w:sz w:val="19"/>
                <w:szCs w:val="19"/>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6"/>
                <w:szCs w:val="16"/>
                <w:color w:val="auto"/>
              </w:rPr>
              <w:t>Distributions to noncontrolling</w:t>
            </w: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2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interests</w:t>
            </w: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gridSpan w:val="2"/>
            <w:shd w:val="clear" w:color="auto" w:fill="CCEEFF"/>
          </w:tcPr>
          <w:p>
            <w:pPr>
              <w:ind w:left="1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(1,578)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(1,578)</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180" w:type="dxa"/>
            <w:vAlign w:val="bottom"/>
          </w:tcPr>
          <w:p>
            <w:pPr>
              <w:spacing w:after="0"/>
              <w:rPr>
                <w:sz w:val="20"/>
                <w:szCs w:val="20"/>
                <w:color w:val="auto"/>
              </w:rPr>
            </w:pPr>
            <w:r>
              <w:rPr>
                <w:rFonts w:ascii="Arial" w:cs="Arial" w:eastAsia="Arial" w:hAnsi="Arial"/>
                <w:sz w:val="16"/>
                <w:szCs w:val="16"/>
                <w:color w:val="auto"/>
              </w:rPr>
              <w:t>Contributions from</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2180" w:type="dxa"/>
            <w:vAlign w:val="bottom"/>
          </w:tcPr>
          <w:p>
            <w:pPr>
              <w:spacing w:after="0"/>
              <w:rPr>
                <w:sz w:val="20"/>
                <w:szCs w:val="20"/>
                <w:color w:val="auto"/>
              </w:rPr>
            </w:pPr>
            <w:r>
              <w:rPr>
                <w:rFonts w:ascii="Arial" w:cs="Arial" w:eastAsia="Arial" w:hAnsi="Arial"/>
                <w:sz w:val="16"/>
                <w:szCs w:val="16"/>
                <w:color w:val="auto"/>
              </w:rPr>
              <w:t>noncontrolling interests</w:t>
            </w: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660" w:type="dxa"/>
            <w:vAlign w:val="bottom"/>
            <w:gridSpan w:val="2"/>
          </w:tcPr>
          <w:p>
            <w:pPr>
              <w:ind w:left="1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201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201</w:t>
            </w:r>
          </w:p>
        </w:tc>
        <w:tc>
          <w:tcPr>
            <w:tcW w:w="0" w:type="dxa"/>
            <w:vAlign w:val="bottom"/>
          </w:tcPr>
          <w:p>
            <w:pPr>
              <w:spacing w:after="0"/>
              <w:rPr>
                <w:sz w:val="1"/>
                <w:szCs w:val="1"/>
                <w:color w:val="auto"/>
              </w:rPr>
            </w:pPr>
          </w:p>
        </w:tc>
      </w:tr>
      <w:tr>
        <w:trPr>
          <w:trHeight w:val="272"/>
        </w:trPr>
        <w:tc>
          <w:tcPr>
            <w:tcW w:w="40" w:type="dxa"/>
            <w:vAlign w:val="bottom"/>
          </w:tcPr>
          <w:p>
            <w:pPr>
              <w:spacing w:after="0"/>
              <w:rPr>
                <w:sz w:val="23"/>
                <w:szCs w:val="23"/>
                <w:color w:val="auto"/>
              </w:rPr>
            </w:pPr>
          </w:p>
        </w:tc>
        <w:tc>
          <w:tcPr>
            <w:tcW w:w="2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June 30, 2019</w:t>
            </w:r>
          </w:p>
        </w:tc>
        <w:tc>
          <w:tcPr>
            <w:tcW w:w="90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86,827</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868</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1,099,598</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(792,341)</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(157,346)</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7,814</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158,593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0" w:type="dxa"/>
            <w:vAlign w:val="bottom"/>
          </w:tcPr>
          <w:p>
            <w:pPr>
              <w:spacing w:after="0"/>
              <w:rPr>
                <w:sz w:val="17"/>
                <w:szCs w:val="17"/>
                <w:color w:val="auto"/>
              </w:rPr>
            </w:pPr>
          </w:p>
        </w:tc>
        <w:tc>
          <w:tcPr>
            <w:tcW w:w="218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2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December 30, 2018</w:t>
            </w: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91,272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913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1,107,582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(920,010)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(142,755)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9,087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54,817</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180" w:type="dxa"/>
            <w:vAlign w:val="bottom"/>
          </w:tcPr>
          <w:p>
            <w:pPr>
              <w:spacing w:after="0"/>
              <w:rPr>
                <w:sz w:val="20"/>
                <w:szCs w:val="20"/>
                <w:color w:val="auto"/>
              </w:rPr>
            </w:pPr>
            <w:r>
              <w:rPr>
                <w:rFonts w:ascii="Arial" w:cs="Arial" w:eastAsia="Arial" w:hAnsi="Arial"/>
                <w:sz w:val="16"/>
                <w:szCs w:val="16"/>
                <w:color w:val="auto"/>
                <w:w w:val="93"/>
              </w:rPr>
              <w:t>Cumulative-effect from a change</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180" w:type="dxa"/>
            <w:vAlign w:val="bottom"/>
          </w:tcPr>
          <w:p>
            <w:pPr>
              <w:spacing w:after="0"/>
              <w:rPr>
                <w:sz w:val="20"/>
                <w:szCs w:val="20"/>
                <w:color w:val="auto"/>
              </w:rPr>
            </w:pPr>
            <w:r>
              <w:rPr>
                <w:rFonts w:ascii="Arial" w:cs="Arial" w:eastAsia="Arial" w:hAnsi="Arial"/>
                <w:sz w:val="16"/>
                <w:szCs w:val="16"/>
                <w:color w:val="auto"/>
              </w:rPr>
              <w:t>in accounting principle, net of</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2180" w:type="dxa"/>
            <w:vAlign w:val="bottom"/>
          </w:tcPr>
          <w:p>
            <w:pPr>
              <w:spacing w:after="0"/>
              <w:rPr>
                <w:sz w:val="20"/>
                <w:szCs w:val="20"/>
                <w:color w:val="auto"/>
              </w:rPr>
            </w:pPr>
            <w:r>
              <w:rPr>
                <w:rFonts w:ascii="Arial" w:cs="Arial" w:eastAsia="Arial" w:hAnsi="Arial"/>
                <w:sz w:val="16"/>
                <w:szCs w:val="16"/>
                <w:color w:val="auto"/>
              </w:rPr>
              <w:t>tax</w:t>
            </w: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141,285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gridSpan w:val="2"/>
          </w:tcPr>
          <w:p>
            <w:pPr>
              <w:ind w:left="1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141,285</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40" w:type="dxa"/>
            <w:vAlign w:val="bottom"/>
          </w:tcPr>
          <w:p>
            <w:pPr>
              <w:spacing w:after="0"/>
              <w:rPr>
                <w:sz w:val="20"/>
                <w:szCs w:val="20"/>
                <w:color w:val="auto"/>
              </w:rPr>
            </w:pPr>
          </w:p>
        </w:tc>
        <w:tc>
          <w:tcPr>
            <w:tcW w:w="2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income</w:t>
            </w: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93,321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gridSpan w:val="2"/>
            <w:shd w:val="clear" w:color="auto" w:fill="CCEEFF"/>
          </w:tcPr>
          <w:p>
            <w:pPr>
              <w:ind w:left="1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2,137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95,458</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180" w:type="dxa"/>
            <w:vAlign w:val="bottom"/>
          </w:tcPr>
          <w:p>
            <w:pPr>
              <w:spacing w:after="0"/>
              <w:rPr>
                <w:sz w:val="20"/>
                <w:szCs w:val="20"/>
                <w:color w:val="auto"/>
              </w:rPr>
            </w:pPr>
            <w:r>
              <w:rPr>
                <w:rFonts w:ascii="Arial" w:cs="Arial" w:eastAsia="Arial" w:hAnsi="Arial"/>
                <w:sz w:val="16"/>
                <w:szCs w:val="16"/>
                <w:color w:val="auto"/>
              </w:rPr>
              <w:t>Other comprehensive (loss)</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2180" w:type="dxa"/>
            <w:vAlign w:val="bottom"/>
          </w:tcPr>
          <w:p>
            <w:pPr>
              <w:spacing w:after="0"/>
              <w:rPr>
                <w:sz w:val="20"/>
                <w:szCs w:val="20"/>
                <w:color w:val="auto"/>
              </w:rPr>
            </w:pPr>
            <w:r>
              <w:rPr>
                <w:rFonts w:ascii="Arial" w:cs="Arial" w:eastAsia="Arial" w:hAnsi="Arial"/>
                <w:sz w:val="16"/>
                <w:szCs w:val="16"/>
                <w:color w:val="auto"/>
              </w:rPr>
              <w:t>income, net of tax</w:t>
            </w: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560" w:type="dxa"/>
            <w:vAlign w:val="bottom"/>
          </w:tcPr>
          <w:p>
            <w:pPr>
              <w:jc w:val="right"/>
              <w:ind w:right="41"/>
              <w:spacing w:after="0"/>
              <w:rPr>
                <w:sz w:val="20"/>
                <w:szCs w:val="20"/>
                <w:color w:val="auto"/>
              </w:rPr>
            </w:pPr>
            <w:r>
              <w:rPr>
                <w:rFonts w:ascii="Arial" w:cs="Arial" w:eastAsia="Arial" w:hAnsi="Arial"/>
                <w:sz w:val="16"/>
                <w:szCs w:val="16"/>
                <w:color w:val="auto"/>
              </w:rPr>
              <w:t>(14,625)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(14,575)</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40" w:type="dxa"/>
            <w:vAlign w:val="bottom"/>
          </w:tcPr>
          <w:p>
            <w:pPr>
              <w:spacing w:after="0"/>
              <w:rPr>
                <w:sz w:val="14"/>
                <w:szCs w:val="14"/>
                <w:color w:val="auto"/>
              </w:rPr>
            </w:pPr>
          </w:p>
        </w:tc>
        <w:tc>
          <w:tcPr>
            <w:tcW w:w="2180" w:type="dxa"/>
            <w:vAlign w:val="bottom"/>
            <w:shd w:val="clear" w:color="auto" w:fill="CCEEFF"/>
          </w:tcPr>
          <w:p>
            <w:pPr>
              <w:spacing w:after="0" w:line="166" w:lineRule="exact"/>
              <w:rPr>
                <w:sz w:val="20"/>
                <w:szCs w:val="20"/>
                <w:color w:val="auto"/>
              </w:rPr>
            </w:pPr>
            <w:r>
              <w:rPr>
                <w:rFonts w:ascii="Arial" w:cs="Arial" w:eastAsia="Arial" w:hAnsi="Arial"/>
                <w:sz w:val="16"/>
                <w:szCs w:val="16"/>
                <w:color w:val="auto"/>
                <w:w w:val="96"/>
              </w:rPr>
              <w:t>Cash dividends declared, $0.20</w:t>
            </w:r>
          </w:p>
        </w:tc>
        <w:tc>
          <w:tcPr>
            <w:tcW w:w="10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(18,367)</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660" w:type="dxa"/>
            <w:vAlign w:val="bottom"/>
            <w:gridSpan w:val="2"/>
            <w:vMerge w:val="restart"/>
            <w:shd w:val="clear" w:color="auto" w:fill="CCEEFF"/>
          </w:tcPr>
          <w:p>
            <w:pPr>
              <w:ind w:left="12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13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(18,367)</w:t>
            </w: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6"/>
                <w:szCs w:val="16"/>
                <w:color w:val="auto"/>
              </w:rPr>
              <w:t>per common share</w:t>
            </w: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180" w:type="dxa"/>
            <w:vAlign w:val="bottom"/>
          </w:tcPr>
          <w:p>
            <w:pPr>
              <w:spacing w:after="0"/>
              <w:rPr>
                <w:sz w:val="20"/>
                <w:szCs w:val="20"/>
                <w:color w:val="auto"/>
              </w:rPr>
            </w:pPr>
            <w:r>
              <w:rPr>
                <w:rFonts w:ascii="Arial" w:cs="Arial" w:eastAsia="Arial" w:hAnsi="Arial"/>
                <w:sz w:val="16"/>
                <w:szCs w:val="16"/>
                <w:color w:val="auto"/>
              </w:rPr>
              <w:t>Repurchase and retirement of</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2180" w:type="dxa"/>
            <w:vAlign w:val="bottom"/>
          </w:tcPr>
          <w:p>
            <w:pPr>
              <w:spacing w:after="0"/>
              <w:rPr>
                <w:sz w:val="20"/>
                <w:szCs w:val="20"/>
                <w:color w:val="auto"/>
              </w:rPr>
            </w:pPr>
            <w:r>
              <w:rPr>
                <w:rFonts w:ascii="Arial" w:cs="Arial" w:eastAsia="Arial" w:hAnsi="Arial"/>
                <w:sz w:val="16"/>
                <w:szCs w:val="16"/>
                <w:color w:val="auto"/>
              </w:rPr>
              <w:t>common stock</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(5,469)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(106,937)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gridSpan w:val="2"/>
          </w:tcPr>
          <w:p>
            <w:pPr>
              <w:ind w:left="1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w w:val="96"/>
              </w:rPr>
              <w:t>(106,992)</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2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Stock-based compensation</w:t>
            </w: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9,130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gridSpan w:val="2"/>
            <w:shd w:val="clear" w:color="auto" w:fill="CCEEFF"/>
          </w:tcPr>
          <w:p>
            <w:pPr>
              <w:ind w:left="1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9,130</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180" w:type="dxa"/>
            <w:vAlign w:val="bottom"/>
          </w:tcPr>
          <w:p>
            <w:pPr>
              <w:spacing w:after="0"/>
              <w:rPr>
                <w:sz w:val="20"/>
                <w:szCs w:val="20"/>
                <w:color w:val="auto"/>
              </w:rPr>
            </w:pPr>
            <w:r>
              <w:rPr>
                <w:rFonts w:ascii="Arial" w:cs="Arial" w:eastAsia="Arial" w:hAnsi="Arial"/>
                <w:sz w:val="16"/>
                <w:szCs w:val="16"/>
                <w:color w:val="auto"/>
              </w:rPr>
              <w:t>Common stock issued under</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2180" w:type="dxa"/>
            <w:vAlign w:val="bottom"/>
          </w:tcPr>
          <w:p>
            <w:pPr>
              <w:spacing w:after="0"/>
              <w:rPr>
                <w:sz w:val="20"/>
                <w:szCs w:val="20"/>
                <w:color w:val="auto"/>
              </w:rPr>
            </w:pPr>
            <w:r>
              <w:rPr>
                <w:rFonts w:ascii="Arial" w:cs="Arial" w:eastAsia="Arial" w:hAnsi="Arial"/>
                <w:sz w:val="16"/>
                <w:szCs w:val="16"/>
                <w:color w:val="auto"/>
              </w:rPr>
              <w:t>stock plans (1)</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1,024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60"/>
              <w:spacing w:after="0"/>
              <w:rPr>
                <w:sz w:val="20"/>
                <w:szCs w:val="20"/>
                <w:color w:val="auto"/>
              </w:rPr>
            </w:pPr>
            <w:r>
              <w:rPr>
                <w:rFonts w:ascii="Arial" w:cs="Arial" w:eastAsia="Arial" w:hAnsi="Arial"/>
                <w:sz w:val="16"/>
                <w:szCs w:val="16"/>
                <w:color w:val="auto"/>
              </w:rPr>
              <w:t>1,410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660" w:type="dxa"/>
            <w:vAlign w:val="bottom"/>
            <w:gridSpan w:val="2"/>
          </w:tcPr>
          <w:p>
            <w:pPr>
              <w:ind w:left="1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1,420</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 w:type="dxa"/>
            <w:vAlign w:val="bottom"/>
          </w:tcPr>
          <w:p>
            <w:pPr>
              <w:spacing w:after="0"/>
              <w:rPr>
                <w:sz w:val="19"/>
                <w:szCs w:val="19"/>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6"/>
                <w:szCs w:val="16"/>
                <w:color w:val="auto"/>
              </w:rPr>
              <w:t>Purchase of noncontrolling</w:t>
            </w: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2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interests</w:t>
            </w: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(157)</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ind w:left="1240"/>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180" w:type="dxa"/>
            <w:vAlign w:val="bottom"/>
          </w:tcPr>
          <w:p>
            <w:pPr>
              <w:spacing w:after="0"/>
              <w:rPr>
                <w:sz w:val="20"/>
                <w:szCs w:val="20"/>
                <w:color w:val="auto"/>
              </w:rPr>
            </w:pPr>
            <w:r>
              <w:rPr>
                <w:rFonts w:ascii="Arial" w:cs="Arial" w:eastAsia="Arial" w:hAnsi="Arial"/>
                <w:sz w:val="16"/>
                <w:szCs w:val="16"/>
                <w:color w:val="auto"/>
              </w:rPr>
              <w:t>Distributions to noncontrolling</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2180" w:type="dxa"/>
            <w:vAlign w:val="bottom"/>
          </w:tcPr>
          <w:p>
            <w:pPr>
              <w:spacing w:after="0"/>
              <w:rPr>
                <w:sz w:val="20"/>
                <w:szCs w:val="20"/>
                <w:color w:val="auto"/>
              </w:rPr>
            </w:pPr>
            <w:r>
              <w:rPr>
                <w:rFonts w:ascii="Arial" w:cs="Arial" w:eastAsia="Arial" w:hAnsi="Arial"/>
                <w:sz w:val="16"/>
                <w:szCs w:val="16"/>
                <w:color w:val="auto"/>
              </w:rPr>
              <w:t>interests</w:t>
            </w: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660" w:type="dxa"/>
            <w:vAlign w:val="bottom"/>
            <w:gridSpan w:val="2"/>
          </w:tcPr>
          <w:p>
            <w:pPr>
              <w:ind w:left="1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(4,007)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(4,007)</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 w:type="dxa"/>
            <w:vAlign w:val="bottom"/>
          </w:tcPr>
          <w:p>
            <w:pPr>
              <w:spacing w:after="0"/>
              <w:rPr>
                <w:sz w:val="19"/>
                <w:szCs w:val="19"/>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6"/>
                <w:szCs w:val="16"/>
                <w:color w:val="auto"/>
              </w:rPr>
              <w:t>Contributions from</w:t>
            </w: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6"/>
                <w:szCs w:val="16"/>
                <w:color w:val="auto"/>
              </w:rPr>
              <w:t>noncontrolling interests</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ind w:left="12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465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465</w:t>
            </w:r>
          </w:p>
        </w:tc>
        <w:tc>
          <w:tcPr>
            <w:tcW w:w="0" w:type="dxa"/>
            <w:vAlign w:val="bottom"/>
          </w:tcPr>
          <w:p>
            <w:pPr>
              <w:spacing w:after="0"/>
              <w:rPr>
                <w:sz w:val="1"/>
                <w:szCs w:val="1"/>
                <w:color w:val="auto"/>
              </w:rPr>
            </w:pPr>
          </w:p>
        </w:tc>
      </w:tr>
      <w:tr>
        <w:trPr>
          <w:trHeight w:val="251"/>
        </w:trPr>
        <w:tc>
          <w:tcPr>
            <w:tcW w:w="40" w:type="dxa"/>
            <w:vAlign w:val="bottom"/>
          </w:tcPr>
          <w:p>
            <w:pPr>
              <w:spacing w:after="0"/>
              <w:rPr>
                <w:sz w:val="21"/>
                <w:szCs w:val="21"/>
                <w:color w:val="auto"/>
              </w:rPr>
            </w:pPr>
          </w:p>
        </w:tc>
        <w:tc>
          <w:tcPr>
            <w:tcW w:w="2180" w:type="dxa"/>
            <w:vAlign w:val="bottom"/>
            <w:tcBorders>
              <w:top w:val="single" w:sz="8" w:color="CCEEFF"/>
            </w:tcBorders>
          </w:tcPr>
          <w:p>
            <w:pPr>
              <w:spacing w:after="0"/>
              <w:rPr>
                <w:sz w:val="20"/>
                <w:szCs w:val="20"/>
                <w:color w:val="auto"/>
              </w:rPr>
            </w:pPr>
            <w:r>
              <w:rPr>
                <w:rFonts w:ascii="Arial" w:cs="Arial" w:eastAsia="Arial" w:hAnsi="Arial"/>
                <w:sz w:val="16"/>
                <w:szCs w:val="16"/>
                <w:color w:val="auto"/>
              </w:rPr>
              <w:t>Balance, June 30, 2019</w:t>
            </w:r>
          </w:p>
        </w:tc>
        <w:tc>
          <w:tcPr>
            <w:tcW w:w="90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6"/>
                <w:szCs w:val="16"/>
                <w:color w:val="auto"/>
              </w:rPr>
              <w:t>86,827</w:t>
            </w:r>
          </w:p>
        </w:tc>
        <w:tc>
          <w:tcPr>
            <w:tcW w:w="100" w:type="dxa"/>
            <w:vAlign w:val="bottom"/>
            <w:tcBorders>
              <w:top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868</w:t>
            </w:r>
          </w:p>
        </w:tc>
        <w:tc>
          <w:tcPr>
            <w:tcW w:w="100" w:type="dxa"/>
            <w:vAlign w:val="bottom"/>
            <w:tcBorders>
              <w:top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1,099,598</w:t>
            </w:r>
          </w:p>
        </w:tc>
        <w:tc>
          <w:tcPr>
            <w:tcW w:w="120" w:type="dxa"/>
            <w:vAlign w:val="bottom"/>
            <w:tcBorders>
              <w:top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(792,341)</w:t>
            </w:r>
          </w:p>
        </w:tc>
        <w:tc>
          <w:tcPr>
            <w:tcW w:w="100" w:type="dxa"/>
            <w:vAlign w:val="bottom"/>
            <w:tcBorders>
              <w:top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(157,346)</w:t>
            </w:r>
          </w:p>
        </w:tc>
        <w:tc>
          <w:tcPr>
            <w:tcW w:w="100" w:type="dxa"/>
            <w:vAlign w:val="bottom"/>
            <w:tcBorders>
              <w:top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7,814</w:t>
            </w:r>
          </w:p>
        </w:tc>
        <w:tc>
          <w:tcPr>
            <w:tcW w:w="100" w:type="dxa"/>
            <w:vAlign w:val="bottom"/>
            <w:tcBorders>
              <w:top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158,593</w:t>
            </w:r>
          </w:p>
        </w:tc>
        <w:tc>
          <w:tcPr>
            <w:tcW w:w="0" w:type="dxa"/>
            <w:vAlign w:val="bottom"/>
          </w:tcPr>
          <w:p>
            <w:pPr>
              <w:spacing w:after="0"/>
              <w:rPr>
                <w:sz w:val="1"/>
                <w:szCs w:val="1"/>
                <w:color w:val="auto"/>
              </w:rPr>
            </w:pPr>
          </w:p>
        </w:tc>
      </w:tr>
      <w:tr>
        <w:trPr>
          <w:trHeight w:val="26"/>
        </w:trPr>
        <w:tc>
          <w:tcPr>
            <w:tcW w:w="2220" w:type="dxa"/>
            <w:vAlign w:val="bottom"/>
            <w:gridSpan w:val="2"/>
            <w:vMerge w:val="restart"/>
          </w:tcPr>
          <w:p>
            <w:pPr>
              <w:jc w:val="right"/>
              <w:ind w:right="839"/>
              <w:spacing w:after="0"/>
              <w:rPr>
                <w:sz w:val="20"/>
                <w:szCs w:val="20"/>
                <w:color w:val="auto"/>
              </w:rPr>
            </w:pPr>
            <w:r>
              <w:rPr>
                <w:rFonts w:ascii="Arial" w:cs="Arial" w:eastAsia="Arial" w:hAnsi="Arial"/>
                <w:sz w:val="16"/>
                <w:szCs w:val="16"/>
                <w:color w:val="auto"/>
                <w:w w:val="89"/>
              </w:rPr>
              <w:t>________________</w:t>
            </w: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220" w:type="dxa"/>
            <w:vAlign w:val="bottom"/>
            <w:gridSpan w:val="2"/>
            <w:vMerge w:val="continue"/>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Net of forfeitures and shares withheld for employee taxes.</w:t>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The accompanying notes are an integral part of these consolidated financial statements.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7" w:name="page8"/>
    <w:bookmarkEnd w:id="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BLOOMIN’ BRANDS, INC.</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CONDENSED CONSOLIDATED STATEMENTS OF CASH FLOWS</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(DOLLARS IN THOUSANDS, UNAUDITED)</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3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620" w:type="dxa"/>
            <w:vAlign w:val="bottom"/>
            <w:tcBorders>
              <w:bottom w:val="single" w:sz="8" w:color="auto"/>
            </w:tcBorders>
            <w:gridSpan w:val="4"/>
          </w:tcPr>
          <w:p>
            <w:pPr>
              <w:jc w:val="right"/>
              <w:ind w:right="859"/>
              <w:spacing w:after="0"/>
              <w:rPr>
                <w:sz w:val="20"/>
                <w:szCs w:val="20"/>
                <w:color w:val="auto"/>
              </w:rPr>
            </w:pPr>
            <w:r>
              <w:rPr>
                <w:rFonts w:ascii="Arial" w:cs="Arial" w:eastAsia="Arial" w:hAnsi="Arial"/>
                <w:sz w:val="14"/>
                <w:szCs w:val="14"/>
                <w:b w:val="1"/>
                <w:bCs w:val="1"/>
                <w:color w:val="auto"/>
              </w:rPr>
              <w:t>TWENTY-SIX WEEKS ENDED</w:t>
            </w:r>
          </w:p>
        </w:tc>
      </w:tr>
      <w:tr>
        <w:trPr>
          <w:trHeight w:val="210"/>
        </w:trPr>
        <w:tc>
          <w:tcPr>
            <w:tcW w:w="7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28, 2020</w:t>
            </w:r>
          </w:p>
        </w:tc>
        <w:tc>
          <w:tcPr>
            <w:tcW w:w="300" w:type="dxa"/>
            <w:vAlign w:val="bottom"/>
          </w:tcPr>
          <w:p>
            <w:pPr>
              <w:spacing w:after="0"/>
              <w:rPr>
                <w:sz w:val="18"/>
                <w:szCs w:val="18"/>
                <w:color w:val="auto"/>
              </w:rPr>
            </w:pPr>
          </w:p>
        </w:tc>
        <w:tc>
          <w:tcPr>
            <w:tcW w:w="1600" w:type="dxa"/>
            <w:vAlign w:val="bottom"/>
          </w:tcPr>
          <w:p>
            <w:pPr>
              <w:jc w:val="right"/>
              <w:ind w:right="419"/>
              <w:spacing w:after="0"/>
              <w:rPr>
                <w:sz w:val="20"/>
                <w:szCs w:val="20"/>
                <w:color w:val="auto"/>
              </w:rPr>
            </w:pPr>
            <w:r>
              <w:rPr>
                <w:rFonts w:ascii="Arial" w:cs="Arial" w:eastAsia="Arial" w:hAnsi="Arial"/>
                <w:sz w:val="14"/>
                <w:szCs w:val="14"/>
                <w:b w:val="1"/>
                <w:bCs w:val="1"/>
                <w:color w:val="auto"/>
              </w:rPr>
              <w:t>JUNE 30, 2019</w:t>
            </w:r>
          </w:p>
        </w:tc>
      </w:tr>
      <w:tr>
        <w:trPr>
          <w:trHeight w:val="277"/>
        </w:trPr>
        <w:tc>
          <w:tcPr>
            <w:tcW w:w="7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(used in) provided by operating activities:</w:t>
            </w:r>
          </w:p>
        </w:tc>
        <w:tc>
          <w:tcPr>
            <w:tcW w:w="280" w:type="dxa"/>
            <w:vAlign w:val="bottom"/>
            <w:tcBorders>
              <w:top w:val="single" w:sz="8" w:color="auto"/>
              <w:bottom w:val="single" w:sz="8" w:color="CCEEFF"/>
            </w:tcBorders>
            <w:shd w:val="clear" w:color="auto" w:fill="CCEEFF"/>
          </w:tcPr>
          <w:p>
            <w:pPr>
              <w:spacing w:after="0"/>
              <w:rPr>
                <w:sz w:val="24"/>
                <w:szCs w:val="24"/>
                <w:color w:val="auto"/>
              </w:rPr>
            </w:pPr>
          </w:p>
        </w:tc>
        <w:tc>
          <w:tcPr>
            <w:tcW w:w="1620" w:type="dxa"/>
            <w:vAlign w:val="bottom"/>
            <w:tcBorders>
              <w:top w:val="single" w:sz="8" w:color="auto"/>
              <w:bottom w:val="single" w:sz="8" w:color="CCEEFF"/>
            </w:tcBorders>
            <w:shd w:val="clear" w:color="auto" w:fill="CCEEFF"/>
          </w:tcPr>
          <w:p>
            <w:pPr>
              <w:spacing w:after="0"/>
              <w:rPr>
                <w:sz w:val="24"/>
                <w:szCs w:val="24"/>
                <w:color w:val="auto"/>
              </w:rPr>
            </w:pP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300" w:type="dxa"/>
            <w:vAlign w:val="bottom"/>
            <w:tcBorders>
              <w:top w:val="single" w:sz="8" w:color="auto"/>
              <w:bottom w:val="single" w:sz="8" w:color="CCEEFF"/>
            </w:tcBorders>
            <w:shd w:val="clear" w:color="auto" w:fill="CCEEFF"/>
          </w:tcPr>
          <w:p>
            <w:pPr>
              <w:spacing w:after="0"/>
              <w:rPr>
                <w:sz w:val="24"/>
                <w:szCs w:val="24"/>
                <w:color w:val="auto"/>
              </w:rPr>
            </w:pPr>
          </w:p>
        </w:tc>
        <w:tc>
          <w:tcPr>
            <w:tcW w:w="1600" w:type="dxa"/>
            <w:vAlign w:val="bottom"/>
            <w:tcBorders>
              <w:top w:val="single" w:sz="8" w:color="auto"/>
              <w:bottom w:val="single" w:sz="8" w:color="CCEEFF"/>
            </w:tcBorders>
            <w:shd w:val="clear" w:color="auto" w:fill="CCEEFF"/>
          </w:tcPr>
          <w:p>
            <w:pPr>
              <w:spacing w:after="0"/>
              <w:rPr>
                <w:sz w:val="24"/>
                <w:szCs w:val="24"/>
                <w:color w:val="auto"/>
              </w:rPr>
            </w:pPr>
          </w:p>
        </w:tc>
      </w:tr>
      <w:tr>
        <w:trPr>
          <w:trHeight w:val="223"/>
        </w:trPr>
        <w:tc>
          <w:tcPr>
            <w:tcW w:w="7320" w:type="dxa"/>
            <w:vAlign w:val="bottom"/>
          </w:tcPr>
          <w:p>
            <w:pPr>
              <w:ind w:left="20"/>
              <w:spacing w:after="0"/>
              <w:rPr>
                <w:sz w:val="20"/>
                <w:szCs w:val="20"/>
                <w:color w:val="auto"/>
              </w:rPr>
            </w:pPr>
            <w:r>
              <w:rPr>
                <w:rFonts w:ascii="Arial" w:cs="Arial" w:eastAsia="Arial" w:hAnsi="Arial"/>
                <w:sz w:val="16"/>
                <w:szCs w:val="16"/>
                <w:color w:val="auto"/>
              </w:rPr>
              <w:t>Net (loss) income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40"/>
              <w:spacing w:after="0"/>
              <w:rPr>
                <w:sz w:val="20"/>
                <w:szCs w:val="20"/>
                <w:color w:val="auto"/>
              </w:rPr>
            </w:pPr>
            <w:r>
              <w:rPr>
                <w:rFonts w:ascii="Arial" w:cs="Arial" w:eastAsia="Arial" w:hAnsi="Arial"/>
                <w:sz w:val="16"/>
                <w:szCs w:val="16"/>
                <w:color w:val="auto"/>
              </w:rPr>
              <w:t>(126,842)</w:t>
            </w:r>
          </w:p>
        </w:tc>
        <w:tc>
          <w:tcPr>
            <w:tcW w:w="10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95,458</w:t>
            </w:r>
          </w:p>
        </w:tc>
      </w:tr>
      <w:tr>
        <w:trPr>
          <w:trHeight w:val="33"/>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36"/>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income to cash (used in) provided by operating activities:</w:t>
            </w:r>
          </w:p>
        </w:tc>
        <w:tc>
          <w:tcPr>
            <w:tcW w:w="28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r>
      <w:tr>
        <w:trPr>
          <w:trHeight w:val="224"/>
        </w:trPr>
        <w:tc>
          <w:tcPr>
            <w:tcW w:w="7320" w:type="dxa"/>
            <w:vAlign w:val="bottom"/>
          </w:tcPr>
          <w:p>
            <w:pPr>
              <w:ind w:left="34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19"/>
                <w:szCs w:val="19"/>
                <w:color w:val="auto"/>
              </w:rPr>
            </w:pPr>
          </w:p>
        </w:tc>
        <w:tc>
          <w:tcPr>
            <w:tcW w:w="1620" w:type="dxa"/>
            <w:vAlign w:val="bottom"/>
          </w:tcPr>
          <w:p>
            <w:pPr>
              <w:jc w:val="right"/>
              <w:ind w:right="80"/>
              <w:spacing w:after="0"/>
              <w:rPr>
                <w:sz w:val="20"/>
                <w:szCs w:val="20"/>
                <w:color w:val="auto"/>
              </w:rPr>
            </w:pPr>
            <w:r>
              <w:rPr>
                <w:rFonts w:ascii="Arial" w:cs="Arial" w:eastAsia="Arial" w:hAnsi="Arial"/>
                <w:sz w:val="16"/>
                <w:szCs w:val="16"/>
                <w:color w:val="auto"/>
              </w:rPr>
              <w:t>94,052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99,270</w:t>
            </w:r>
          </w:p>
        </w:tc>
      </w:tr>
      <w:tr>
        <w:trPr>
          <w:trHeight w:val="33"/>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7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Amortization of debt discounts and issuance costs</w:t>
            </w:r>
          </w:p>
        </w:tc>
        <w:tc>
          <w:tcPr>
            <w:tcW w:w="28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2,966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1,255</w:t>
            </w:r>
          </w:p>
        </w:tc>
      </w:tr>
      <w:tr>
        <w:trPr>
          <w:trHeight w:val="224"/>
        </w:trPr>
        <w:tc>
          <w:tcPr>
            <w:tcW w:w="7320" w:type="dxa"/>
            <w:vAlign w:val="bottom"/>
          </w:tcPr>
          <w:p>
            <w:pPr>
              <w:ind w:left="340"/>
              <w:spacing w:after="0"/>
              <w:rPr>
                <w:sz w:val="20"/>
                <w:szCs w:val="20"/>
                <w:color w:val="auto"/>
              </w:rPr>
            </w:pPr>
            <w:r>
              <w:rPr>
                <w:rFonts w:ascii="Arial" w:cs="Arial" w:eastAsia="Arial" w:hAnsi="Arial"/>
                <w:sz w:val="16"/>
                <w:szCs w:val="16"/>
                <w:color w:val="auto"/>
              </w:rPr>
              <w:t>Amortization of deferred gift card sales commissions</w:t>
            </w:r>
          </w:p>
        </w:tc>
        <w:tc>
          <w:tcPr>
            <w:tcW w:w="280" w:type="dxa"/>
            <w:vAlign w:val="bottom"/>
          </w:tcPr>
          <w:p>
            <w:pPr>
              <w:spacing w:after="0"/>
              <w:rPr>
                <w:sz w:val="19"/>
                <w:szCs w:val="19"/>
                <w:color w:val="auto"/>
              </w:rPr>
            </w:pPr>
          </w:p>
        </w:tc>
        <w:tc>
          <w:tcPr>
            <w:tcW w:w="1620" w:type="dxa"/>
            <w:vAlign w:val="bottom"/>
          </w:tcPr>
          <w:p>
            <w:pPr>
              <w:jc w:val="right"/>
              <w:ind w:right="80"/>
              <w:spacing w:after="0"/>
              <w:rPr>
                <w:sz w:val="20"/>
                <w:szCs w:val="20"/>
                <w:color w:val="auto"/>
              </w:rPr>
            </w:pPr>
            <w:r>
              <w:rPr>
                <w:rFonts w:ascii="Arial" w:cs="Arial" w:eastAsia="Arial" w:hAnsi="Arial"/>
                <w:sz w:val="16"/>
                <w:szCs w:val="16"/>
                <w:color w:val="auto"/>
              </w:rPr>
              <w:t>11,592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14,089</w:t>
            </w:r>
          </w:p>
        </w:tc>
      </w:tr>
      <w:tr>
        <w:trPr>
          <w:trHeight w:val="33"/>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7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Provision for impaired assets and restaurant closings</w:t>
            </w:r>
          </w:p>
        </w:tc>
        <w:tc>
          <w:tcPr>
            <w:tcW w:w="28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66,277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5,526</w:t>
            </w:r>
          </w:p>
        </w:tc>
      </w:tr>
      <w:tr>
        <w:trPr>
          <w:trHeight w:val="223"/>
        </w:trPr>
        <w:tc>
          <w:tcPr>
            <w:tcW w:w="7320" w:type="dxa"/>
            <w:vAlign w:val="bottom"/>
          </w:tcPr>
          <w:p>
            <w:pPr>
              <w:ind w:left="340"/>
              <w:spacing w:after="0"/>
              <w:rPr>
                <w:sz w:val="20"/>
                <w:szCs w:val="20"/>
                <w:color w:val="auto"/>
              </w:rPr>
            </w:pPr>
            <w:r>
              <w:rPr>
                <w:rFonts w:ascii="Arial" w:cs="Arial" w:eastAsia="Arial" w:hAnsi="Arial"/>
                <w:sz w:val="16"/>
                <w:szCs w:val="16"/>
                <w:color w:val="auto"/>
              </w:rPr>
              <w:t>Non-cash operating lease costs</w:t>
            </w:r>
          </w:p>
        </w:tc>
        <w:tc>
          <w:tcPr>
            <w:tcW w:w="280" w:type="dxa"/>
            <w:vAlign w:val="bottom"/>
          </w:tcPr>
          <w:p>
            <w:pPr>
              <w:spacing w:after="0"/>
              <w:rPr>
                <w:sz w:val="19"/>
                <w:szCs w:val="19"/>
                <w:color w:val="auto"/>
              </w:rPr>
            </w:pPr>
          </w:p>
        </w:tc>
        <w:tc>
          <w:tcPr>
            <w:tcW w:w="1620" w:type="dxa"/>
            <w:vAlign w:val="bottom"/>
          </w:tcPr>
          <w:p>
            <w:pPr>
              <w:jc w:val="right"/>
              <w:ind w:right="80"/>
              <w:spacing w:after="0"/>
              <w:rPr>
                <w:sz w:val="20"/>
                <w:szCs w:val="20"/>
                <w:color w:val="auto"/>
              </w:rPr>
            </w:pPr>
            <w:r>
              <w:rPr>
                <w:rFonts w:ascii="Arial" w:cs="Arial" w:eastAsia="Arial" w:hAnsi="Arial"/>
                <w:sz w:val="16"/>
                <w:szCs w:val="16"/>
                <w:color w:val="auto"/>
              </w:rPr>
              <w:t>36,230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36,096</w:t>
            </w:r>
          </w:p>
        </w:tc>
      </w:tr>
      <w:tr>
        <w:trPr>
          <w:trHeight w:val="33"/>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7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Provision for expected credit losses and contingent lease 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7,447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24"/>
        </w:trPr>
        <w:tc>
          <w:tcPr>
            <w:tcW w:w="7320" w:type="dxa"/>
            <w:vAlign w:val="bottom"/>
          </w:tcPr>
          <w:p>
            <w:pPr>
              <w:ind w:left="340"/>
              <w:spacing w:after="0"/>
              <w:rPr>
                <w:sz w:val="20"/>
                <w:szCs w:val="20"/>
                <w:color w:val="auto"/>
              </w:rPr>
            </w:pPr>
            <w:r>
              <w:rPr>
                <w:rFonts w:ascii="Arial" w:cs="Arial" w:eastAsia="Arial" w:hAnsi="Arial"/>
                <w:sz w:val="16"/>
                <w:szCs w:val="16"/>
                <w:color w:val="auto"/>
              </w:rPr>
              <w:t>Inventory obsolescence and spoilage</w:t>
            </w:r>
          </w:p>
        </w:tc>
        <w:tc>
          <w:tcPr>
            <w:tcW w:w="280" w:type="dxa"/>
            <w:vAlign w:val="bottom"/>
          </w:tcPr>
          <w:p>
            <w:pPr>
              <w:spacing w:after="0"/>
              <w:rPr>
                <w:sz w:val="19"/>
                <w:szCs w:val="19"/>
                <w:color w:val="auto"/>
              </w:rPr>
            </w:pPr>
          </w:p>
        </w:tc>
        <w:tc>
          <w:tcPr>
            <w:tcW w:w="1620" w:type="dxa"/>
            <w:vAlign w:val="bottom"/>
          </w:tcPr>
          <w:p>
            <w:pPr>
              <w:jc w:val="right"/>
              <w:ind w:right="80"/>
              <w:spacing w:after="0"/>
              <w:rPr>
                <w:sz w:val="20"/>
                <w:szCs w:val="20"/>
                <w:color w:val="auto"/>
              </w:rPr>
            </w:pPr>
            <w:r>
              <w:rPr>
                <w:rFonts w:ascii="Arial" w:cs="Arial" w:eastAsia="Arial" w:hAnsi="Arial"/>
                <w:sz w:val="16"/>
                <w:szCs w:val="16"/>
                <w:color w:val="auto"/>
              </w:rPr>
              <w:t>6,413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7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Stock-based and other non-cash compensation expense</w:t>
            </w:r>
          </w:p>
        </w:tc>
        <w:tc>
          <w:tcPr>
            <w:tcW w:w="28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8,360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12,854</w:t>
            </w:r>
          </w:p>
        </w:tc>
      </w:tr>
      <w:tr>
        <w:trPr>
          <w:trHeight w:val="223"/>
        </w:trPr>
        <w:tc>
          <w:tcPr>
            <w:tcW w:w="7320" w:type="dxa"/>
            <w:vAlign w:val="bottom"/>
          </w:tcPr>
          <w:p>
            <w:pPr>
              <w:ind w:left="340"/>
              <w:spacing w:after="0"/>
              <w:rPr>
                <w:sz w:val="20"/>
                <w:szCs w:val="20"/>
                <w:color w:val="auto"/>
              </w:rPr>
            </w:pPr>
            <w:r>
              <w:rPr>
                <w:rFonts w:ascii="Arial" w:cs="Arial" w:eastAsia="Arial" w:hAnsi="Arial"/>
                <w:sz w:val="16"/>
                <w:szCs w:val="16"/>
                <w:color w:val="auto"/>
              </w:rPr>
              <w:t>Deferred income tax benefit</w:t>
            </w:r>
          </w:p>
        </w:tc>
        <w:tc>
          <w:tcPr>
            <w:tcW w:w="280" w:type="dxa"/>
            <w:vAlign w:val="bottom"/>
          </w:tcPr>
          <w:p>
            <w:pPr>
              <w:spacing w:after="0"/>
              <w:rPr>
                <w:sz w:val="19"/>
                <w:szCs w:val="19"/>
                <w:color w:val="auto"/>
              </w:rPr>
            </w:pPr>
          </w:p>
        </w:tc>
        <w:tc>
          <w:tcPr>
            <w:tcW w:w="1620" w:type="dxa"/>
            <w:vAlign w:val="bottom"/>
          </w:tcPr>
          <w:p>
            <w:pPr>
              <w:jc w:val="right"/>
              <w:ind w:right="40"/>
              <w:spacing w:after="0"/>
              <w:rPr>
                <w:sz w:val="20"/>
                <w:szCs w:val="20"/>
                <w:color w:val="auto"/>
              </w:rPr>
            </w:pPr>
            <w:r>
              <w:rPr>
                <w:rFonts w:ascii="Arial" w:cs="Arial" w:eastAsia="Arial" w:hAnsi="Arial"/>
                <w:sz w:val="16"/>
                <w:szCs w:val="16"/>
                <w:color w:val="auto"/>
              </w:rPr>
              <w:t>(58,578)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(945)</w:t>
            </w:r>
          </w:p>
        </w:tc>
      </w:tr>
      <w:tr>
        <w:trPr>
          <w:trHeight w:val="33"/>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7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Loss on sale of a business or subsidiary</w:t>
            </w:r>
          </w:p>
        </w:tc>
        <w:tc>
          <w:tcPr>
            <w:tcW w:w="28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214</w:t>
            </w:r>
          </w:p>
        </w:tc>
      </w:tr>
      <w:tr>
        <w:trPr>
          <w:trHeight w:val="224"/>
        </w:trPr>
        <w:tc>
          <w:tcPr>
            <w:tcW w:w="7320" w:type="dxa"/>
            <w:vAlign w:val="bottom"/>
          </w:tcPr>
          <w:p>
            <w:pPr>
              <w:ind w:left="340"/>
              <w:spacing w:after="0"/>
              <w:rPr>
                <w:sz w:val="20"/>
                <w:szCs w:val="20"/>
                <w:color w:val="auto"/>
              </w:rPr>
            </w:pPr>
            <w:r>
              <w:rPr>
                <w:rFonts w:ascii="Arial" w:cs="Arial" w:eastAsia="Arial" w:hAnsi="Arial"/>
                <w:sz w:val="16"/>
                <w:szCs w:val="16"/>
                <w:color w:val="auto"/>
              </w:rPr>
              <w:t>Loss on modification of debt</w:t>
            </w:r>
          </w:p>
        </w:tc>
        <w:tc>
          <w:tcPr>
            <w:tcW w:w="280" w:type="dxa"/>
            <w:vAlign w:val="bottom"/>
          </w:tcPr>
          <w:p>
            <w:pPr>
              <w:spacing w:after="0"/>
              <w:rPr>
                <w:sz w:val="19"/>
                <w:szCs w:val="19"/>
                <w:color w:val="auto"/>
              </w:rPr>
            </w:pPr>
          </w:p>
        </w:tc>
        <w:tc>
          <w:tcPr>
            <w:tcW w:w="1620" w:type="dxa"/>
            <w:vAlign w:val="bottom"/>
          </w:tcPr>
          <w:p>
            <w:pPr>
              <w:jc w:val="right"/>
              <w:ind w:right="80"/>
              <w:spacing w:after="0"/>
              <w:rPr>
                <w:sz w:val="20"/>
                <w:szCs w:val="20"/>
                <w:color w:val="auto"/>
              </w:rPr>
            </w:pPr>
            <w:r>
              <w:rPr>
                <w:rFonts w:ascii="Arial" w:cs="Arial" w:eastAsia="Arial" w:hAnsi="Arial"/>
                <w:sz w:val="16"/>
                <w:szCs w:val="16"/>
                <w:color w:val="auto"/>
              </w:rPr>
              <w:t>237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7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Loss on disposal of property, fixtures and equipment</w:t>
            </w:r>
          </w:p>
        </w:tc>
        <w:tc>
          <w:tcPr>
            <w:tcW w:w="28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1,014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328</w:t>
            </w:r>
          </w:p>
        </w:tc>
      </w:tr>
      <w:tr>
        <w:trPr>
          <w:trHeight w:val="223"/>
        </w:trPr>
        <w:tc>
          <w:tcPr>
            <w:tcW w:w="7320" w:type="dxa"/>
            <w:vAlign w:val="bottom"/>
          </w:tcPr>
          <w:p>
            <w:pPr>
              <w:ind w:left="340"/>
              <w:spacing w:after="0"/>
              <w:rPr>
                <w:sz w:val="20"/>
                <w:szCs w:val="20"/>
                <w:color w:val="auto"/>
              </w:rPr>
            </w:pPr>
            <w:r>
              <w:rPr>
                <w:rFonts w:ascii="Arial" w:cs="Arial" w:eastAsia="Arial" w:hAnsi="Arial"/>
                <w:sz w:val="16"/>
                <w:szCs w:val="16"/>
                <w:color w:val="auto"/>
              </w:rPr>
              <w:t>Other, net</w:t>
            </w:r>
          </w:p>
        </w:tc>
        <w:tc>
          <w:tcPr>
            <w:tcW w:w="280" w:type="dxa"/>
            <w:vAlign w:val="bottom"/>
          </w:tcPr>
          <w:p>
            <w:pPr>
              <w:spacing w:after="0"/>
              <w:rPr>
                <w:sz w:val="19"/>
                <w:szCs w:val="19"/>
                <w:color w:val="auto"/>
              </w:rPr>
            </w:pPr>
          </w:p>
        </w:tc>
        <w:tc>
          <w:tcPr>
            <w:tcW w:w="1620" w:type="dxa"/>
            <w:vAlign w:val="bottom"/>
          </w:tcPr>
          <w:p>
            <w:pPr>
              <w:jc w:val="right"/>
              <w:ind w:right="40"/>
              <w:spacing w:after="0"/>
              <w:rPr>
                <w:sz w:val="20"/>
                <w:szCs w:val="20"/>
                <w:color w:val="auto"/>
              </w:rPr>
            </w:pPr>
            <w:r>
              <w:rPr>
                <w:rFonts w:ascii="Arial" w:cs="Arial" w:eastAsia="Arial" w:hAnsi="Arial"/>
                <w:sz w:val="16"/>
                <w:szCs w:val="16"/>
                <w:color w:val="auto"/>
              </w:rPr>
              <w:t>(1,228)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(4,627)</w:t>
            </w:r>
          </w:p>
        </w:tc>
      </w:tr>
      <w:tr>
        <w:trPr>
          <w:trHeight w:val="33"/>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Change in assets and liabilities</w:t>
            </w:r>
          </w:p>
        </w:tc>
        <w:tc>
          <w:tcPr>
            <w:tcW w:w="28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(51,253)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(127,075)</w:t>
            </w:r>
          </w:p>
        </w:tc>
      </w:tr>
      <w:tr>
        <w:trPr>
          <w:trHeight w:val="270"/>
        </w:trPr>
        <w:tc>
          <w:tcPr>
            <w:tcW w:w="7320" w:type="dxa"/>
            <w:vAlign w:val="bottom"/>
            <w:tcBorders>
              <w:bottom w:val="single" w:sz="8" w:color="CCEEFF"/>
            </w:tcBorders>
          </w:tcPr>
          <w:p>
            <w:pPr>
              <w:ind w:left="980"/>
              <w:spacing w:after="0"/>
              <w:rPr>
                <w:sz w:val="20"/>
                <w:szCs w:val="20"/>
                <w:color w:val="auto"/>
              </w:rPr>
            </w:pPr>
            <w:r>
              <w:rPr>
                <w:rFonts w:ascii="Arial" w:cs="Arial" w:eastAsia="Arial" w:hAnsi="Arial"/>
                <w:sz w:val="16"/>
                <w:szCs w:val="16"/>
                <w:color w:val="auto"/>
              </w:rPr>
              <w:t>Net cash (used in) provided by operating activities</w:t>
            </w:r>
          </w:p>
        </w:tc>
        <w:tc>
          <w:tcPr>
            <w:tcW w:w="28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(3,313)</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132,443</w:t>
            </w:r>
          </w:p>
        </w:tc>
      </w:tr>
      <w:tr>
        <w:trPr>
          <w:trHeight w:val="230"/>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used in investing activities:</w:t>
            </w:r>
          </w:p>
        </w:tc>
        <w:tc>
          <w:tcPr>
            <w:tcW w:w="28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r>
      <w:tr>
        <w:trPr>
          <w:trHeight w:val="223"/>
        </w:trPr>
        <w:tc>
          <w:tcPr>
            <w:tcW w:w="7320" w:type="dxa"/>
            <w:vAlign w:val="bottom"/>
          </w:tcPr>
          <w:p>
            <w:pPr>
              <w:ind w:left="340"/>
              <w:spacing w:after="0"/>
              <w:rPr>
                <w:sz w:val="20"/>
                <w:szCs w:val="20"/>
                <w:color w:val="auto"/>
              </w:rPr>
            </w:pPr>
            <w:r>
              <w:rPr>
                <w:rFonts w:ascii="Arial" w:cs="Arial" w:eastAsia="Arial" w:hAnsi="Arial"/>
                <w:sz w:val="16"/>
                <w:szCs w:val="16"/>
                <w:color w:val="auto"/>
              </w:rPr>
              <w:t>Proceeds from disposal of property, fixtures and equipment</w:t>
            </w:r>
          </w:p>
        </w:tc>
        <w:tc>
          <w:tcPr>
            <w:tcW w:w="280" w:type="dxa"/>
            <w:vAlign w:val="bottom"/>
          </w:tcPr>
          <w:p>
            <w:pPr>
              <w:spacing w:after="0"/>
              <w:rPr>
                <w:sz w:val="19"/>
                <w:szCs w:val="19"/>
                <w:color w:val="auto"/>
              </w:rPr>
            </w:pPr>
          </w:p>
        </w:tc>
        <w:tc>
          <w:tcPr>
            <w:tcW w:w="1620" w:type="dxa"/>
            <w:vAlign w:val="bottom"/>
          </w:tcPr>
          <w:p>
            <w:pPr>
              <w:jc w:val="right"/>
              <w:ind w:right="80"/>
              <w:spacing w:after="0"/>
              <w:rPr>
                <w:sz w:val="20"/>
                <w:szCs w:val="20"/>
                <w:color w:val="auto"/>
              </w:rPr>
            </w:pPr>
            <w:r>
              <w:rPr>
                <w:rFonts w:ascii="Arial" w:cs="Arial" w:eastAsia="Arial" w:hAnsi="Arial"/>
                <w:sz w:val="16"/>
                <w:szCs w:val="16"/>
                <w:color w:val="auto"/>
              </w:rPr>
              <w:t>422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1,717</w:t>
            </w:r>
          </w:p>
        </w:tc>
      </w:tr>
      <w:tr>
        <w:trPr>
          <w:trHeight w:val="33"/>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36"/>
        </w:trPr>
        <w:tc>
          <w:tcPr>
            <w:tcW w:w="7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Proceeds from sale-leaseback transactions, net</w:t>
            </w:r>
          </w:p>
        </w:tc>
        <w:tc>
          <w:tcPr>
            <w:tcW w:w="28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3,052</w:t>
            </w:r>
          </w:p>
        </w:tc>
      </w:tr>
      <w:tr>
        <w:trPr>
          <w:trHeight w:val="223"/>
        </w:trPr>
        <w:tc>
          <w:tcPr>
            <w:tcW w:w="7320" w:type="dxa"/>
            <w:vAlign w:val="bottom"/>
          </w:tcPr>
          <w:p>
            <w:pPr>
              <w:ind w:left="340"/>
              <w:spacing w:after="0"/>
              <w:rPr>
                <w:sz w:val="20"/>
                <w:szCs w:val="20"/>
                <w:color w:val="auto"/>
              </w:rPr>
            </w:pPr>
            <w:r>
              <w:rPr>
                <w:rFonts w:ascii="Arial" w:cs="Arial" w:eastAsia="Arial" w:hAnsi="Arial"/>
                <w:sz w:val="16"/>
                <w:szCs w:val="16"/>
                <w:color w:val="auto"/>
              </w:rPr>
              <w:t>Capital expenditures</w:t>
            </w:r>
          </w:p>
        </w:tc>
        <w:tc>
          <w:tcPr>
            <w:tcW w:w="280" w:type="dxa"/>
            <w:vAlign w:val="bottom"/>
          </w:tcPr>
          <w:p>
            <w:pPr>
              <w:spacing w:after="0"/>
              <w:rPr>
                <w:sz w:val="19"/>
                <w:szCs w:val="19"/>
                <w:color w:val="auto"/>
              </w:rPr>
            </w:pPr>
          </w:p>
        </w:tc>
        <w:tc>
          <w:tcPr>
            <w:tcW w:w="1620" w:type="dxa"/>
            <w:vAlign w:val="bottom"/>
          </w:tcPr>
          <w:p>
            <w:pPr>
              <w:jc w:val="right"/>
              <w:ind w:right="40"/>
              <w:spacing w:after="0"/>
              <w:rPr>
                <w:sz w:val="20"/>
                <w:szCs w:val="20"/>
                <w:color w:val="auto"/>
              </w:rPr>
            </w:pPr>
            <w:r>
              <w:rPr>
                <w:rFonts w:ascii="Arial" w:cs="Arial" w:eastAsia="Arial" w:hAnsi="Arial"/>
                <w:sz w:val="16"/>
                <w:szCs w:val="16"/>
                <w:color w:val="auto"/>
              </w:rPr>
              <w:t>(53,205)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(80,773)</w:t>
            </w:r>
          </w:p>
        </w:tc>
      </w:tr>
      <w:tr>
        <w:trPr>
          <w:trHeight w:val="33"/>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63"/>
        </w:trPr>
        <w:tc>
          <w:tcPr>
            <w:tcW w:w="7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Other investments, net</w:t>
            </w:r>
          </w:p>
        </w:tc>
        <w:tc>
          <w:tcPr>
            <w:tcW w:w="280" w:type="dxa"/>
            <w:vAlign w:val="bottom"/>
            <w:tcBorders>
              <w:bottom w:val="single" w:sz="8" w:color="auto"/>
            </w:tcBorders>
            <w:shd w:val="clear" w:color="auto" w:fill="CCEEFF"/>
          </w:tcPr>
          <w:p>
            <w:pPr>
              <w:spacing w:after="0"/>
              <w:rPr>
                <w:sz w:val="22"/>
                <w:szCs w:val="22"/>
                <w:color w:val="auto"/>
              </w:rPr>
            </w:pPr>
          </w:p>
        </w:tc>
        <w:tc>
          <w:tcPr>
            <w:tcW w:w="16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4,782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2,150</w:t>
            </w:r>
          </w:p>
        </w:tc>
      </w:tr>
      <w:tr>
        <w:trPr>
          <w:trHeight w:val="263"/>
        </w:trPr>
        <w:tc>
          <w:tcPr>
            <w:tcW w:w="7320" w:type="dxa"/>
            <w:vAlign w:val="bottom"/>
          </w:tcPr>
          <w:p>
            <w:pPr>
              <w:ind w:left="980"/>
              <w:spacing w:after="0"/>
              <w:rPr>
                <w:sz w:val="20"/>
                <w:szCs w:val="20"/>
                <w:color w:val="auto"/>
              </w:rPr>
            </w:pPr>
            <w:r>
              <w:rPr>
                <w:rFonts w:ascii="Arial" w:cs="Arial" w:eastAsia="Arial" w:hAnsi="Arial"/>
                <w:sz w:val="16"/>
                <w:szCs w:val="16"/>
                <w:color w:val="auto"/>
              </w:rPr>
              <w:t>Net cash used in investing activities</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(48,001)</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(73,854)</w:t>
            </w:r>
          </w:p>
        </w:tc>
      </w:tr>
    </w:tbl>
    <w:p>
      <w:pPr>
        <w:spacing w:after="0" w:line="260" w:lineRule="exact"/>
        <w:rPr>
          <w:sz w:val="20"/>
          <w:szCs w:val="20"/>
          <w:color w:val="auto"/>
        </w:rPr>
      </w:pPr>
    </w:p>
    <w:p>
      <w:pPr>
        <w:ind w:left="10020"/>
        <w:spacing w:after="0"/>
        <w:rPr>
          <w:sz w:val="20"/>
          <w:szCs w:val="20"/>
          <w:color w:val="auto"/>
        </w:rPr>
      </w:pPr>
      <w:r>
        <w:rPr>
          <w:rFonts w:ascii="Arial" w:cs="Arial" w:eastAsia="Arial" w:hAnsi="Arial"/>
          <w:sz w:val="16"/>
          <w:szCs w:val="16"/>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BLOOMIN’ BRANDS, INC.</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CONDENSED CONSOLIDATED STATEMENTS OF CASH FLOWS</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(DOLLARS IN THOUSANDS, UNAUDITED)</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3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620" w:type="dxa"/>
            <w:vAlign w:val="bottom"/>
            <w:tcBorders>
              <w:bottom w:val="single" w:sz="8" w:color="auto"/>
            </w:tcBorders>
            <w:gridSpan w:val="4"/>
          </w:tcPr>
          <w:p>
            <w:pPr>
              <w:jc w:val="right"/>
              <w:ind w:right="859"/>
              <w:spacing w:after="0"/>
              <w:rPr>
                <w:sz w:val="20"/>
                <w:szCs w:val="20"/>
                <w:color w:val="auto"/>
              </w:rPr>
            </w:pPr>
            <w:r>
              <w:rPr>
                <w:rFonts w:ascii="Arial" w:cs="Arial" w:eastAsia="Arial" w:hAnsi="Arial"/>
                <w:sz w:val="14"/>
                <w:szCs w:val="14"/>
                <w:b w:val="1"/>
                <w:bCs w:val="1"/>
                <w:color w:val="auto"/>
              </w:rPr>
              <w:t>TWENTY-SIX WEEKS ENDED</w:t>
            </w:r>
          </w:p>
        </w:tc>
      </w:tr>
      <w:tr>
        <w:trPr>
          <w:trHeight w:val="210"/>
        </w:trPr>
        <w:tc>
          <w:tcPr>
            <w:tcW w:w="7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28, 2020</w:t>
            </w:r>
          </w:p>
        </w:tc>
        <w:tc>
          <w:tcPr>
            <w:tcW w:w="300" w:type="dxa"/>
            <w:vAlign w:val="bottom"/>
          </w:tcPr>
          <w:p>
            <w:pPr>
              <w:spacing w:after="0"/>
              <w:rPr>
                <w:sz w:val="18"/>
                <w:szCs w:val="18"/>
                <w:color w:val="auto"/>
              </w:rPr>
            </w:pPr>
          </w:p>
        </w:tc>
        <w:tc>
          <w:tcPr>
            <w:tcW w:w="1600" w:type="dxa"/>
            <w:vAlign w:val="bottom"/>
          </w:tcPr>
          <w:p>
            <w:pPr>
              <w:jc w:val="right"/>
              <w:ind w:right="419"/>
              <w:spacing w:after="0"/>
              <w:rPr>
                <w:sz w:val="20"/>
                <w:szCs w:val="20"/>
                <w:color w:val="auto"/>
              </w:rPr>
            </w:pPr>
            <w:r>
              <w:rPr>
                <w:rFonts w:ascii="Arial" w:cs="Arial" w:eastAsia="Arial" w:hAnsi="Arial"/>
                <w:sz w:val="14"/>
                <w:szCs w:val="14"/>
                <w:b w:val="1"/>
                <w:bCs w:val="1"/>
                <w:color w:val="auto"/>
              </w:rPr>
              <w:t>JUNE 30, 2019</w:t>
            </w:r>
          </w:p>
        </w:tc>
      </w:tr>
      <w:tr>
        <w:trPr>
          <w:trHeight w:val="277"/>
        </w:trPr>
        <w:tc>
          <w:tcPr>
            <w:tcW w:w="7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provided by (used in) financing activities:</w:t>
            </w:r>
          </w:p>
        </w:tc>
        <w:tc>
          <w:tcPr>
            <w:tcW w:w="280" w:type="dxa"/>
            <w:vAlign w:val="bottom"/>
            <w:tcBorders>
              <w:top w:val="single" w:sz="8" w:color="auto"/>
              <w:bottom w:val="single" w:sz="8" w:color="CCEEFF"/>
            </w:tcBorders>
            <w:shd w:val="clear" w:color="auto" w:fill="CCEEFF"/>
          </w:tcPr>
          <w:p>
            <w:pPr>
              <w:spacing w:after="0"/>
              <w:rPr>
                <w:sz w:val="24"/>
                <w:szCs w:val="24"/>
                <w:color w:val="auto"/>
              </w:rPr>
            </w:pPr>
          </w:p>
        </w:tc>
        <w:tc>
          <w:tcPr>
            <w:tcW w:w="1620" w:type="dxa"/>
            <w:vAlign w:val="bottom"/>
            <w:tcBorders>
              <w:top w:val="single" w:sz="8" w:color="auto"/>
              <w:bottom w:val="single" w:sz="8" w:color="CCEEFF"/>
            </w:tcBorders>
            <w:shd w:val="clear" w:color="auto" w:fill="CCEEFF"/>
          </w:tcPr>
          <w:p>
            <w:pPr>
              <w:spacing w:after="0"/>
              <w:rPr>
                <w:sz w:val="24"/>
                <w:szCs w:val="24"/>
                <w:color w:val="auto"/>
              </w:rPr>
            </w:pP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300" w:type="dxa"/>
            <w:vAlign w:val="bottom"/>
            <w:tcBorders>
              <w:top w:val="single" w:sz="8" w:color="auto"/>
              <w:bottom w:val="single" w:sz="8" w:color="CCEEFF"/>
            </w:tcBorders>
            <w:shd w:val="clear" w:color="auto" w:fill="CCEEFF"/>
          </w:tcPr>
          <w:p>
            <w:pPr>
              <w:spacing w:after="0"/>
              <w:rPr>
                <w:sz w:val="24"/>
                <w:szCs w:val="24"/>
                <w:color w:val="auto"/>
              </w:rPr>
            </w:pPr>
          </w:p>
        </w:tc>
        <w:tc>
          <w:tcPr>
            <w:tcW w:w="1600" w:type="dxa"/>
            <w:vAlign w:val="bottom"/>
            <w:tcBorders>
              <w:top w:val="single" w:sz="8" w:color="auto"/>
              <w:bottom w:val="single" w:sz="8" w:color="CCEEFF"/>
            </w:tcBorders>
            <w:shd w:val="clear" w:color="auto" w:fill="CCEEFF"/>
          </w:tcPr>
          <w:p>
            <w:pPr>
              <w:spacing w:after="0"/>
              <w:rPr>
                <w:sz w:val="24"/>
                <w:szCs w:val="24"/>
                <w:color w:val="auto"/>
              </w:rPr>
            </w:pPr>
          </w:p>
        </w:tc>
      </w:tr>
      <w:tr>
        <w:trPr>
          <w:trHeight w:val="224"/>
        </w:trPr>
        <w:tc>
          <w:tcPr>
            <w:tcW w:w="7320" w:type="dxa"/>
            <w:vAlign w:val="bottom"/>
          </w:tcPr>
          <w:p>
            <w:pPr>
              <w:ind w:left="340"/>
              <w:spacing w:after="0"/>
              <w:rPr>
                <w:sz w:val="20"/>
                <w:szCs w:val="20"/>
                <w:color w:val="auto"/>
              </w:rPr>
            </w:pPr>
            <w:r>
              <w:rPr>
                <w:rFonts w:ascii="Arial" w:cs="Arial" w:eastAsia="Arial" w:hAnsi="Arial"/>
                <w:sz w:val="16"/>
                <w:szCs w:val="16"/>
                <w:color w:val="auto"/>
              </w:rPr>
              <w:t>Repayments of long-term debt and finance lease obligations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40"/>
              <w:spacing w:after="0"/>
              <w:rPr>
                <w:sz w:val="20"/>
                <w:szCs w:val="20"/>
                <w:color w:val="auto"/>
              </w:rPr>
            </w:pPr>
            <w:r>
              <w:rPr>
                <w:rFonts w:ascii="Arial" w:cs="Arial" w:eastAsia="Arial" w:hAnsi="Arial"/>
                <w:sz w:val="16"/>
                <w:szCs w:val="16"/>
                <w:color w:val="auto"/>
              </w:rPr>
              <w:t>(13,242)</w:t>
            </w:r>
          </w:p>
        </w:tc>
        <w:tc>
          <w:tcPr>
            <w:tcW w:w="10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(14,031)</w:t>
            </w:r>
          </w:p>
        </w:tc>
      </w:tr>
      <w:tr>
        <w:trPr>
          <w:trHeight w:val="33"/>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36"/>
        </w:trPr>
        <w:tc>
          <w:tcPr>
            <w:tcW w:w="7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Proceeds from borrowings on revolving credit facilities, net</w:t>
            </w:r>
          </w:p>
        </w:tc>
        <w:tc>
          <w:tcPr>
            <w:tcW w:w="28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505,000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408,000</w:t>
            </w:r>
          </w:p>
        </w:tc>
      </w:tr>
      <w:tr>
        <w:trPr>
          <w:trHeight w:val="224"/>
        </w:trPr>
        <w:tc>
          <w:tcPr>
            <w:tcW w:w="7320" w:type="dxa"/>
            <w:vAlign w:val="bottom"/>
          </w:tcPr>
          <w:p>
            <w:pPr>
              <w:ind w:left="340"/>
              <w:spacing w:after="0"/>
              <w:rPr>
                <w:sz w:val="20"/>
                <w:szCs w:val="20"/>
                <w:color w:val="auto"/>
              </w:rPr>
            </w:pPr>
            <w:r>
              <w:rPr>
                <w:rFonts w:ascii="Arial" w:cs="Arial" w:eastAsia="Arial" w:hAnsi="Arial"/>
                <w:sz w:val="16"/>
                <w:szCs w:val="16"/>
                <w:color w:val="auto"/>
              </w:rPr>
              <w:t>Repayments of borrowings on revolving credit facilities</w:t>
            </w:r>
          </w:p>
        </w:tc>
        <w:tc>
          <w:tcPr>
            <w:tcW w:w="280" w:type="dxa"/>
            <w:vAlign w:val="bottom"/>
          </w:tcPr>
          <w:p>
            <w:pPr>
              <w:spacing w:after="0"/>
              <w:rPr>
                <w:sz w:val="19"/>
                <w:szCs w:val="19"/>
                <w:color w:val="auto"/>
              </w:rPr>
            </w:pPr>
          </w:p>
        </w:tc>
        <w:tc>
          <w:tcPr>
            <w:tcW w:w="1620" w:type="dxa"/>
            <w:vAlign w:val="bottom"/>
          </w:tcPr>
          <w:p>
            <w:pPr>
              <w:jc w:val="right"/>
              <w:ind w:right="40"/>
              <w:spacing w:after="0"/>
              <w:rPr>
                <w:sz w:val="20"/>
                <w:szCs w:val="20"/>
                <w:color w:val="auto"/>
              </w:rPr>
            </w:pPr>
            <w:r>
              <w:rPr>
                <w:rFonts w:ascii="Arial" w:cs="Arial" w:eastAsia="Arial" w:hAnsi="Arial"/>
                <w:sz w:val="16"/>
                <w:szCs w:val="16"/>
                <w:color w:val="auto"/>
              </w:rPr>
              <w:t>(489,000)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(321,200)</w:t>
            </w:r>
          </w:p>
        </w:tc>
      </w:tr>
      <w:tr>
        <w:trPr>
          <w:trHeight w:val="33"/>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7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Financing fees</w:t>
            </w:r>
          </w:p>
        </w:tc>
        <w:tc>
          <w:tcPr>
            <w:tcW w:w="28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(3,096)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24"/>
        </w:trPr>
        <w:tc>
          <w:tcPr>
            <w:tcW w:w="7320" w:type="dxa"/>
            <w:vAlign w:val="bottom"/>
          </w:tcPr>
          <w:p>
            <w:pPr>
              <w:ind w:left="340"/>
              <w:spacing w:after="0"/>
              <w:rPr>
                <w:sz w:val="20"/>
                <w:szCs w:val="20"/>
                <w:color w:val="auto"/>
              </w:rPr>
            </w:pPr>
            <w:r>
              <w:rPr>
                <w:rFonts w:ascii="Arial" w:cs="Arial" w:eastAsia="Arial" w:hAnsi="Arial"/>
                <w:sz w:val="16"/>
                <w:szCs w:val="16"/>
                <w:color w:val="auto"/>
              </w:rPr>
              <w:t>Proceeds from issuance of convertible senior notes</w:t>
            </w:r>
          </w:p>
        </w:tc>
        <w:tc>
          <w:tcPr>
            <w:tcW w:w="280" w:type="dxa"/>
            <w:vAlign w:val="bottom"/>
          </w:tcPr>
          <w:p>
            <w:pPr>
              <w:spacing w:after="0"/>
              <w:rPr>
                <w:sz w:val="19"/>
                <w:szCs w:val="19"/>
                <w:color w:val="auto"/>
              </w:rPr>
            </w:pPr>
          </w:p>
        </w:tc>
        <w:tc>
          <w:tcPr>
            <w:tcW w:w="1620" w:type="dxa"/>
            <w:vAlign w:val="bottom"/>
          </w:tcPr>
          <w:p>
            <w:pPr>
              <w:jc w:val="right"/>
              <w:ind w:right="80"/>
              <w:spacing w:after="0"/>
              <w:rPr>
                <w:sz w:val="20"/>
                <w:szCs w:val="20"/>
                <w:color w:val="auto"/>
              </w:rPr>
            </w:pPr>
            <w:r>
              <w:rPr>
                <w:rFonts w:ascii="Arial" w:cs="Arial" w:eastAsia="Arial" w:hAnsi="Arial"/>
                <w:sz w:val="16"/>
                <w:szCs w:val="16"/>
                <w:color w:val="auto"/>
              </w:rPr>
              <w:t>230,000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7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Proceeds from issuance of warrants</w:t>
            </w:r>
          </w:p>
        </w:tc>
        <w:tc>
          <w:tcPr>
            <w:tcW w:w="28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46,690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23"/>
        </w:trPr>
        <w:tc>
          <w:tcPr>
            <w:tcW w:w="7320" w:type="dxa"/>
            <w:vAlign w:val="bottom"/>
          </w:tcPr>
          <w:p>
            <w:pPr>
              <w:ind w:left="340"/>
              <w:spacing w:after="0"/>
              <w:rPr>
                <w:sz w:val="20"/>
                <w:szCs w:val="20"/>
                <w:color w:val="auto"/>
              </w:rPr>
            </w:pPr>
            <w:r>
              <w:rPr>
                <w:rFonts w:ascii="Arial" w:cs="Arial" w:eastAsia="Arial" w:hAnsi="Arial"/>
                <w:sz w:val="16"/>
                <w:szCs w:val="16"/>
                <w:color w:val="auto"/>
              </w:rPr>
              <w:t>Purchase of convertible note hedge</w:t>
            </w:r>
          </w:p>
        </w:tc>
        <w:tc>
          <w:tcPr>
            <w:tcW w:w="280" w:type="dxa"/>
            <w:vAlign w:val="bottom"/>
          </w:tcPr>
          <w:p>
            <w:pPr>
              <w:spacing w:after="0"/>
              <w:rPr>
                <w:sz w:val="19"/>
                <w:szCs w:val="19"/>
                <w:color w:val="auto"/>
              </w:rPr>
            </w:pPr>
          </w:p>
        </w:tc>
        <w:tc>
          <w:tcPr>
            <w:tcW w:w="1620" w:type="dxa"/>
            <w:vAlign w:val="bottom"/>
          </w:tcPr>
          <w:p>
            <w:pPr>
              <w:jc w:val="right"/>
              <w:ind w:right="40"/>
              <w:spacing w:after="0"/>
              <w:rPr>
                <w:sz w:val="20"/>
                <w:szCs w:val="20"/>
                <w:color w:val="auto"/>
              </w:rPr>
            </w:pPr>
            <w:r>
              <w:rPr>
                <w:rFonts w:ascii="Arial" w:cs="Arial" w:eastAsia="Arial" w:hAnsi="Arial"/>
                <w:sz w:val="16"/>
                <w:szCs w:val="16"/>
                <w:color w:val="auto"/>
              </w:rPr>
              <w:t>(66,240)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7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Issuance costs related to convertible senior notes</w:t>
            </w:r>
          </w:p>
        </w:tc>
        <w:tc>
          <w:tcPr>
            <w:tcW w:w="28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(8,416)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24"/>
        </w:trPr>
        <w:tc>
          <w:tcPr>
            <w:tcW w:w="7320" w:type="dxa"/>
            <w:vAlign w:val="bottom"/>
          </w:tcPr>
          <w:p>
            <w:pPr>
              <w:ind w:left="340"/>
              <w:spacing w:after="0"/>
              <w:rPr>
                <w:sz w:val="20"/>
                <w:szCs w:val="20"/>
                <w:color w:val="auto"/>
              </w:rPr>
            </w:pPr>
            <w:r>
              <w:rPr>
                <w:rFonts w:ascii="Arial" w:cs="Arial" w:eastAsia="Arial" w:hAnsi="Arial"/>
                <w:sz w:val="16"/>
                <w:szCs w:val="16"/>
                <w:color w:val="auto"/>
              </w:rPr>
              <w:t>(Payments of taxes) proceeds from share-based compensation, net</w:t>
            </w:r>
          </w:p>
        </w:tc>
        <w:tc>
          <w:tcPr>
            <w:tcW w:w="280" w:type="dxa"/>
            <w:vAlign w:val="bottom"/>
          </w:tcPr>
          <w:p>
            <w:pPr>
              <w:spacing w:after="0"/>
              <w:rPr>
                <w:sz w:val="19"/>
                <w:szCs w:val="19"/>
                <w:color w:val="auto"/>
              </w:rPr>
            </w:pPr>
          </w:p>
        </w:tc>
        <w:tc>
          <w:tcPr>
            <w:tcW w:w="1620" w:type="dxa"/>
            <w:vAlign w:val="bottom"/>
          </w:tcPr>
          <w:p>
            <w:pPr>
              <w:jc w:val="right"/>
              <w:ind w:right="40"/>
              <w:spacing w:after="0"/>
              <w:rPr>
                <w:sz w:val="20"/>
                <w:szCs w:val="20"/>
                <w:color w:val="auto"/>
              </w:rPr>
            </w:pPr>
            <w:r>
              <w:rPr>
                <w:rFonts w:ascii="Arial" w:cs="Arial" w:eastAsia="Arial" w:hAnsi="Arial"/>
                <w:sz w:val="16"/>
                <w:szCs w:val="16"/>
                <w:color w:val="auto"/>
              </w:rPr>
              <w:t>(2,862)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1,420</w:t>
            </w:r>
          </w:p>
        </w:tc>
      </w:tr>
      <w:tr>
        <w:trPr>
          <w:trHeight w:val="33"/>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7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Distributions to noncontrolling interests</w:t>
            </w:r>
          </w:p>
        </w:tc>
        <w:tc>
          <w:tcPr>
            <w:tcW w:w="28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(4,007)</w:t>
            </w:r>
          </w:p>
        </w:tc>
      </w:tr>
      <w:tr>
        <w:trPr>
          <w:trHeight w:val="223"/>
        </w:trPr>
        <w:tc>
          <w:tcPr>
            <w:tcW w:w="7320" w:type="dxa"/>
            <w:vAlign w:val="bottom"/>
          </w:tcPr>
          <w:p>
            <w:pPr>
              <w:ind w:left="340"/>
              <w:spacing w:after="0"/>
              <w:rPr>
                <w:sz w:val="20"/>
                <w:szCs w:val="20"/>
                <w:color w:val="auto"/>
              </w:rPr>
            </w:pPr>
            <w:r>
              <w:rPr>
                <w:rFonts w:ascii="Arial" w:cs="Arial" w:eastAsia="Arial" w:hAnsi="Arial"/>
                <w:sz w:val="16"/>
                <w:szCs w:val="16"/>
                <w:color w:val="auto"/>
              </w:rPr>
              <w:t>Contributions from noncontrolling interests</w:t>
            </w:r>
          </w:p>
        </w:tc>
        <w:tc>
          <w:tcPr>
            <w:tcW w:w="280" w:type="dxa"/>
            <w:vAlign w:val="bottom"/>
          </w:tcPr>
          <w:p>
            <w:pPr>
              <w:spacing w:after="0"/>
              <w:rPr>
                <w:sz w:val="19"/>
                <w:szCs w:val="19"/>
                <w:color w:val="auto"/>
              </w:rPr>
            </w:pPr>
          </w:p>
        </w:tc>
        <w:tc>
          <w:tcPr>
            <w:tcW w:w="1620" w:type="dxa"/>
            <w:vAlign w:val="bottom"/>
          </w:tcPr>
          <w:p>
            <w:pPr>
              <w:jc w:val="right"/>
              <w:ind w:right="80"/>
              <w:spacing w:after="0"/>
              <w:rPr>
                <w:sz w:val="20"/>
                <w:szCs w:val="20"/>
                <w:color w:val="auto"/>
              </w:rPr>
            </w:pPr>
            <w:r>
              <w:rPr>
                <w:rFonts w:ascii="Arial" w:cs="Arial" w:eastAsia="Arial" w:hAnsi="Arial"/>
                <w:sz w:val="16"/>
                <w:szCs w:val="16"/>
                <w:color w:val="auto"/>
              </w:rPr>
              <w:t>147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465</w:t>
            </w:r>
          </w:p>
        </w:tc>
      </w:tr>
      <w:tr>
        <w:trPr>
          <w:trHeight w:val="33"/>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7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Purchase of limited partnership and noncontrolling interests</w:t>
            </w:r>
          </w:p>
        </w:tc>
        <w:tc>
          <w:tcPr>
            <w:tcW w:w="28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w:t>
            </w:r>
          </w:p>
        </w:tc>
      </w:tr>
      <w:tr>
        <w:trPr>
          <w:trHeight w:val="224"/>
        </w:trPr>
        <w:tc>
          <w:tcPr>
            <w:tcW w:w="7320" w:type="dxa"/>
            <w:vAlign w:val="bottom"/>
          </w:tcPr>
          <w:p>
            <w:pPr>
              <w:ind w:left="340"/>
              <w:spacing w:after="0"/>
              <w:rPr>
                <w:sz w:val="20"/>
                <w:szCs w:val="20"/>
                <w:color w:val="auto"/>
              </w:rPr>
            </w:pPr>
            <w:r>
              <w:rPr>
                <w:rFonts w:ascii="Arial" w:cs="Arial" w:eastAsia="Arial" w:hAnsi="Arial"/>
                <w:sz w:val="16"/>
                <w:szCs w:val="16"/>
                <w:color w:val="auto"/>
              </w:rPr>
              <w:t>Payments for partner equity plan</w:t>
            </w:r>
          </w:p>
        </w:tc>
        <w:tc>
          <w:tcPr>
            <w:tcW w:w="280" w:type="dxa"/>
            <w:vAlign w:val="bottom"/>
          </w:tcPr>
          <w:p>
            <w:pPr>
              <w:spacing w:after="0"/>
              <w:rPr>
                <w:sz w:val="19"/>
                <w:szCs w:val="19"/>
                <w:color w:val="auto"/>
              </w:rPr>
            </w:pPr>
          </w:p>
        </w:tc>
        <w:tc>
          <w:tcPr>
            <w:tcW w:w="1620" w:type="dxa"/>
            <w:vAlign w:val="bottom"/>
          </w:tcPr>
          <w:p>
            <w:pPr>
              <w:jc w:val="right"/>
              <w:ind w:right="40"/>
              <w:spacing w:after="0"/>
              <w:rPr>
                <w:sz w:val="20"/>
                <w:szCs w:val="20"/>
                <w:color w:val="auto"/>
              </w:rPr>
            </w:pPr>
            <w:r>
              <w:rPr>
                <w:rFonts w:ascii="Arial" w:cs="Arial" w:eastAsia="Arial" w:hAnsi="Arial"/>
                <w:sz w:val="16"/>
                <w:szCs w:val="16"/>
                <w:color w:val="auto"/>
              </w:rPr>
              <w:t>(9,976)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(8,662)</w:t>
            </w:r>
          </w:p>
        </w:tc>
      </w:tr>
      <w:tr>
        <w:trPr>
          <w:trHeight w:val="33"/>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7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Repurchase of common stock</w:t>
            </w:r>
          </w:p>
        </w:tc>
        <w:tc>
          <w:tcPr>
            <w:tcW w:w="28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(106,992)</w:t>
            </w:r>
          </w:p>
        </w:tc>
      </w:tr>
      <w:tr>
        <w:trPr>
          <w:trHeight w:val="223"/>
        </w:trPr>
        <w:tc>
          <w:tcPr>
            <w:tcW w:w="7320" w:type="dxa"/>
            <w:vAlign w:val="bottom"/>
          </w:tcPr>
          <w:p>
            <w:pPr>
              <w:ind w:left="340"/>
              <w:spacing w:after="0"/>
              <w:rPr>
                <w:sz w:val="20"/>
                <w:szCs w:val="20"/>
                <w:color w:val="auto"/>
              </w:rPr>
            </w:pPr>
            <w:r>
              <w:rPr>
                <w:rFonts w:ascii="Arial" w:cs="Arial" w:eastAsia="Arial" w:hAnsi="Arial"/>
                <w:sz w:val="16"/>
                <w:szCs w:val="16"/>
                <w:color w:val="auto"/>
              </w:rPr>
              <w:t>Cash dividends paid on common stock</w:t>
            </w:r>
          </w:p>
        </w:tc>
        <w:tc>
          <w:tcPr>
            <w:tcW w:w="280" w:type="dxa"/>
            <w:vAlign w:val="bottom"/>
          </w:tcPr>
          <w:p>
            <w:pPr>
              <w:spacing w:after="0"/>
              <w:rPr>
                <w:sz w:val="19"/>
                <w:szCs w:val="19"/>
                <w:color w:val="auto"/>
              </w:rPr>
            </w:pPr>
          </w:p>
        </w:tc>
        <w:tc>
          <w:tcPr>
            <w:tcW w:w="1620" w:type="dxa"/>
            <w:vAlign w:val="bottom"/>
          </w:tcPr>
          <w:p>
            <w:pPr>
              <w:jc w:val="right"/>
              <w:ind w:right="40"/>
              <w:spacing w:after="0"/>
              <w:rPr>
                <w:sz w:val="20"/>
                <w:szCs w:val="20"/>
                <w:color w:val="auto"/>
              </w:rPr>
            </w:pPr>
            <w:r>
              <w:rPr>
                <w:rFonts w:ascii="Arial" w:cs="Arial" w:eastAsia="Arial" w:hAnsi="Arial"/>
                <w:sz w:val="16"/>
                <w:szCs w:val="16"/>
                <w:color w:val="auto"/>
              </w:rPr>
              <w:t>(17,480)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(18,367)</w:t>
            </w:r>
          </w:p>
        </w:tc>
      </w:tr>
      <w:tr>
        <w:trPr>
          <w:trHeight w:val="33"/>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63"/>
        </w:trPr>
        <w:tc>
          <w:tcPr>
            <w:tcW w:w="7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Redemption of subsidiary preferred stock</w:t>
            </w:r>
          </w:p>
        </w:tc>
        <w:tc>
          <w:tcPr>
            <w:tcW w:w="280" w:type="dxa"/>
            <w:vAlign w:val="bottom"/>
            <w:tcBorders>
              <w:bottom w:val="single" w:sz="8" w:color="auto"/>
            </w:tcBorders>
            <w:shd w:val="clear" w:color="auto" w:fill="CCEEFF"/>
          </w:tcPr>
          <w:p>
            <w:pPr>
              <w:spacing w:after="0"/>
              <w:rPr>
                <w:sz w:val="22"/>
                <w:szCs w:val="22"/>
                <w:color w:val="auto"/>
              </w:rPr>
            </w:pPr>
          </w:p>
        </w:tc>
        <w:tc>
          <w:tcPr>
            <w:tcW w:w="16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(1,475)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70"/>
        </w:trPr>
        <w:tc>
          <w:tcPr>
            <w:tcW w:w="7320" w:type="dxa"/>
            <w:vAlign w:val="bottom"/>
            <w:tcBorders>
              <w:bottom w:val="single" w:sz="8" w:color="CCEEFF"/>
            </w:tcBorders>
          </w:tcPr>
          <w:p>
            <w:pPr>
              <w:ind w:left="980"/>
              <w:spacing w:after="0"/>
              <w:rPr>
                <w:sz w:val="20"/>
                <w:szCs w:val="20"/>
                <w:color w:val="auto"/>
              </w:rPr>
            </w:pPr>
            <w:r>
              <w:rPr>
                <w:rFonts w:ascii="Arial" w:cs="Arial" w:eastAsia="Arial" w:hAnsi="Arial"/>
                <w:sz w:val="16"/>
                <w:szCs w:val="16"/>
                <w:color w:val="auto"/>
              </w:rPr>
              <w:t>Net cash provided by (used in) financing activities</w:t>
            </w:r>
          </w:p>
        </w:tc>
        <w:tc>
          <w:tcPr>
            <w:tcW w:w="28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169,655</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(63,415)</w:t>
            </w:r>
          </w:p>
        </w:tc>
      </w:tr>
      <w:tr>
        <w:trPr>
          <w:trHeight w:val="244"/>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28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(2,955)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(157)</w:t>
            </w:r>
          </w:p>
        </w:tc>
      </w:tr>
      <w:tr>
        <w:trPr>
          <w:trHeight w:val="223"/>
        </w:trPr>
        <w:tc>
          <w:tcPr>
            <w:tcW w:w="7320" w:type="dxa"/>
            <w:vAlign w:val="bottom"/>
          </w:tcPr>
          <w:p>
            <w:pPr>
              <w:ind w:left="2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280" w:type="dxa"/>
            <w:vAlign w:val="bottom"/>
          </w:tcPr>
          <w:p>
            <w:pPr>
              <w:spacing w:after="0"/>
              <w:rPr>
                <w:sz w:val="19"/>
                <w:szCs w:val="19"/>
                <w:color w:val="auto"/>
              </w:rPr>
            </w:pPr>
          </w:p>
        </w:tc>
        <w:tc>
          <w:tcPr>
            <w:tcW w:w="1620" w:type="dxa"/>
            <w:vAlign w:val="bottom"/>
          </w:tcPr>
          <w:p>
            <w:pPr>
              <w:jc w:val="right"/>
              <w:ind w:right="80"/>
              <w:spacing w:after="0"/>
              <w:rPr>
                <w:sz w:val="20"/>
                <w:szCs w:val="20"/>
                <w:color w:val="auto"/>
              </w:rPr>
            </w:pPr>
            <w:r>
              <w:rPr>
                <w:rFonts w:ascii="Arial" w:cs="Arial" w:eastAsia="Arial" w:hAnsi="Arial"/>
                <w:sz w:val="16"/>
                <w:szCs w:val="16"/>
                <w:color w:val="auto"/>
              </w:rPr>
              <w:t>115,386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(4,983)</w:t>
            </w:r>
          </w:p>
        </w:tc>
      </w:tr>
      <w:tr>
        <w:trPr>
          <w:trHeight w:val="33"/>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64"/>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as of the beginning of the period</w:t>
            </w:r>
          </w:p>
        </w:tc>
        <w:tc>
          <w:tcPr>
            <w:tcW w:w="280" w:type="dxa"/>
            <w:vAlign w:val="bottom"/>
            <w:tcBorders>
              <w:bottom w:val="single" w:sz="8" w:color="auto"/>
            </w:tcBorders>
            <w:shd w:val="clear" w:color="auto" w:fill="CCEEFF"/>
          </w:tcPr>
          <w:p>
            <w:pPr>
              <w:spacing w:after="0"/>
              <w:rPr>
                <w:sz w:val="22"/>
                <w:szCs w:val="22"/>
                <w:color w:val="auto"/>
              </w:rPr>
            </w:pPr>
          </w:p>
        </w:tc>
        <w:tc>
          <w:tcPr>
            <w:tcW w:w="16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67,145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71,823</w:t>
            </w:r>
          </w:p>
        </w:tc>
      </w:tr>
      <w:tr>
        <w:trPr>
          <w:trHeight w:val="253"/>
        </w:trPr>
        <w:tc>
          <w:tcPr>
            <w:tcW w:w="732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as of the end of the period</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182,531</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66,840</w:t>
            </w:r>
          </w:p>
        </w:tc>
      </w:tr>
      <w:tr>
        <w:trPr>
          <w:trHeight w:val="20"/>
        </w:trPr>
        <w:tc>
          <w:tcPr>
            <w:tcW w:w="73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07"/>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Supplemental disclosures of cash flow information:</w:t>
            </w:r>
          </w:p>
        </w:tc>
        <w:tc>
          <w:tcPr>
            <w:tcW w:w="28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shd w:val="clear" w:color="auto" w:fill="CCEEFF"/>
          </w:tcPr>
          <w:p>
            <w:pPr>
              <w:spacing w:after="0"/>
              <w:rPr>
                <w:sz w:val="17"/>
                <w:szCs w:val="17"/>
                <w:color w:val="auto"/>
              </w:rPr>
            </w:pPr>
          </w:p>
        </w:tc>
      </w:tr>
      <w:tr>
        <w:trPr>
          <w:trHeight w:val="223"/>
        </w:trPr>
        <w:tc>
          <w:tcPr>
            <w:tcW w:w="7320" w:type="dxa"/>
            <w:vAlign w:val="bottom"/>
          </w:tcPr>
          <w:p>
            <w:pPr>
              <w:ind w:left="340"/>
              <w:spacing w:after="0"/>
              <w:rPr>
                <w:sz w:val="20"/>
                <w:szCs w:val="20"/>
                <w:color w:val="auto"/>
              </w:rPr>
            </w:pPr>
            <w:r>
              <w:rPr>
                <w:rFonts w:ascii="Arial" w:cs="Arial" w:eastAsia="Arial" w:hAnsi="Arial"/>
                <w:sz w:val="16"/>
                <w:szCs w:val="16"/>
                <w:color w:val="auto"/>
              </w:rPr>
              <w:t>Cash paid for interest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80"/>
              <w:spacing w:after="0"/>
              <w:rPr>
                <w:sz w:val="20"/>
                <w:szCs w:val="20"/>
                <w:color w:val="auto"/>
              </w:rPr>
            </w:pPr>
            <w:r>
              <w:rPr>
                <w:rFonts w:ascii="Arial" w:cs="Arial" w:eastAsia="Arial" w:hAnsi="Arial"/>
                <w:sz w:val="16"/>
                <w:szCs w:val="16"/>
                <w:color w:val="auto"/>
              </w:rPr>
              <w:t>23,595</w:t>
            </w:r>
          </w:p>
        </w:tc>
        <w:tc>
          <w:tcPr>
            <w:tcW w:w="10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25,263</w:t>
            </w:r>
          </w:p>
        </w:tc>
      </w:tr>
      <w:tr>
        <w:trPr>
          <w:trHeight w:val="33"/>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7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Cash paid for income taxes, net of refunds</w:t>
            </w:r>
          </w:p>
        </w:tc>
        <w:tc>
          <w:tcPr>
            <w:tcW w:w="28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5,287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11,309</w:t>
            </w:r>
          </w:p>
        </w:tc>
      </w:tr>
      <w:tr>
        <w:trPr>
          <w:trHeight w:val="223"/>
        </w:trPr>
        <w:tc>
          <w:tcPr>
            <w:tcW w:w="7320" w:type="dxa"/>
            <w:vAlign w:val="bottom"/>
          </w:tcPr>
          <w:p>
            <w:pPr>
              <w:ind w:left="20"/>
              <w:spacing w:after="0"/>
              <w:rPr>
                <w:sz w:val="20"/>
                <w:szCs w:val="20"/>
                <w:color w:val="auto"/>
              </w:rPr>
            </w:pPr>
            <w:r>
              <w:rPr>
                <w:rFonts w:ascii="Arial" w:cs="Arial" w:eastAsia="Arial" w:hAnsi="Arial"/>
                <w:sz w:val="16"/>
                <w:szCs w:val="16"/>
                <w:color w:val="auto"/>
              </w:rPr>
              <w:t>Supplemental disclosures of non-cash investing and financing activities:</w:t>
            </w:r>
          </w:p>
        </w:tc>
        <w:tc>
          <w:tcPr>
            <w:tcW w:w="2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33"/>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7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Leased assets obtained in exchange for new operating lease liabilities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13,549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33,679</w:t>
            </w:r>
          </w:p>
        </w:tc>
      </w:tr>
      <w:tr>
        <w:trPr>
          <w:trHeight w:val="223"/>
        </w:trPr>
        <w:tc>
          <w:tcPr>
            <w:tcW w:w="7320" w:type="dxa"/>
            <w:vAlign w:val="bottom"/>
          </w:tcPr>
          <w:p>
            <w:pPr>
              <w:ind w:left="340"/>
              <w:spacing w:after="0"/>
              <w:rPr>
                <w:sz w:val="20"/>
                <w:szCs w:val="20"/>
                <w:color w:val="auto"/>
              </w:rPr>
            </w:pPr>
            <w:r>
              <w:rPr>
                <w:rFonts w:ascii="Arial" w:cs="Arial" w:eastAsia="Arial" w:hAnsi="Arial"/>
                <w:sz w:val="16"/>
                <w:szCs w:val="16"/>
                <w:color w:val="auto"/>
              </w:rPr>
              <w:t>Leased assets obtained in exchange for new finance lease liabilities</w:t>
            </w:r>
          </w:p>
        </w:tc>
        <w:tc>
          <w:tcPr>
            <w:tcW w:w="280" w:type="dxa"/>
            <w:vAlign w:val="bottom"/>
          </w:tcPr>
          <w:p>
            <w:pPr>
              <w:spacing w:after="0"/>
              <w:rPr>
                <w:sz w:val="19"/>
                <w:szCs w:val="19"/>
                <w:color w:val="auto"/>
              </w:rPr>
            </w:pPr>
          </w:p>
        </w:tc>
        <w:tc>
          <w:tcPr>
            <w:tcW w:w="1620" w:type="dxa"/>
            <w:vAlign w:val="bottom"/>
          </w:tcPr>
          <w:p>
            <w:pPr>
              <w:jc w:val="right"/>
              <w:ind w:right="80"/>
              <w:spacing w:after="0"/>
              <w:rPr>
                <w:sz w:val="20"/>
                <w:szCs w:val="20"/>
                <w:color w:val="auto"/>
              </w:rPr>
            </w:pPr>
            <w:r>
              <w:rPr>
                <w:rFonts w:ascii="Arial" w:cs="Arial" w:eastAsia="Arial" w:hAnsi="Arial"/>
                <w:sz w:val="16"/>
                <w:szCs w:val="16"/>
                <w:color w:val="auto"/>
              </w:rPr>
              <w:t>538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194</w:t>
            </w:r>
          </w:p>
        </w:tc>
      </w:tr>
      <w:tr>
        <w:trPr>
          <w:trHeight w:val="33"/>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24"/>
        </w:trPr>
        <w:tc>
          <w:tcPr>
            <w:tcW w:w="73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Decrease in liabilities from the acquisition of property, fixtures and equipment</w:t>
            </w: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(9,666)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(5,494)</w:t>
            </w:r>
          </w:p>
        </w:tc>
      </w:tr>
      <w:tr>
        <w:trPr>
          <w:trHeight w:val="33"/>
        </w:trPr>
        <w:tc>
          <w:tcPr>
            <w:tcW w:w="73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The accompanying notes are an integral part of these consolidated financial statements.</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20"/>
          <w:szCs w:val="20"/>
          <w:color w:val="auto"/>
        </w:rPr>
        <w:t>1. Description of the Business and Basis of Presentation</w:t>
      </w:r>
    </w:p>
    <w:p>
      <w:pPr>
        <w:spacing w:after="0" w:line="24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 xml:space="preserve">Description of the Business - </w:t>
      </w:r>
      <w:r>
        <w:rPr>
          <w:rFonts w:ascii="Arial" w:cs="Arial" w:eastAsia="Arial" w:hAnsi="Arial"/>
          <w:sz w:val="20"/>
          <w:szCs w:val="20"/>
          <w:color w:val="auto"/>
        </w:rPr>
        <w:t>Bloomin’ Brands (“Bloomin’ Brands” or the “Company”) owns and operates casual, upscale casual and fine</w:t>
      </w:r>
      <w:r>
        <w:rPr>
          <w:rFonts w:ascii="Arial" w:cs="Arial" w:eastAsia="Arial" w:hAnsi="Arial"/>
          <w:sz w:val="20"/>
          <w:szCs w:val="20"/>
          <w:i w:val="1"/>
          <w:iCs w:val="1"/>
          <w:color w:val="auto"/>
        </w:rPr>
        <w:t xml:space="preserve"> </w:t>
      </w:r>
      <w:r>
        <w:rPr>
          <w:rFonts w:ascii="Arial" w:cs="Arial" w:eastAsia="Arial" w:hAnsi="Arial"/>
          <w:sz w:val="20"/>
          <w:szCs w:val="20"/>
          <w:color w:val="auto"/>
        </w:rPr>
        <w:t>dining restaurants. The Company’s restaurant portfolio has four concepts: Outback Steakhouse, Carrabba’s Italian Grill, Bonefish Grill and Fleming’s Prime Steakhouse &amp; Wine Bar. Additional Outback Steakhouse, Carrabba’s Italian Grill and Bonefish Grill restaurants in which the Company has no direct investment are operated under franchise agreements.</w:t>
      </w:r>
    </w:p>
    <w:p>
      <w:pPr>
        <w:spacing w:after="0" w:line="218" w:lineRule="exact"/>
        <w:rPr>
          <w:sz w:val="20"/>
          <w:szCs w:val="20"/>
          <w:color w:val="auto"/>
        </w:rPr>
      </w:pPr>
    </w:p>
    <w:p>
      <w:pPr>
        <w:jc w:val="both"/>
        <w:spacing w:after="0" w:line="274" w:lineRule="auto"/>
        <w:rPr>
          <w:sz w:val="20"/>
          <w:szCs w:val="20"/>
          <w:color w:val="auto"/>
        </w:rPr>
      </w:pPr>
      <w:r>
        <w:rPr>
          <w:rFonts w:ascii="Arial" w:cs="Arial" w:eastAsia="Arial" w:hAnsi="Arial"/>
          <w:sz w:val="18"/>
          <w:szCs w:val="18"/>
          <w:i w:val="1"/>
          <w:iCs w:val="1"/>
          <w:color w:val="auto"/>
        </w:rPr>
        <w:t xml:space="preserve">Basis of Presentation - </w:t>
      </w:r>
      <w:r>
        <w:rPr>
          <w:rFonts w:ascii="Arial" w:cs="Arial" w:eastAsia="Arial" w:hAnsi="Arial"/>
          <w:sz w:val="18"/>
          <w:szCs w:val="18"/>
          <w:color w:val="auto"/>
        </w:rPr>
        <w:t>The accompanying interim unaudited consolidated financial statements have been prepared by the Company pursuant</w:t>
      </w:r>
      <w:r>
        <w:rPr>
          <w:rFonts w:ascii="Arial" w:cs="Arial" w:eastAsia="Arial" w:hAnsi="Arial"/>
          <w:sz w:val="18"/>
          <w:szCs w:val="18"/>
          <w:i w:val="1"/>
          <w:iCs w:val="1"/>
          <w:color w:val="auto"/>
        </w:rPr>
        <w:t xml:space="preserve"> </w:t>
      </w:r>
      <w:r>
        <w:rPr>
          <w:rFonts w:ascii="Arial" w:cs="Arial" w:eastAsia="Arial" w:hAnsi="Arial"/>
          <w:sz w:val="18"/>
          <w:szCs w:val="18"/>
          <w:color w:val="auto"/>
        </w:rPr>
        <w:t>to the rules and regulations of the Securities and Exchange Commission (“SEC”). Accordingly, they do not include all the information and footnotes required by generally accepted accounting principles in the United States (“U.S. GAAP”) for complete financial statements. In the opinion of the Company, all adjustments necessary for fair financial statement presentation for the periods presented have been included and are of a normal, recurring nature. The results of operations for interim periods are not necessarily indicative of the results to be expected for the full year. These financial statements should be read in conjunction with the audited financial statements and notes thereto included in the Company’s Annual Report on Form 10-K for the year ended December 29, 2019.</w:t>
      </w:r>
    </w:p>
    <w:p>
      <w:pPr>
        <w:spacing w:after="0" w:line="204" w:lineRule="exact"/>
        <w:rPr>
          <w:sz w:val="20"/>
          <w:szCs w:val="20"/>
          <w:color w:val="auto"/>
        </w:rPr>
      </w:pPr>
    </w:p>
    <w:p>
      <w:pPr>
        <w:jc w:val="both"/>
        <w:spacing w:after="0" w:line="273" w:lineRule="auto"/>
        <w:rPr>
          <w:sz w:val="20"/>
          <w:szCs w:val="20"/>
          <w:color w:val="auto"/>
        </w:rPr>
      </w:pPr>
      <w:r>
        <w:rPr>
          <w:rFonts w:ascii="Arial" w:cs="Arial" w:eastAsia="Arial" w:hAnsi="Arial"/>
          <w:sz w:val="18"/>
          <w:szCs w:val="18"/>
          <w:i w:val="1"/>
          <w:iCs w:val="1"/>
          <w:color w:val="auto"/>
        </w:rPr>
        <w:t xml:space="preserve">Risks and Uncertainties </w:t>
      </w:r>
      <w:r>
        <w:rPr>
          <w:rFonts w:ascii="Arial" w:cs="Arial" w:eastAsia="Arial" w:hAnsi="Arial"/>
          <w:sz w:val="19"/>
          <w:szCs w:val="19"/>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In March 2020, the World Health Organization declared the novel strain of coronavirus (“COVID-19”) a global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pandemic and recommended containment and mitigation measures worldwide. In response to COVID-19, the Company temporarily closed all restaurant dining rooms in the U.S. as of March 20, 2020 and shifted operations to provide only take-out and delivery service, resulting in significantly reduced traffic in its restaurants. In early May 2020, the Company began to reopen its restaurant dining rooms with limited seating capacity in compliance with state and local regulations and as of June 28, 2020 had reopened substantially all of its restaurant dining rooms with limited seating capacity. The temporary closure of the Company’s dining rooms and the limitations on seating capacity in its reopened dining rooms have resulted in significantly reduced traffic in the Company’s restaurants. The negative effect of COVID-19 on the Company’s business was significant during the thirteen and twenty-six weeks ended June 28, 2020. See Note 2 - </w:t>
      </w:r>
      <w:r>
        <w:rPr>
          <w:rFonts w:ascii="Arial" w:cs="Arial" w:eastAsia="Arial" w:hAnsi="Arial"/>
          <w:sz w:val="18"/>
          <w:szCs w:val="18"/>
          <w:i w:val="1"/>
          <w:iCs w:val="1"/>
          <w:color w:val="auto"/>
        </w:rPr>
        <w:t>COVID-19 Charges</w:t>
      </w:r>
      <w:r>
        <w:rPr>
          <w:rFonts w:ascii="Arial" w:cs="Arial" w:eastAsia="Arial" w:hAnsi="Arial"/>
          <w:sz w:val="18"/>
          <w:szCs w:val="18"/>
          <w:color w:val="auto"/>
        </w:rPr>
        <w:t xml:space="preserve"> for details regarding the financial impact of the COVID-19 pandemic on the Company’s financial results.</w:t>
      </w:r>
    </w:p>
    <w:p>
      <w:pPr>
        <w:spacing w:after="0" w:line="195"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The duration and severity of the COVID-19 pandemic and its long-term impact on the Company’s business are uncertain at this time. Given the daily evolution of the pandemic and the global responses to curb its spread, the Company may be unable to accurately estimate the effects of the pandemic on its results of operations, financial condition, or liquidity for the foreseeable future.</w:t>
      </w:r>
    </w:p>
    <w:p>
      <w:pPr>
        <w:spacing w:after="0" w:line="197" w:lineRule="exact"/>
        <w:rPr>
          <w:sz w:val="20"/>
          <w:szCs w:val="20"/>
          <w:color w:val="auto"/>
        </w:rPr>
      </w:pPr>
    </w:p>
    <w:p>
      <w:pPr>
        <w:jc w:val="both"/>
        <w:spacing w:after="0" w:line="256" w:lineRule="auto"/>
        <w:rPr>
          <w:sz w:val="20"/>
          <w:szCs w:val="20"/>
          <w:color w:val="auto"/>
        </w:rPr>
      </w:pPr>
      <w:r>
        <w:rPr>
          <w:rFonts w:ascii="Arial" w:cs="Arial" w:eastAsia="Arial" w:hAnsi="Arial"/>
          <w:sz w:val="19"/>
          <w:szCs w:val="19"/>
          <w:i w:val="1"/>
          <w:iCs w:val="1"/>
          <w:color w:val="auto"/>
        </w:rPr>
        <w:t xml:space="preserve">Recently Adopted Financial Accounting Standards </w:t>
      </w:r>
      <w:r>
        <w:rPr>
          <w:rFonts w:ascii="Arial" w:cs="Arial" w:eastAsia="Arial" w:hAnsi="Arial"/>
          <w:sz w:val="19"/>
          <w:szCs w:val="19"/>
          <w:color w:val="auto"/>
        </w:rPr>
        <w:t>- On December 30, 2019, the Company adopted Accounting Standards Update (“ASU”)</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No. 2016-13, “Financial Instruments – Credit Losses (Topic 326): Measurement of Credit Losses on Financial Instruments,” (“ASU No. 2016-13”), which requires measurement and recognition of losses for financial instruments under the current expected credit loss model versus incurred losses under previous guidance. The Company’s adoption of ASU No. 2016-13 and its related amendments (“the new credit loss standard”) resulted in a cumulative-effect debit adjustment to the beginning balance of Accumulated deficit of $4.3 million, including $4.8 million of contingent lease liabilities related to lease guarantees and $1.0 million of incremental reserve for credit losses, net of the $1.5 million net increase in related deferred tax assets. Measurement processes and related controls have been implemented by the Company to ensure compliance with the new credit loss standard. See Note 18 - </w:t>
      </w:r>
      <w:r>
        <w:rPr>
          <w:rFonts w:ascii="Arial" w:cs="Arial" w:eastAsia="Arial" w:hAnsi="Arial"/>
          <w:sz w:val="19"/>
          <w:szCs w:val="19"/>
          <w:i w:val="1"/>
          <w:iCs w:val="1"/>
          <w:color w:val="auto"/>
        </w:rPr>
        <w:t>Allowance for Expected Credit Losses</w:t>
      </w:r>
      <w:r>
        <w:rPr>
          <w:rFonts w:ascii="Arial" w:cs="Arial" w:eastAsia="Arial" w:hAnsi="Arial"/>
          <w:sz w:val="19"/>
          <w:szCs w:val="19"/>
          <w:color w:val="auto"/>
        </w:rPr>
        <w:t xml:space="preserve"> for additional details regarding the Company’s allowance for expected credit losses.</w:t>
      </w:r>
    </w:p>
    <w:p>
      <w:pPr>
        <w:spacing w:after="0" w:line="211" w:lineRule="exact"/>
        <w:rPr>
          <w:sz w:val="20"/>
          <w:szCs w:val="20"/>
          <w:color w:val="auto"/>
        </w:rPr>
      </w:pPr>
    </w:p>
    <w:p>
      <w:pPr>
        <w:jc w:val="both"/>
        <w:ind w:right="20"/>
        <w:spacing w:after="0" w:line="246" w:lineRule="auto"/>
        <w:rPr>
          <w:sz w:val="20"/>
          <w:szCs w:val="20"/>
          <w:color w:val="auto"/>
        </w:rPr>
      </w:pPr>
      <w:r>
        <w:rPr>
          <w:rFonts w:ascii="Arial" w:cs="Arial" w:eastAsia="Arial" w:hAnsi="Arial"/>
          <w:sz w:val="20"/>
          <w:szCs w:val="20"/>
          <w:color w:val="auto"/>
        </w:rPr>
        <w:t>On December 30, 2019, the Company adopted ASU No. 2018-15, “Intangibles-Goodwill and Other-Internal-Use Software (Subtopic 350-40): Customer’s Accounting for Implementation Costs Incurred in a Cloud Computing</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34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Arrangement That Is a Service Contract,” (“ASU No. 2018-15”), which clarifies the accounting for implementation costs in cloud computing arrangements. Under ASU No. 2018-15, implementation costs incurred by customers in cloud computing arrangements are deferred and recognized over the term of the arrangement similar to internal-use software guidance. The Company contracts with 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party information technology providers for various service arrangements including software, platform and information technology infrastructure. The capitalized implementation costs are recorded within Other assets, net on the Company’s Consolidated Balance Sheets and are amortized on a straight-line basis over the term of the hosting arrangements, including reasonably certain renewal periods, within the same financial statement line as the related hosting fees. The amortization of the Company’s current arrangements is recorded in General and administrative expense in the Company’s Consolidated Statements of Operations and Comprehensive (Loss) Income. The Company’s prospective adoption of ASU No. 2018-15 did not have a material effect on its consolidated financial statements.</w:t>
      </w:r>
    </w:p>
    <w:p>
      <w:pPr>
        <w:spacing w:after="0" w:line="203"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In March 2020, the Financial Accounting Standards Board (the “FASB”) issued ASU No. 2020-04, “Reference Rate Reform (Topic 848): Facilitation of the Effects of Reference Rate Reform on Financial Reporting,” (“ASU No. 2020-04”). The new guidance provides optional expedients and exceptions for applying U.S. GAAP to contracts, hedging relationships and other transactions affected by reference rate reform if certain criteria are met. ASU No. 2020-04 was effective beginning March 12, 2020 and may be applied prospectively to contract modifications made and hedging relationships entered into or evaluated on or before December 31, 2022. The Company has elected to apply the hedge accounting expedients related to hedge effectiveness for future LIBOR-indexed cash flows, which enables the Company to continue to apply hedge accounting to hedging relationships impacted by reference rate reform. Application of these expedients allows for presentation of derivatives consistent with the Company’s historical presentation. The Company continues to evaluate the impact of the guidance and may apply other elections, as applicable.</w:t>
      </w:r>
    </w:p>
    <w:p>
      <w:pPr>
        <w:spacing w:after="0" w:line="21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 xml:space="preserve">Recently Issued Financial Accounting Standards Not Yet Adopted </w:t>
      </w:r>
      <w:r>
        <w:rPr>
          <w:rFonts w:ascii="Arial" w:cs="Arial" w:eastAsia="Arial" w:hAnsi="Arial"/>
          <w:sz w:val="20"/>
          <w:szCs w:val="20"/>
          <w:color w:val="auto"/>
        </w:rPr>
        <w:t>- Recent accounting guidance not discussed herein is not applicable, did not</w:t>
      </w:r>
      <w:r>
        <w:rPr>
          <w:rFonts w:ascii="Arial" w:cs="Arial" w:eastAsia="Arial" w:hAnsi="Arial"/>
          <w:sz w:val="20"/>
          <w:szCs w:val="20"/>
          <w:i w:val="1"/>
          <w:iCs w:val="1"/>
          <w:color w:val="auto"/>
        </w:rPr>
        <w:t xml:space="preserve"> </w:t>
      </w:r>
      <w:r>
        <w:rPr>
          <w:rFonts w:ascii="Arial" w:cs="Arial" w:eastAsia="Arial" w:hAnsi="Arial"/>
          <w:sz w:val="20"/>
          <w:szCs w:val="20"/>
          <w:color w:val="auto"/>
        </w:rPr>
        <w:t>have, or is not expected to have a material impact to the Company.</w:t>
      </w:r>
    </w:p>
    <w:p>
      <w:pPr>
        <w:spacing w:after="0" w:line="204" w:lineRule="exact"/>
        <w:rPr>
          <w:sz w:val="20"/>
          <w:szCs w:val="20"/>
          <w:color w:val="auto"/>
        </w:rPr>
      </w:pPr>
    </w:p>
    <w:p>
      <w:pPr>
        <w:jc w:val="both"/>
        <w:spacing w:after="0" w:line="287" w:lineRule="auto"/>
        <w:rPr>
          <w:sz w:val="20"/>
          <w:szCs w:val="20"/>
          <w:color w:val="auto"/>
        </w:rPr>
      </w:pPr>
      <w:r>
        <w:rPr>
          <w:rFonts w:ascii="Arial" w:cs="Arial" w:eastAsia="Arial" w:hAnsi="Arial"/>
          <w:sz w:val="19"/>
          <w:szCs w:val="19"/>
          <w:i w:val="1"/>
          <w:iCs w:val="1"/>
          <w:color w:val="auto"/>
        </w:rPr>
        <w:t xml:space="preserve">Reclassifications - </w:t>
      </w:r>
      <w:r>
        <w:rPr>
          <w:rFonts w:ascii="Arial" w:cs="Arial" w:eastAsia="Arial" w:hAnsi="Arial"/>
          <w:sz w:val="19"/>
          <w:szCs w:val="19"/>
          <w:color w:val="auto"/>
        </w:rPr>
        <w:t>The Company reclassified certain items in the accompanying consolidated financial statements for prior periods to be</w:t>
      </w:r>
      <w:r>
        <w:rPr>
          <w:rFonts w:ascii="Arial" w:cs="Arial" w:eastAsia="Arial" w:hAnsi="Arial"/>
          <w:sz w:val="19"/>
          <w:szCs w:val="19"/>
          <w:i w:val="1"/>
          <w:iCs w:val="1"/>
          <w:color w:val="auto"/>
        </w:rPr>
        <w:t xml:space="preserve"> </w:t>
      </w:r>
      <w:r>
        <w:rPr>
          <w:rFonts w:ascii="Arial" w:cs="Arial" w:eastAsia="Arial" w:hAnsi="Arial"/>
          <w:sz w:val="19"/>
          <w:szCs w:val="19"/>
          <w:color w:val="auto"/>
        </w:rPr>
        <w:t>comparable with the classification for the current period. These reclassifications had no effect on previously reported net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348" w:lineRule="exact"/>
        <w:rPr>
          <w:sz w:val="20"/>
          <w:szCs w:val="20"/>
          <w:color w:val="auto"/>
        </w:rPr>
      </w:pPr>
    </w:p>
    <w:p>
      <w:pPr>
        <w:spacing w:after="0"/>
        <w:rPr>
          <w:sz w:val="20"/>
          <w:szCs w:val="20"/>
          <w:color w:val="auto"/>
        </w:rPr>
      </w:pPr>
      <w:r>
        <w:rPr>
          <w:rFonts w:ascii="Arial" w:cs="Arial" w:eastAsia="Arial" w:hAnsi="Arial"/>
          <w:sz w:val="20"/>
          <w:szCs w:val="20"/>
          <w:color w:val="auto"/>
        </w:rPr>
        <w:t>2. COVID-19 Charges</w:t>
      </w:r>
    </w:p>
    <w:p>
      <w:pPr>
        <w:spacing w:after="0" w:line="243"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Following is a summary of the charges recorded in connection with the COVID-19 pandemic for the periods indicated below (dollars in thousands):</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THIRTEEN WEEKS</w:t>
            </w:r>
          </w:p>
        </w:tc>
        <w:tc>
          <w:tcPr>
            <w:tcW w:w="1580" w:type="dxa"/>
            <w:vAlign w:val="bottom"/>
            <w:gridSpan w:val="2"/>
          </w:tcPr>
          <w:p>
            <w:pPr>
              <w:jc w:val="center"/>
              <w:spacing w:after="0"/>
              <w:rPr>
                <w:sz w:val="20"/>
                <w:szCs w:val="20"/>
                <w:color w:val="auto"/>
              </w:rPr>
            </w:pPr>
            <w:r>
              <w:rPr>
                <w:rFonts w:ascii="Arial" w:cs="Arial" w:eastAsia="Arial" w:hAnsi="Arial"/>
                <w:sz w:val="14"/>
                <w:szCs w:val="14"/>
                <w:b w:val="1"/>
                <w:bCs w:val="1"/>
                <w:color w:val="auto"/>
              </w:rPr>
              <w:t>TWENTY-SIX WEEKS</w:t>
            </w:r>
          </w:p>
        </w:tc>
      </w:tr>
      <w:tr>
        <w:trPr>
          <w:trHeight w:val="186"/>
        </w:trPr>
        <w:tc>
          <w:tcPr>
            <w:tcW w:w="3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ENDED</w:t>
            </w:r>
          </w:p>
        </w:tc>
        <w:tc>
          <w:tcPr>
            <w:tcW w:w="220" w:type="dxa"/>
            <w:vAlign w:val="bottom"/>
          </w:tcPr>
          <w:p>
            <w:pPr>
              <w:spacing w:after="0"/>
              <w:rPr>
                <w:sz w:val="16"/>
                <w:szCs w:val="16"/>
                <w:color w:val="auto"/>
              </w:rPr>
            </w:pPr>
          </w:p>
        </w:tc>
        <w:tc>
          <w:tcPr>
            <w:tcW w:w="1360" w:type="dxa"/>
            <w:vAlign w:val="bottom"/>
          </w:tcPr>
          <w:p>
            <w:pPr>
              <w:jc w:val="center"/>
              <w:ind w:right="141"/>
              <w:spacing w:after="0"/>
              <w:rPr>
                <w:sz w:val="20"/>
                <w:szCs w:val="20"/>
                <w:color w:val="auto"/>
              </w:rPr>
            </w:pPr>
            <w:r>
              <w:rPr>
                <w:rFonts w:ascii="Arial" w:cs="Arial" w:eastAsia="Arial" w:hAnsi="Arial"/>
                <w:sz w:val="14"/>
                <w:szCs w:val="14"/>
                <w:b w:val="1"/>
                <w:bCs w:val="1"/>
                <w:color w:val="auto"/>
              </w:rPr>
              <w:t>ENDED</w:t>
            </w:r>
          </w:p>
        </w:tc>
      </w:tr>
      <w:tr>
        <w:trPr>
          <w:trHeight w:val="222"/>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CHARGES</w:t>
            </w:r>
          </w:p>
        </w:tc>
        <w:tc>
          <w:tcPr>
            <w:tcW w:w="100" w:type="dxa"/>
            <w:vAlign w:val="bottom"/>
            <w:tcBorders>
              <w:bottom w:val="single" w:sz="8" w:color="CCEEFF"/>
            </w:tcBorders>
          </w:tcPr>
          <w:p>
            <w:pPr>
              <w:spacing w:after="0"/>
              <w:rPr>
                <w:sz w:val="19"/>
                <w:szCs w:val="19"/>
                <w:color w:val="auto"/>
              </w:rPr>
            </w:pPr>
          </w:p>
        </w:tc>
        <w:tc>
          <w:tcPr>
            <w:tcW w:w="42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CONSOLIDATED INCOME STATEMENT CLASSIFICATION</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3"/>
              </w:rPr>
              <w:t>JUNE 28, 2020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96"/>
              </w:rPr>
              <w:t>JUNE 28, 2020</w:t>
            </w:r>
          </w:p>
        </w:tc>
      </w:tr>
      <w:tr>
        <w:trPr>
          <w:trHeight w:val="237"/>
        </w:trPr>
        <w:tc>
          <w:tcPr>
            <w:tcW w:w="3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Inventory obsolescence and spoilage (1)</w:t>
            </w:r>
          </w:p>
        </w:tc>
        <w:tc>
          <w:tcPr>
            <w:tcW w:w="4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Cost of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1,163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7,345</w:t>
            </w:r>
          </w:p>
        </w:tc>
      </w:tr>
      <w:tr>
        <w:trPr>
          <w:trHeight w:val="223"/>
        </w:trPr>
        <w:tc>
          <w:tcPr>
            <w:tcW w:w="3560" w:type="dxa"/>
            <w:vAlign w:val="bottom"/>
            <w:gridSpan w:val="2"/>
          </w:tcPr>
          <w:p>
            <w:pPr>
              <w:ind w:left="20"/>
              <w:spacing w:after="0"/>
              <w:rPr>
                <w:sz w:val="20"/>
                <w:szCs w:val="20"/>
                <w:color w:val="auto"/>
              </w:rPr>
            </w:pPr>
            <w:r>
              <w:rPr>
                <w:rFonts w:ascii="Arial" w:cs="Arial" w:eastAsia="Arial" w:hAnsi="Arial"/>
                <w:sz w:val="16"/>
                <w:szCs w:val="16"/>
                <w:color w:val="auto"/>
              </w:rPr>
              <w:t>Compensation for idle employees (2)</w:t>
            </w:r>
          </w:p>
        </w:tc>
        <w:tc>
          <w:tcPr>
            <w:tcW w:w="4380" w:type="dxa"/>
            <w:vAlign w:val="bottom"/>
            <w:gridSpan w:val="2"/>
          </w:tcPr>
          <w:p>
            <w:pPr>
              <w:ind w:left="20"/>
              <w:spacing w:after="0"/>
              <w:rPr>
                <w:sz w:val="20"/>
                <w:szCs w:val="20"/>
                <w:color w:val="auto"/>
              </w:rPr>
            </w:pPr>
            <w:r>
              <w:rPr>
                <w:rFonts w:ascii="Arial" w:cs="Arial" w:eastAsia="Arial" w:hAnsi="Arial"/>
                <w:sz w:val="16"/>
                <w:szCs w:val="16"/>
                <w:color w:val="auto"/>
              </w:rPr>
              <w:t>Labor and other related</w:t>
            </w:r>
          </w:p>
        </w:tc>
        <w:tc>
          <w:tcPr>
            <w:tcW w:w="120" w:type="dxa"/>
            <w:vAlign w:val="bottom"/>
          </w:tcPr>
          <w:p>
            <w:pPr>
              <w:spacing w:after="0"/>
              <w:rPr>
                <w:sz w:val="19"/>
                <w:szCs w:val="19"/>
                <w:color w:val="auto"/>
              </w:rPr>
            </w:pPr>
          </w:p>
        </w:tc>
        <w:tc>
          <w:tcPr>
            <w:tcW w:w="1460" w:type="dxa"/>
            <w:vAlign w:val="bottom"/>
          </w:tcPr>
          <w:p>
            <w:pPr>
              <w:jc w:val="right"/>
              <w:ind w:right="61"/>
              <w:spacing w:after="0"/>
              <w:rPr>
                <w:sz w:val="20"/>
                <w:szCs w:val="20"/>
                <w:color w:val="auto"/>
              </w:rPr>
            </w:pPr>
            <w:r>
              <w:rPr>
                <w:rFonts w:ascii="Arial" w:cs="Arial" w:eastAsia="Arial" w:hAnsi="Arial"/>
                <w:sz w:val="16"/>
                <w:szCs w:val="16"/>
                <w:color w:val="auto"/>
              </w:rPr>
              <w:t>11,388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ind w:right="61"/>
              <w:spacing w:after="0"/>
              <w:rPr>
                <w:sz w:val="20"/>
                <w:szCs w:val="20"/>
                <w:color w:val="auto"/>
              </w:rPr>
            </w:pPr>
            <w:r>
              <w:rPr>
                <w:rFonts w:ascii="Arial" w:cs="Arial" w:eastAsia="Arial" w:hAnsi="Arial"/>
                <w:sz w:val="16"/>
                <w:szCs w:val="16"/>
                <w:color w:val="auto"/>
              </w:rPr>
              <w:t>27,574</w:t>
            </w:r>
          </w:p>
        </w:tc>
      </w:tr>
      <w:tr>
        <w:trPr>
          <w:trHeight w:val="33"/>
        </w:trPr>
        <w:tc>
          <w:tcPr>
            <w:tcW w:w="3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7"/>
        </w:trPr>
        <w:tc>
          <w:tcPr>
            <w:tcW w:w="3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Other operating charges</w:t>
            </w:r>
          </w:p>
        </w:tc>
        <w:tc>
          <w:tcPr>
            <w:tcW w:w="4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Other restaurant operating</w:t>
            </w: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2,467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2,467</w:t>
            </w:r>
          </w:p>
        </w:tc>
      </w:tr>
      <w:tr>
        <w:trPr>
          <w:trHeight w:val="224"/>
        </w:trPr>
        <w:tc>
          <w:tcPr>
            <w:tcW w:w="3560" w:type="dxa"/>
            <w:vAlign w:val="bottom"/>
            <w:gridSpan w:val="2"/>
          </w:tcPr>
          <w:p>
            <w:pPr>
              <w:ind w:left="20"/>
              <w:spacing w:after="0"/>
              <w:rPr>
                <w:sz w:val="20"/>
                <w:szCs w:val="20"/>
                <w:color w:val="auto"/>
              </w:rPr>
            </w:pPr>
            <w:r>
              <w:rPr>
                <w:rFonts w:ascii="Arial" w:cs="Arial" w:eastAsia="Arial" w:hAnsi="Arial"/>
                <w:sz w:val="16"/>
                <w:szCs w:val="16"/>
                <w:color w:val="auto"/>
              </w:rPr>
              <w:t>Lease guarantee contingent liabilities (3)</w:t>
            </w:r>
          </w:p>
        </w:tc>
        <w:tc>
          <w:tcPr>
            <w:tcW w:w="4380" w:type="dxa"/>
            <w:vAlign w:val="bottom"/>
            <w:gridSpan w:val="2"/>
          </w:tcPr>
          <w:p>
            <w:pPr>
              <w:ind w:left="20"/>
              <w:spacing w:after="0"/>
              <w:rPr>
                <w:sz w:val="20"/>
                <w:szCs w:val="20"/>
                <w:color w:val="auto"/>
              </w:rPr>
            </w:pPr>
            <w:r>
              <w:rPr>
                <w:rFonts w:ascii="Arial" w:cs="Arial" w:eastAsia="Arial" w:hAnsi="Arial"/>
                <w:sz w:val="16"/>
                <w:szCs w:val="16"/>
                <w:color w:val="auto"/>
              </w:rPr>
              <w:t>General and administrative</w:t>
            </w:r>
          </w:p>
        </w:tc>
        <w:tc>
          <w:tcPr>
            <w:tcW w:w="120" w:type="dxa"/>
            <w:vAlign w:val="bottom"/>
          </w:tcPr>
          <w:p>
            <w:pPr>
              <w:spacing w:after="0"/>
              <w:rPr>
                <w:sz w:val="19"/>
                <w:szCs w:val="19"/>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360" w:type="dxa"/>
            <w:vAlign w:val="bottom"/>
          </w:tcPr>
          <w:p>
            <w:pPr>
              <w:jc w:val="right"/>
              <w:ind w:right="61"/>
              <w:spacing w:after="0"/>
              <w:rPr>
                <w:sz w:val="20"/>
                <w:szCs w:val="20"/>
                <w:color w:val="auto"/>
              </w:rPr>
            </w:pPr>
            <w:r>
              <w:rPr>
                <w:rFonts w:ascii="Arial" w:cs="Arial" w:eastAsia="Arial" w:hAnsi="Arial"/>
                <w:sz w:val="16"/>
                <w:szCs w:val="16"/>
                <w:color w:val="auto"/>
              </w:rPr>
              <w:t>4,188</w:t>
            </w:r>
          </w:p>
        </w:tc>
      </w:tr>
      <w:tr>
        <w:trPr>
          <w:trHeight w:val="33"/>
        </w:trPr>
        <w:tc>
          <w:tcPr>
            <w:tcW w:w="3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7"/>
        </w:trPr>
        <w:tc>
          <w:tcPr>
            <w:tcW w:w="3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Allowance for expected credit losses (4)</w:t>
            </w:r>
          </w:p>
        </w:tc>
        <w:tc>
          <w:tcPr>
            <w:tcW w:w="4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1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3,334</w:t>
            </w:r>
          </w:p>
        </w:tc>
      </w:tr>
      <w:tr>
        <w:trPr>
          <w:trHeight w:val="223"/>
        </w:trPr>
        <w:tc>
          <w:tcPr>
            <w:tcW w:w="3560" w:type="dxa"/>
            <w:vAlign w:val="bottom"/>
            <w:gridSpan w:val="2"/>
          </w:tcPr>
          <w:p>
            <w:pPr>
              <w:ind w:left="20"/>
              <w:spacing w:after="0"/>
              <w:rPr>
                <w:sz w:val="20"/>
                <w:szCs w:val="20"/>
                <w:color w:val="auto"/>
              </w:rPr>
            </w:pPr>
            <w:r>
              <w:rPr>
                <w:rFonts w:ascii="Arial" w:cs="Arial" w:eastAsia="Arial" w:hAnsi="Arial"/>
                <w:sz w:val="16"/>
                <w:szCs w:val="16"/>
                <w:color w:val="auto"/>
              </w:rPr>
              <w:t>Other charges</w:t>
            </w:r>
          </w:p>
        </w:tc>
        <w:tc>
          <w:tcPr>
            <w:tcW w:w="4380" w:type="dxa"/>
            <w:vAlign w:val="bottom"/>
            <w:gridSpan w:val="2"/>
          </w:tcPr>
          <w:p>
            <w:pPr>
              <w:ind w:left="20"/>
              <w:spacing w:after="0"/>
              <w:rPr>
                <w:sz w:val="20"/>
                <w:szCs w:val="20"/>
                <w:color w:val="auto"/>
              </w:rPr>
            </w:pPr>
            <w:r>
              <w:rPr>
                <w:rFonts w:ascii="Arial" w:cs="Arial" w:eastAsia="Arial" w:hAnsi="Arial"/>
                <w:sz w:val="16"/>
                <w:szCs w:val="16"/>
                <w:color w:val="auto"/>
              </w:rPr>
              <w:t>General and administrative</w:t>
            </w:r>
          </w:p>
        </w:tc>
        <w:tc>
          <w:tcPr>
            <w:tcW w:w="120" w:type="dxa"/>
            <w:vAlign w:val="bottom"/>
          </w:tcPr>
          <w:p>
            <w:pPr>
              <w:spacing w:after="0"/>
              <w:rPr>
                <w:sz w:val="19"/>
                <w:szCs w:val="19"/>
                <w:color w:val="auto"/>
              </w:rPr>
            </w:pPr>
          </w:p>
        </w:tc>
        <w:tc>
          <w:tcPr>
            <w:tcW w:w="1460" w:type="dxa"/>
            <w:vAlign w:val="bottom"/>
          </w:tcPr>
          <w:p>
            <w:pPr>
              <w:jc w:val="right"/>
              <w:ind w:right="61"/>
              <w:spacing w:after="0"/>
              <w:rPr>
                <w:sz w:val="20"/>
                <w:szCs w:val="20"/>
                <w:color w:val="auto"/>
              </w:rPr>
            </w:pPr>
            <w:r>
              <w:rPr>
                <w:rFonts w:ascii="Arial" w:cs="Arial" w:eastAsia="Arial" w:hAnsi="Arial"/>
                <w:sz w:val="16"/>
                <w:szCs w:val="16"/>
                <w:color w:val="auto"/>
              </w:rPr>
              <w:t>1,216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ind w:right="61"/>
              <w:spacing w:after="0"/>
              <w:rPr>
                <w:sz w:val="20"/>
                <w:szCs w:val="20"/>
                <w:color w:val="auto"/>
              </w:rPr>
            </w:pPr>
            <w:r>
              <w:rPr>
                <w:rFonts w:ascii="Arial" w:cs="Arial" w:eastAsia="Arial" w:hAnsi="Arial"/>
                <w:sz w:val="16"/>
                <w:szCs w:val="16"/>
                <w:color w:val="auto"/>
              </w:rPr>
              <w:t>1,789</w:t>
            </w:r>
          </w:p>
        </w:tc>
      </w:tr>
      <w:tr>
        <w:trPr>
          <w:trHeight w:val="33"/>
        </w:trPr>
        <w:tc>
          <w:tcPr>
            <w:tcW w:w="3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6"/>
        </w:trPr>
        <w:tc>
          <w:tcPr>
            <w:tcW w:w="3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Right-of-use asset impairment (5)</w:t>
            </w:r>
          </w:p>
        </w:tc>
        <w:tc>
          <w:tcPr>
            <w:tcW w:w="4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Provision for impaired assets and restaurant closings</w:t>
            </w: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5,273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25,757</w:t>
            </w:r>
          </w:p>
        </w:tc>
      </w:tr>
      <w:tr>
        <w:trPr>
          <w:trHeight w:val="224"/>
        </w:trPr>
        <w:tc>
          <w:tcPr>
            <w:tcW w:w="3560" w:type="dxa"/>
            <w:vAlign w:val="bottom"/>
            <w:gridSpan w:val="2"/>
          </w:tcPr>
          <w:p>
            <w:pPr>
              <w:ind w:left="20"/>
              <w:spacing w:after="0"/>
              <w:rPr>
                <w:sz w:val="20"/>
                <w:szCs w:val="20"/>
                <w:color w:val="auto"/>
              </w:rPr>
            </w:pPr>
            <w:r>
              <w:rPr>
                <w:rFonts w:ascii="Arial" w:cs="Arial" w:eastAsia="Arial" w:hAnsi="Arial"/>
                <w:sz w:val="16"/>
                <w:szCs w:val="16"/>
                <w:color w:val="auto"/>
              </w:rPr>
              <w:t>Fixed asset impairment (5)</w:t>
            </w:r>
          </w:p>
        </w:tc>
        <w:tc>
          <w:tcPr>
            <w:tcW w:w="4380" w:type="dxa"/>
            <w:vAlign w:val="bottom"/>
            <w:gridSpan w:val="2"/>
          </w:tcPr>
          <w:p>
            <w:pPr>
              <w:ind w:left="20"/>
              <w:spacing w:after="0"/>
              <w:rPr>
                <w:sz w:val="20"/>
                <w:szCs w:val="20"/>
                <w:color w:val="auto"/>
              </w:rPr>
            </w:pPr>
            <w:r>
              <w:rPr>
                <w:rFonts w:ascii="Arial" w:cs="Arial" w:eastAsia="Arial" w:hAnsi="Arial"/>
                <w:sz w:val="16"/>
                <w:szCs w:val="16"/>
                <w:color w:val="auto"/>
              </w:rPr>
              <w:t>Provision for impaired assets and restaurant closings</w:t>
            </w:r>
          </w:p>
        </w:tc>
        <w:tc>
          <w:tcPr>
            <w:tcW w:w="120" w:type="dxa"/>
            <w:vAlign w:val="bottom"/>
          </w:tcPr>
          <w:p>
            <w:pPr>
              <w:spacing w:after="0"/>
              <w:rPr>
                <w:sz w:val="19"/>
                <w:szCs w:val="19"/>
                <w:color w:val="auto"/>
              </w:rPr>
            </w:pPr>
          </w:p>
        </w:tc>
        <w:tc>
          <w:tcPr>
            <w:tcW w:w="1460" w:type="dxa"/>
            <w:vAlign w:val="bottom"/>
          </w:tcPr>
          <w:p>
            <w:pPr>
              <w:jc w:val="right"/>
              <w:ind w:right="61"/>
              <w:spacing w:after="0"/>
              <w:rPr>
                <w:sz w:val="20"/>
                <w:szCs w:val="20"/>
                <w:color w:val="auto"/>
              </w:rPr>
            </w:pPr>
            <w:r>
              <w:rPr>
                <w:rFonts w:ascii="Arial" w:cs="Arial" w:eastAsia="Arial" w:hAnsi="Arial"/>
                <w:sz w:val="16"/>
                <w:szCs w:val="16"/>
                <w:color w:val="auto"/>
              </w:rPr>
              <w:t>19,611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ind w:right="61"/>
              <w:spacing w:after="0"/>
              <w:rPr>
                <w:sz w:val="20"/>
                <w:szCs w:val="20"/>
                <w:color w:val="auto"/>
              </w:rPr>
            </w:pPr>
            <w:r>
              <w:rPr>
                <w:rFonts w:ascii="Arial" w:cs="Arial" w:eastAsia="Arial" w:hAnsi="Arial"/>
                <w:sz w:val="16"/>
                <w:szCs w:val="16"/>
                <w:color w:val="auto"/>
              </w:rPr>
              <w:t>31,339</w:t>
            </w:r>
          </w:p>
        </w:tc>
      </w:tr>
      <w:tr>
        <w:trPr>
          <w:trHeight w:val="33"/>
        </w:trPr>
        <w:tc>
          <w:tcPr>
            <w:tcW w:w="3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Goodwill and other impairment (6)</w:t>
            </w:r>
          </w:p>
        </w:tc>
        <w:tc>
          <w:tcPr>
            <w:tcW w:w="4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Provision for impaired assets and restaurant closings</w:t>
            </w:r>
          </w:p>
        </w:tc>
        <w:tc>
          <w:tcPr>
            <w:tcW w:w="12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611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2,999</w:t>
            </w:r>
          </w:p>
        </w:tc>
      </w:tr>
      <w:tr>
        <w:trPr>
          <w:trHeight w:val="224"/>
        </w:trPr>
        <w:tc>
          <w:tcPr>
            <w:tcW w:w="3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61"/>
              <w:spacing w:after="0"/>
              <w:rPr>
                <w:sz w:val="20"/>
                <w:szCs w:val="20"/>
                <w:color w:val="auto"/>
              </w:rPr>
            </w:pPr>
            <w:r>
              <w:rPr>
                <w:rFonts w:ascii="Arial" w:cs="Arial" w:eastAsia="Arial" w:hAnsi="Arial"/>
                <w:sz w:val="16"/>
                <w:szCs w:val="16"/>
                <w:color w:val="auto"/>
              </w:rPr>
              <w:t>41,729</w:t>
            </w:r>
          </w:p>
        </w:tc>
        <w:tc>
          <w:tcPr>
            <w:tcW w:w="100" w:type="dxa"/>
            <w:vAlign w:val="bottom"/>
          </w:tcPr>
          <w:p>
            <w:pPr>
              <w:spacing w:after="0"/>
              <w:rPr>
                <w:sz w:val="19"/>
                <w:szCs w:val="19"/>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61"/>
              <w:spacing w:after="0"/>
              <w:rPr>
                <w:sz w:val="20"/>
                <w:szCs w:val="20"/>
                <w:color w:val="auto"/>
              </w:rPr>
            </w:pPr>
            <w:r>
              <w:rPr>
                <w:rFonts w:ascii="Arial" w:cs="Arial" w:eastAsia="Arial" w:hAnsi="Arial"/>
                <w:sz w:val="16"/>
                <w:szCs w:val="16"/>
                <w:color w:val="auto"/>
              </w:rPr>
              <w:t>106,792</w:t>
            </w:r>
          </w:p>
        </w:tc>
      </w:tr>
      <w:tr>
        <w:trPr>
          <w:trHeight w:val="33"/>
        </w:trPr>
        <w:tc>
          <w:tcPr>
            <w:tcW w:w="3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3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19" w:lineRule="exact"/>
        <w:rPr>
          <w:sz w:val="20"/>
          <w:szCs w:val="20"/>
          <w:color w:val="auto"/>
        </w:rPr>
      </w:pPr>
    </w:p>
    <w:p>
      <w:pPr>
        <w:ind w:left="660" w:right="20" w:hanging="652"/>
        <w:spacing w:after="0" w:line="246"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Includes the write-off of value added tax credits in the twenty-six weeks ended June 28, 2020 related to the purchase of inventory by the Company’s Brazil subsidiary.</w:t>
      </w:r>
    </w:p>
    <w:p>
      <w:pPr>
        <w:ind w:left="660" w:right="20" w:hanging="652"/>
        <w:spacing w:after="0" w:line="246"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Represents relief pay for hourly employees impacted by the closure of dining rooms, net of $13.7 million of employee retention tax credits earned during the thirteen and twenty-six weeks ended June 28, 2020.</w:t>
      </w:r>
    </w:p>
    <w:p>
      <w:pPr>
        <w:ind w:left="660" w:hanging="652"/>
        <w:spacing w:after="0" w:line="246"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Represents additional contingent liabilities recorded for lease guarantees related to certain former restaurant locations now operated by franchisees or other third parties.</w:t>
      </w:r>
    </w:p>
    <w:p>
      <w:pPr>
        <w:ind w:left="660" w:hanging="652"/>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Includes additional reserves based on the Company’s increase in expected credit losses, primarily related to franchise receivables.</w:t>
      </w:r>
    </w:p>
    <w:p>
      <w:pPr>
        <w:spacing w:after="0" w:line="5" w:lineRule="exact"/>
        <w:rPr>
          <w:rFonts w:ascii="Arial" w:cs="Arial" w:eastAsia="Arial" w:hAnsi="Arial"/>
          <w:sz w:val="16"/>
          <w:szCs w:val="16"/>
          <w:color w:val="auto"/>
        </w:rPr>
      </w:pPr>
    </w:p>
    <w:p>
      <w:pPr>
        <w:ind w:left="660" w:hanging="652"/>
        <w:spacing w:after="0" w:line="262" w:lineRule="auto"/>
        <w:tabs>
          <w:tab w:leader="none" w:pos="660" w:val="left"/>
        </w:tabs>
        <w:numPr>
          <w:ilvl w:val="0"/>
          <w:numId w:val="4"/>
        </w:numPr>
        <w:rPr>
          <w:rFonts w:ascii="Arial" w:cs="Arial" w:eastAsia="Arial" w:hAnsi="Arial"/>
          <w:sz w:val="15"/>
          <w:szCs w:val="15"/>
          <w:color w:val="auto"/>
        </w:rPr>
      </w:pPr>
      <w:r>
        <w:rPr>
          <w:rFonts w:ascii="Arial" w:cs="Arial" w:eastAsia="Arial" w:hAnsi="Arial"/>
          <w:sz w:val="15"/>
          <w:szCs w:val="15"/>
          <w:color w:val="auto"/>
        </w:rPr>
        <w:t xml:space="preserve">Includes impairments resulting from the remeasurement of assets utilizing projected future cash flows revised for current economic conditions, restructuring charges and the closure of certain restaurants. See Note 4 - </w:t>
      </w:r>
      <w:r>
        <w:rPr>
          <w:rFonts w:ascii="Arial" w:cs="Arial" w:eastAsia="Arial" w:hAnsi="Arial"/>
          <w:sz w:val="15"/>
          <w:szCs w:val="15"/>
          <w:i w:val="1"/>
          <w:iCs w:val="1"/>
          <w:color w:val="auto"/>
        </w:rPr>
        <w:t>Impairments, Exit Costs and Disposals</w:t>
      </w:r>
      <w:r>
        <w:rPr>
          <w:rFonts w:ascii="Arial" w:cs="Arial" w:eastAsia="Arial" w:hAnsi="Arial"/>
          <w:sz w:val="15"/>
          <w:szCs w:val="15"/>
          <w:color w:val="auto"/>
        </w:rPr>
        <w:t xml:space="preserve"> for details regarding COVID-19 Restructuring costs.</w:t>
      </w:r>
    </w:p>
    <w:p>
      <w:pPr>
        <w:spacing w:after="0" w:line="1" w:lineRule="exact"/>
        <w:rPr>
          <w:rFonts w:ascii="Arial" w:cs="Arial" w:eastAsia="Arial" w:hAnsi="Arial"/>
          <w:sz w:val="15"/>
          <w:szCs w:val="15"/>
          <w:color w:val="auto"/>
        </w:rPr>
      </w:pPr>
    </w:p>
    <w:p>
      <w:pPr>
        <w:ind w:left="660" w:right="20" w:hanging="652"/>
        <w:spacing w:after="0" w:line="257"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Includes impairment of goodwill for the Company’s Hong Kong subsidiary during the twenty-six weeks ended June 28, 2020. See Note 9 - </w:t>
      </w:r>
      <w:r>
        <w:rPr>
          <w:rFonts w:ascii="Arial" w:cs="Arial" w:eastAsia="Arial" w:hAnsi="Arial"/>
          <w:sz w:val="16"/>
          <w:szCs w:val="16"/>
          <w:i w:val="1"/>
          <w:iCs w:val="1"/>
          <w:color w:val="auto"/>
        </w:rPr>
        <w:t>Goodwill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Intangible Assets, Net </w:t>
      </w:r>
      <w:r>
        <w:rPr>
          <w:rFonts w:ascii="Arial" w:cs="Arial" w:eastAsia="Arial" w:hAnsi="Arial"/>
          <w:sz w:val="16"/>
          <w:szCs w:val="16"/>
          <w:color w:val="auto"/>
        </w:rPr>
        <w:t>for details regarding impairment of goodwill.</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color w:val="auto"/>
        </w:rPr>
        <w:t>3. Revenue Recognition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includes  the  categories  of  revenue  included  in  the  Company’s  Consolidated  Statements  of  Operations  and</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Comprehensive (Loss) Income for the periods indicated: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8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gridSpan w:val="4"/>
          </w:tcPr>
          <w:p>
            <w:pPr>
              <w:jc w:val="right"/>
              <w:ind w:right="581"/>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gridSpan w:val="4"/>
          </w:tcPr>
          <w:p>
            <w:pPr>
              <w:jc w:val="right"/>
              <w:ind w:right="501"/>
              <w:spacing w:after="0"/>
              <w:rPr>
                <w:sz w:val="20"/>
                <w:szCs w:val="20"/>
                <w:color w:val="auto"/>
              </w:rPr>
            </w:pPr>
            <w:r>
              <w:rPr>
                <w:rFonts w:ascii="Arial" w:cs="Arial" w:eastAsia="Arial" w:hAnsi="Arial"/>
                <w:sz w:val="14"/>
                <w:szCs w:val="14"/>
                <w:b w:val="1"/>
                <w:bCs w:val="1"/>
                <w:color w:val="auto"/>
              </w:rPr>
              <w:t>TWENTY-SIX WEEKS ENDED</w:t>
            </w:r>
          </w:p>
        </w:tc>
      </w:tr>
      <w:tr>
        <w:trPr>
          <w:trHeight w:val="210"/>
        </w:trPr>
        <w:tc>
          <w:tcPr>
            <w:tcW w:w="482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Pr>
          <w:p>
            <w:pPr>
              <w:spacing w:after="0"/>
              <w:rPr>
                <w:sz w:val="18"/>
                <w:szCs w:val="18"/>
                <w:color w:val="auto"/>
              </w:rPr>
            </w:pPr>
          </w:p>
        </w:tc>
        <w:tc>
          <w:tcPr>
            <w:tcW w:w="142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28, 2020</w:t>
            </w:r>
          </w:p>
        </w:tc>
        <w:tc>
          <w:tcPr>
            <w:tcW w:w="200" w:type="dxa"/>
            <w:vAlign w:val="bottom"/>
          </w:tcPr>
          <w:p>
            <w:pPr>
              <w:spacing w:after="0"/>
              <w:rPr>
                <w:sz w:val="18"/>
                <w:szCs w:val="18"/>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2019</w:t>
            </w:r>
          </w:p>
        </w:tc>
        <w:tc>
          <w:tcPr>
            <w:tcW w:w="20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28, 2020</w:t>
            </w:r>
          </w:p>
        </w:tc>
        <w:tc>
          <w:tcPr>
            <w:tcW w:w="200" w:type="dxa"/>
            <w:vAlign w:val="bottom"/>
          </w:tcPr>
          <w:p>
            <w:pPr>
              <w:spacing w:after="0"/>
              <w:rPr>
                <w:sz w:val="18"/>
                <w:szCs w:val="18"/>
                <w:color w:val="auto"/>
              </w:rPr>
            </w:pPr>
          </w:p>
        </w:tc>
        <w:tc>
          <w:tcPr>
            <w:tcW w:w="1320" w:type="dxa"/>
            <w:vAlign w:val="bottom"/>
          </w:tcPr>
          <w:p>
            <w:pPr>
              <w:jc w:val="right"/>
              <w:ind w:right="221"/>
              <w:spacing w:after="0"/>
              <w:rPr>
                <w:sz w:val="20"/>
                <w:szCs w:val="20"/>
                <w:color w:val="auto"/>
              </w:rPr>
            </w:pPr>
            <w:r>
              <w:rPr>
                <w:rFonts w:ascii="Arial" w:cs="Arial" w:eastAsia="Arial" w:hAnsi="Arial"/>
                <w:sz w:val="14"/>
                <w:szCs w:val="14"/>
                <w:b w:val="1"/>
                <w:bCs w:val="1"/>
                <w:color w:val="auto"/>
              </w:rPr>
              <w:t>JUNE 30, 2019</w:t>
            </w:r>
          </w:p>
        </w:tc>
      </w:tr>
      <w:tr>
        <w:trPr>
          <w:trHeight w:val="223"/>
        </w:trPr>
        <w:tc>
          <w:tcPr>
            <w:tcW w:w="4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200" w:type="dxa"/>
            <w:vAlign w:val="bottom"/>
            <w:tcBorders>
              <w:top w:val="single" w:sz="8" w:color="auto"/>
              <w:bottom w:val="single" w:sz="8" w:color="CCEEFF"/>
            </w:tcBorders>
            <w:shd w:val="clear" w:color="auto" w:fill="CCEEFF"/>
          </w:tcPr>
          <w:p>
            <w:pPr>
              <w:spacing w:after="0"/>
              <w:rPr>
                <w:sz w:val="19"/>
                <w:szCs w:val="19"/>
                <w:color w:val="auto"/>
              </w:rPr>
            </w:pPr>
          </w:p>
        </w:tc>
        <w:tc>
          <w:tcPr>
            <w:tcW w:w="132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CCEEFF"/>
            </w:tcBorders>
            <w:shd w:val="clear" w:color="auto" w:fill="CCEEFF"/>
          </w:tcPr>
          <w:p>
            <w:pPr>
              <w:spacing w:after="0"/>
              <w:rPr>
                <w:sz w:val="19"/>
                <w:szCs w:val="19"/>
                <w:color w:val="auto"/>
              </w:rPr>
            </w:pPr>
          </w:p>
        </w:tc>
        <w:tc>
          <w:tcPr>
            <w:tcW w:w="134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CCEEFF"/>
            </w:tcBorders>
            <w:shd w:val="clear" w:color="auto" w:fill="CCEEFF"/>
          </w:tcPr>
          <w:p>
            <w:pPr>
              <w:spacing w:after="0"/>
              <w:rPr>
                <w:sz w:val="19"/>
                <w:szCs w:val="19"/>
                <w:color w:val="auto"/>
              </w:rPr>
            </w:pPr>
          </w:p>
        </w:tc>
        <w:tc>
          <w:tcPr>
            <w:tcW w:w="132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CCEEFF"/>
            </w:tcBorders>
            <w:shd w:val="clear" w:color="auto" w:fill="CCEEFF"/>
          </w:tcPr>
          <w:p>
            <w:pPr>
              <w:spacing w:after="0"/>
              <w:rPr>
                <w:sz w:val="19"/>
                <w:szCs w:val="19"/>
                <w:color w:val="auto"/>
              </w:rPr>
            </w:pPr>
          </w:p>
        </w:tc>
        <w:tc>
          <w:tcPr>
            <w:tcW w:w="1320" w:type="dxa"/>
            <w:vAlign w:val="bottom"/>
            <w:tcBorders>
              <w:top w:val="single" w:sz="8" w:color="auto"/>
              <w:bottom w:val="single" w:sz="8" w:color="CCEEFF"/>
            </w:tcBorders>
            <w:shd w:val="clear" w:color="auto" w:fill="CCEEFF"/>
          </w:tcPr>
          <w:p>
            <w:pPr>
              <w:spacing w:after="0"/>
              <w:rPr>
                <w:sz w:val="19"/>
                <w:szCs w:val="19"/>
                <w:color w:val="auto"/>
              </w:rPr>
            </w:pPr>
          </w:p>
        </w:tc>
      </w:tr>
      <w:tr>
        <w:trPr>
          <w:trHeight w:val="223"/>
        </w:trPr>
        <w:tc>
          <w:tcPr>
            <w:tcW w:w="4820" w:type="dxa"/>
            <w:vAlign w:val="bottom"/>
          </w:tcPr>
          <w:p>
            <w:pPr>
              <w:ind w:left="120"/>
              <w:spacing w:after="0"/>
              <w:rPr>
                <w:sz w:val="20"/>
                <w:szCs w:val="20"/>
                <w:color w:val="auto"/>
              </w:rPr>
            </w:pPr>
            <w:r>
              <w:rPr>
                <w:rFonts w:ascii="Arial" w:cs="Arial" w:eastAsia="Arial" w:hAnsi="Arial"/>
                <w:sz w:val="16"/>
                <w:szCs w:val="16"/>
                <w:color w:val="auto"/>
              </w:rPr>
              <w:t>Restaurant sales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62"/>
              <w:spacing w:after="0"/>
              <w:rPr>
                <w:sz w:val="20"/>
                <w:szCs w:val="20"/>
                <w:color w:val="auto"/>
              </w:rPr>
            </w:pPr>
            <w:r>
              <w:rPr>
                <w:rFonts w:ascii="Arial" w:cs="Arial" w:eastAsia="Arial" w:hAnsi="Arial"/>
                <w:sz w:val="16"/>
                <w:szCs w:val="16"/>
                <w:color w:val="auto"/>
              </w:rPr>
              <w:t>576,261</w:t>
            </w:r>
          </w:p>
        </w:tc>
        <w:tc>
          <w:tcPr>
            <w:tcW w:w="10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81"/>
              <w:spacing w:after="0"/>
              <w:rPr>
                <w:sz w:val="20"/>
                <w:szCs w:val="20"/>
                <w:color w:val="auto"/>
              </w:rPr>
            </w:pPr>
            <w:r>
              <w:rPr>
                <w:rFonts w:ascii="Arial" w:cs="Arial" w:eastAsia="Arial" w:hAnsi="Arial"/>
                <w:sz w:val="16"/>
                <w:szCs w:val="16"/>
                <w:color w:val="auto"/>
              </w:rPr>
              <w:t>1,005,687</w:t>
            </w:r>
          </w:p>
        </w:tc>
        <w:tc>
          <w:tcPr>
            <w:tcW w:w="10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62"/>
              <w:spacing w:after="0"/>
              <w:rPr>
                <w:sz w:val="20"/>
                <w:szCs w:val="20"/>
                <w:color w:val="auto"/>
              </w:rPr>
            </w:pPr>
            <w:r>
              <w:rPr>
                <w:rFonts w:ascii="Arial" w:cs="Arial" w:eastAsia="Arial" w:hAnsi="Arial"/>
                <w:sz w:val="16"/>
                <w:szCs w:val="16"/>
                <w:color w:val="auto"/>
              </w:rPr>
              <w:t>1,572,498</w:t>
            </w:r>
          </w:p>
        </w:tc>
        <w:tc>
          <w:tcPr>
            <w:tcW w:w="12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61"/>
              <w:spacing w:after="0"/>
              <w:rPr>
                <w:sz w:val="20"/>
                <w:szCs w:val="20"/>
                <w:color w:val="auto"/>
              </w:rPr>
            </w:pPr>
            <w:r>
              <w:rPr>
                <w:rFonts w:ascii="Arial" w:cs="Arial" w:eastAsia="Arial" w:hAnsi="Arial"/>
                <w:sz w:val="16"/>
                <w:szCs w:val="16"/>
                <w:color w:val="auto"/>
              </w:rPr>
              <w:t>2,117,329</w:t>
            </w:r>
          </w:p>
        </w:tc>
      </w:tr>
      <w:tr>
        <w:trPr>
          <w:trHeight w:val="33"/>
        </w:trPr>
        <w:tc>
          <w:tcPr>
            <w:tcW w:w="4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6"/>
        </w:trPr>
        <w:tc>
          <w:tcPr>
            <w:tcW w:w="4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Franchise and other revenues</w:t>
            </w:r>
          </w:p>
        </w:tc>
        <w:tc>
          <w:tcPr>
            <w:tcW w:w="2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24"/>
        </w:trPr>
        <w:tc>
          <w:tcPr>
            <w:tcW w:w="4820" w:type="dxa"/>
            <w:vAlign w:val="bottom"/>
          </w:tcPr>
          <w:p>
            <w:pPr>
              <w:ind w:left="220"/>
              <w:spacing w:after="0"/>
              <w:rPr>
                <w:sz w:val="20"/>
                <w:szCs w:val="20"/>
                <w:color w:val="auto"/>
              </w:rPr>
            </w:pPr>
            <w:r>
              <w:rPr>
                <w:rFonts w:ascii="Arial" w:cs="Arial" w:eastAsia="Arial" w:hAnsi="Arial"/>
                <w:sz w:val="16"/>
                <w:szCs w:val="16"/>
                <w:color w:val="auto"/>
              </w:rPr>
              <w:t>Franchise revenue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62"/>
              <w:spacing w:after="0"/>
              <w:rPr>
                <w:sz w:val="20"/>
                <w:szCs w:val="20"/>
                <w:color w:val="auto"/>
              </w:rPr>
            </w:pPr>
            <w:r>
              <w:rPr>
                <w:rFonts w:ascii="Arial" w:cs="Arial" w:eastAsia="Arial" w:hAnsi="Arial"/>
                <w:sz w:val="16"/>
                <w:szCs w:val="16"/>
                <w:color w:val="auto"/>
              </w:rPr>
              <w:t>1,951</w:t>
            </w:r>
          </w:p>
        </w:tc>
        <w:tc>
          <w:tcPr>
            <w:tcW w:w="10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81"/>
              <w:spacing w:after="0"/>
              <w:rPr>
                <w:sz w:val="20"/>
                <w:szCs w:val="20"/>
                <w:color w:val="auto"/>
              </w:rPr>
            </w:pPr>
            <w:r>
              <w:rPr>
                <w:rFonts w:ascii="Arial" w:cs="Arial" w:eastAsia="Arial" w:hAnsi="Arial"/>
                <w:sz w:val="16"/>
                <w:szCs w:val="16"/>
                <w:color w:val="auto"/>
              </w:rPr>
              <w:t>12,792</w:t>
            </w:r>
          </w:p>
        </w:tc>
        <w:tc>
          <w:tcPr>
            <w:tcW w:w="10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62"/>
              <w:spacing w:after="0"/>
              <w:rPr>
                <w:sz w:val="20"/>
                <w:szCs w:val="20"/>
                <w:color w:val="auto"/>
              </w:rPr>
            </w:pPr>
            <w:r>
              <w:rPr>
                <w:rFonts w:ascii="Arial" w:cs="Arial" w:eastAsia="Arial" w:hAnsi="Arial"/>
                <w:sz w:val="16"/>
                <w:szCs w:val="16"/>
                <w:color w:val="auto"/>
              </w:rPr>
              <w:t>11,500</w:t>
            </w:r>
          </w:p>
        </w:tc>
        <w:tc>
          <w:tcPr>
            <w:tcW w:w="12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61"/>
              <w:spacing w:after="0"/>
              <w:rPr>
                <w:sz w:val="20"/>
                <w:szCs w:val="20"/>
                <w:color w:val="auto"/>
              </w:rPr>
            </w:pPr>
            <w:r>
              <w:rPr>
                <w:rFonts w:ascii="Arial" w:cs="Arial" w:eastAsia="Arial" w:hAnsi="Arial"/>
                <w:sz w:val="16"/>
                <w:szCs w:val="16"/>
                <w:color w:val="auto"/>
              </w:rPr>
              <w:t>26,554</w:t>
            </w:r>
          </w:p>
        </w:tc>
      </w:tr>
      <w:tr>
        <w:trPr>
          <w:trHeight w:val="33"/>
        </w:trPr>
        <w:tc>
          <w:tcPr>
            <w:tcW w:w="4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63"/>
        </w:trPr>
        <w:tc>
          <w:tcPr>
            <w:tcW w:w="4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Other revenue</w:t>
            </w:r>
          </w:p>
        </w:tc>
        <w:tc>
          <w:tcPr>
            <w:tcW w:w="20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247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3,451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2,798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6,178</w:t>
            </w:r>
          </w:p>
        </w:tc>
      </w:tr>
      <w:tr>
        <w:trPr>
          <w:trHeight w:val="270"/>
        </w:trPr>
        <w:tc>
          <w:tcPr>
            <w:tcW w:w="482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Franchise and other revenues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2,198</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16,243</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14,298</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32,732</w:t>
            </w:r>
          </w:p>
        </w:tc>
      </w:tr>
      <w:tr>
        <w:trPr>
          <w:trHeight w:val="272"/>
        </w:trPr>
        <w:tc>
          <w:tcPr>
            <w:tcW w:w="482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6"/>
                <w:szCs w:val="16"/>
                <w:color w:val="auto"/>
              </w:rPr>
              <w:t>Total revenues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578,459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1,021,930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1,586,796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2,150,061</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348"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following tables include the disaggregation of Restaurant sales and Franchise revenue, by restaurant concept and major international market, for the periods indicated: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8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rPr>
              <w:t>THIRTEEN WEEKS ENDED</w:t>
            </w: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8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4"/>
          </w:tcPr>
          <w:p>
            <w:pPr>
              <w:jc w:val="right"/>
              <w:ind w:right="1041"/>
              <w:spacing w:after="0"/>
              <w:rPr>
                <w:sz w:val="20"/>
                <w:szCs w:val="20"/>
                <w:color w:val="auto"/>
              </w:rPr>
            </w:pPr>
            <w:r>
              <w:rPr>
                <w:rFonts w:ascii="Arial" w:cs="Arial" w:eastAsia="Arial" w:hAnsi="Arial"/>
                <w:sz w:val="14"/>
                <w:szCs w:val="14"/>
                <w:b w:val="1"/>
                <w:bCs w:val="1"/>
                <w:color w:val="auto"/>
              </w:rPr>
              <w:t>JUNE 28, 2020</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4"/>
          </w:tcPr>
          <w:p>
            <w:pPr>
              <w:jc w:val="right"/>
              <w:ind w:right="1041"/>
              <w:spacing w:after="0"/>
              <w:rPr>
                <w:sz w:val="20"/>
                <w:szCs w:val="20"/>
                <w:color w:val="auto"/>
              </w:rPr>
            </w:pPr>
            <w:r>
              <w:rPr>
                <w:rFonts w:ascii="Arial" w:cs="Arial" w:eastAsia="Arial" w:hAnsi="Arial"/>
                <w:sz w:val="14"/>
                <w:szCs w:val="14"/>
                <w:b w:val="1"/>
                <w:bCs w:val="1"/>
                <w:color w:val="auto"/>
              </w:rPr>
              <w:t>JUNE 30, 2019</w:t>
            </w:r>
          </w:p>
        </w:tc>
        <w:tc>
          <w:tcPr>
            <w:tcW w:w="0" w:type="dxa"/>
            <w:vAlign w:val="bottom"/>
          </w:tcPr>
          <w:p>
            <w:pPr>
              <w:spacing w:after="0"/>
              <w:rPr>
                <w:sz w:val="1"/>
                <w:szCs w:val="1"/>
                <w:color w:val="auto"/>
              </w:rPr>
            </w:pPr>
          </w:p>
        </w:tc>
      </w:tr>
      <w:tr>
        <w:trPr>
          <w:trHeight w:val="153"/>
        </w:trPr>
        <w:tc>
          <w:tcPr>
            <w:tcW w:w="4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rPr>
              <w:t>FRANCHISE</w:t>
            </w:r>
          </w:p>
        </w:tc>
        <w:tc>
          <w:tcPr>
            <w:tcW w:w="4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jc w:val="right"/>
              <w:ind w:right="261"/>
              <w:spacing w:after="0" w:line="153" w:lineRule="exact"/>
              <w:rPr>
                <w:sz w:val="20"/>
                <w:szCs w:val="20"/>
                <w:color w:val="auto"/>
              </w:rPr>
            </w:pPr>
            <w:r>
              <w:rPr>
                <w:rFonts w:ascii="Arial" w:cs="Arial" w:eastAsia="Arial" w:hAnsi="Arial"/>
                <w:sz w:val="14"/>
                <w:szCs w:val="14"/>
                <w:b w:val="1"/>
                <w:bCs w:val="1"/>
                <w:color w:val="auto"/>
              </w:rPr>
              <w:t>FRANCHISE</w:t>
            </w:r>
          </w:p>
        </w:tc>
        <w:tc>
          <w:tcPr>
            <w:tcW w:w="0" w:type="dxa"/>
            <w:vAlign w:val="bottom"/>
          </w:tcPr>
          <w:p>
            <w:pPr>
              <w:spacing w:after="0"/>
              <w:rPr>
                <w:sz w:val="1"/>
                <w:szCs w:val="1"/>
                <w:color w:val="auto"/>
              </w:rPr>
            </w:pPr>
          </w:p>
        </w:tc>
      </w:tr>
      <w:tr>
        <w:trPr>
          <w:trHeight w:val="205"/>
        </w:trPr>
        <w:tc>
          <w:tcPr>
            <w:tcW w:w="482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620" w:type="dxa"/>
            <w:vAlign w:val="bottom"/>
            <w:gridSpan w:val="3"/>
          </w:tcPr>
          <w:p>
            <w:pPr>
              <w:ind w:left="20"/>
              <w:spacing w:after="0"/>
              <w:rPr>
                <w:sz w:val="20"/>
                <w:szCs w:val="20"/>
                <w:color w:val="auto"/>
              </w:rPr>
            </w:pPr>
            <w:r>
              <w:rPr>
                <w:rFonts w:ascii="Arial" w:cs="Arial" w:eastAsia="Arial" w:hAnsi="Arial"/>
                <w:sz w:val="14"/>
                <w:szCs w:val="14"/>
                <w:b w:val="1"/>
                <w:bCs w:val="1"/>
                <w:color w:val="auto"/>
              </w:rPr>
              <w:t>RESTAURANT SALES</w:t>
            </w:r>
          </w:p>
        </w:tc>
        <w:tc>
          <w:tcPr>
            <w:tcW w:w="220" w:type="dxa"/>
            <w:vAlign w:val="bottom"/>
          </w:tcPr>
          <w:p>
            <w:pPr>
              <w:spacing w:after="0"/>
              <w:rPr>
                <w:sz w:val="17"/>
                <w:szCs w:val="17"/>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REVENUE</w:t>
            </w:r>
          </w:p>
        </w:tc>
        <w:tc>
          <w:tcPr>
            <w:tcW w:w="1640" w:type="dxa"/>
            <w:vAlign w:val="bottom"/>
            <w:gridSpan w:val="3"/>
          </w:tcPr>
          <w:p>
            <w:pPr>
              <w:ind w:left="20"/>
              <w:spacing w:after="0"/>
              <w:rPr>
                <w:sz w:val="20"/>
                <w:szCs w:val="20"/>
                <w:color w:val="auto"/>
              </w:rPr>
            </w:pPr>
            <w:r>
              <w:rPr>
                <w:rFonts w:ascii="Arial" w:cs="Arial" w:eastAsia="Arial" w:hAnsi="Arial"/>
                <w:sz w:val="14"/>
                <w:szCs w:val="14"/>
                <w:b w:val="1"/>
                <w:bCs w:val="1"/>
                <w:color w:val="auto"/>
              </w:rPr>
              <w:t>RESTAURANT SALES</w:t>
            </w:r>
          </w:p>
        </w:tc>
        <w:tc>
          <w:tcPr>
            <w:tcW w:w="220" w:type="dxa"/>
            <w:vAlign w:val="bottom"/>
          </w:tcPr>
          <w:p>
            <w:pPr>
              <w:spacing w:after="0"/>
              <w:rPr>
                <w:sz w:val="17"/>
                <w:szCs w:val="17"/>
                <w:color w:val="auto"/>
              </w:rPr>
            </w:pPr>
          </w:p>
        </w:tc>
        <w:tc>
          <w:tcPr>
            <w:tcW w:w="1300" w:type="dxa"/>
            <w:vAlign w:val="bottom"/>
          </w:tcPr>
          <w:p>
            <w:pPr>
              <w:jc w:val="right"/>
              <w:ind w:right="341"/>
              <w:spacing w:after="0"/>
              <w:rPr>
                <w:sz w:val="20"/>
                <w:szCs w:val="20"/>
                <w:color w:val="auto"/>
              </w:rPr>
            </w:pPr>
            <w:r>
              <w:rPr>
                <w:rFonts w:ascii="Arial" w:cs="Arial" w:eastAsia="Arial" w:hAnsi="Arial"/>
                <w:sz w:val="14"/>
                <w:szCs w:val="14"/>
                <w:b w:val="1"/>
                <w:bCs w:val="1"/>
                <w:color w:val="auto"/>
              </w:rPr>
              <w:t>REVENUE</w:t>
            </w:r>
          </w:p>
        </w:tc>
        <w:tc>
          <w:tcPr>
            <w:tcW w:w="0" w:type="dxa"/>
            <w:vAlign w:val="bottom"/>
          </w:tcPr>
          <w:p>
            <w:pPr>
              <w:spacing w:after="0"/>
              <w:rPr>
                <w:sz w:val="1"/>
                <w:szCs w:val="1"/>
                <w:color w:val="auto"/>
              </w:rPr>
            </w:pPr>
          </w:p>
        </w:tc>
      </w:tr>
      <w:tr>
        <w:trPr>
          <w:trHeight w:val="223"/>
        </w:trPr>
        <w:tc>
          <w:tcPr>
            <w:tcW w:w="4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U.S.</w:t>
            </w:r>
          </w:p>
        </w:tc>
        <w:tc>
          <w:tcPr>
            <w:tcW w:w="460" w:type="dxa"/>
            <w:vAlign w:val="bottom"/>
            <w:tcBorders>
              <w:top w:val="single" w:sz="8" w:color="auto"/>
              <w:bottom w:val="single" w:sz="8" w:color="CCEEFF"/>
            </w:tcBorders>
            <w:shd w:val="clear" w:color="auto" w:fill="CCEEFF"/>
          </w:tcPr>
          <w:p>
            <w:pPr>
              <w:spacing w:after="0"/>
              <w:rPr>
                <w:sz w:val="19"/>
                <w:szCs w:val="19"/>
                <w:color w:val="auto"/>
              </w:rPr>
            </w:pPr>
          </w:p>
        </w:tc>
        <w:tc>
          <w:tcPr>
            <w:tcW w:w="106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CCEEFF"/>
            </w:tcBorders>
            <w:shd w:val="clear" w:color="auto" w:fill="CCEEFF"/>
          </w:tcPr>
          <w:p>
            <w:pPr>
              <w:spacing w:after="0"/>
              <w:rPr>
                <w:sz w:val="19"/>
                <w:szCs w:val="19"/>
                <w:color w:val="auto"/>
              </w:rPr>
            </w:pPr>
          </w:p>
        </w:tc>
        <w:tc>
          <w:tcPr>
            <w:tcW w:w="132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CCEEFF"/>
            </w:tcBorders>
            <w:shd w:val="clear" w:color="auto" w:fill="CCEEFF"/>
          </w:tcPr>
          <w:p>
            <w:pPr>
              <w:spacing w:after="0"/>
              <w:rPr>
                <w:sz w:val="19"/>
                <w:szCs w:val="19"/>
                <w:color w:val="auto"/>
              </w:rPr>
            </w:pPr>
          </w:p>
        </w:tc>
        <w:tc>
          <w:tcPr>
            <w:tcW w:w="1300" w:type="dxa"/>
            <w:vAlign w:val="bottom"/>
            <w:tcBorders>
              <w:top w:val="single" w:sz="8" w:color="auto"/>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20" w:type="dxa"/>
            <w:vAlign w:val="bottom"/>
          </w:tcPr>
          <w:p>
            <w:pPr>
              <w:ind w:left="120"/>
              <w:spacing w:after="0"/>
              <w:rPr>
                <w:sz w:val="20"/>
                <w:szCs w:val="20"/>
                <w:color w:val="auto"/>
              </w:rPr>
            </w:pPr>
            <w:r>
              <w:rPr>
                <w:rFonts w:ascii="Arial" w:cs="Arial" w:eastAsia="Arial" w:hAnsi="Arial"/>
                <w:sz w:val="16"/>
                <w:szCs w:val="16"/>
                <w:color w:val="auto"/>
              </w:rPr>
              <w:t>Outback Steakhouse</w:t>
            </w:r>
          </w:p>
        </w:tc>
        <w:tc>
          <w:tcPr>
            <w:tcW w:w="460" w:type="dxa"/>
            <w:vAlign w:val="bottom"/>
          </w:tcPr>
          <w:p>
            <w:pPr>
              <w:ind w:left="2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346,553</w:t>
            </w:r>
          </w:p>
        </w:tc>
        <w:tc>
          <w:tcPr>
            <w:tcW w:w="10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81"/>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19"/>
                <w:szCs w:val="19"/>
                <w:color w:val="auto"/>
              </w:rPr>
            </w:pPr>
          </w:p>
        </w:tc>
        <w:tc>
          <w:tcPr>
            <w:tcW w:w="420" w:type="dxa"/>
            <w:vAlign w:val="bottom"/>
          </w:tcPr>
          <w:p>
            <w:pPr>
              <w:ind w:left="2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527,049</w:t>
            </w:r>
          </w:p>
        </w:tc>
        <w:tc>
          <w:tcPr>
            <w:tcW w:w="12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61"/>
              <w:spacing w:after="0"/>
              <w:rPr>
                <w:sz w:val="20"/>
                <w:szCs w:val="20"/>
                <w:color w:val="auto"/>
              </w:rPr>
            </w:pPr>
            <w:r>
              <w:rPr>
                <w:rFonts w:ascii="Arial" w:cs="Arial" w:eastAsia="Arial" w:hAnsi="Arial"/>
                <w:sz w:val="16"/>
                <w:szCs w:val="16"/>
                <w:color w:val="auto"/>
              </w:rPr>
              <w:t>9,586</w:t>
            </w:r>
          </w:p>
        </w:tc>
        <w:tc>
          <w:tcPr>
            <w:tcW w:w="0" w:type="dxa"/>
            <w:vAlign w:val="bottom"/>
          </w:tcPr>
          <w:p>
            <w:pPr>
              <w:spacing w:after="0"/>
              <w:rPr>
                <w:sz w:val="1"/>
                <w:szCs w:val="1"/>
                <w:color w:val="auto"/>
              </w:rPr>
            </w:pPr>
          </w:p>
        </w:tc>
      </w:tr>
      <w:tr>
        <w:trPr>
          <w:trHeight w:val="33"/>
        </w:trPr>
        <w:tc>
          <w:tcPr>
            <w:tcW w:w="4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Carrabba’s Italian Grill</w:t>
            </w:r>
          </w:p>
        </w:tc>
        <w:tc>
          <w:tcPr>
            <w:tcW w:w="4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93,738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150,000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626</w:t>
            </w:r>
          </w:p>
        </w:tc>
        <w:tc>
          <w:tcPr>
            <w:tcW w:w="0" w:type="dxa"/>
            <w:vAlign w:val="bottom"/>
          </w:tcPr>
          <w:p>
            <w:pPr>
              <w:spacing w:after="0"/>
              <w:rPr>
                <w:sz w:val="1"/>
                <w:szCs w:val="1"/>
                <w:color w:val="auto"/>
              </w:rPr>
            </w:pPr>
          </w:p>
        </w:tc>
      </w:tr>
      <w:tr>
        <w:trPr>
          <w:trHeight w:val="223"/>
        </w:trPr>
        <w:tc>
          <w:tcPr>
            <w:tcW w:w="4820" w:type="dxa"/>
            <w:vAlign w:val="bottom"/>
          </w:tcPr>
          <w:p>
            <w:pPr>
              <w:ind w:left="120"/>
              <w:spacing w:after="0"/>
              <w:rPr>
                <w:sz w:val="20"/>
                <w:szCs w:val="20"/>
                <w:color w:val="auto"/>
              </w:rPr>
            </w:pPr>
            <w:r>
              <w:rPr>
                <w:rFonts w:ascii="Arial" w:cs="Arial" w:eastAsia="Arial" w:hAnsi="Arial"/>
                <w:sz w:val="16"/>
                <w:szCs w:val="16"/>
                <w:color w:val="auto"/>
              </w:rPr>
              <w:t>Bonefish Grill</w:t>
            </w:r>
          </w:p>
        </w:tc>
        <w:tc>
          <w:tcPr>
            <w:tcW w:w="460" w:type="dxa"/>
            <w:vAlign w:val="bottom"/>
          </w:tcPr>
          <w:p>
            <w:pPr>
              <w:spacing w:after="0"/>
              <w:rPr>
                <w:sz w:val="19"/>
                <w:szCs w:val="19"/>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63,744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ind w:right="81"/>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148,065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ind w:right="61"/>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33"/>
        </w:trPr>
        <w:tc>
          <w:tcPr>
            <w:tcW w:w="4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4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Fleming’s Prime Steakhouse &amp; Wine Bar</w:t>
            </w:r>
          </w:p>
        </w:tc>
        <w:tc>
          <w:tcPr>
            <w:tcW w:w="4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31,156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74,397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4820" w:type="dxa"/>
            <w:vAlign w:val="bottom"/>
          </w:tcPr>
          <w:p>
            <w:pPr>
              <w:ind w:left="120"/>
              <w:spacing w:after="0"/>
              <w:rPr>
                <w:sz w:val="20"/>
                <w:szCs w:val="20"/>
                <w:color w:val="auto"/>
              </w:rPr>
            </w:pPr>
            <w:r>
              <w:rPr>
                <w:rFonts w:ascii="Arial" w:cs="Arial" w:eastAsia="Arial" w:hAnsi="Arial"/>
                <w:sz w:val="16"/>
                <w:szCs w:val="16"/>
                <w:color w:val="auto"/>
              </w:rPr>
              <w:t>Other</w:t>
            </w:r>
          </w:p>
        </w:tc>
        <w:tc>
          <w:tcPr>
            <w:tcW w:w="460" w:type="dxa"/>
            <w:vAlign w:val="bottom"/>
          </w:tcPr>
          <w:p>
            <w:pPr>
              <w:spacing w:after="0"/>
              <w:rPr>
                <w:sz w:val="23"/>
                <w:szCs w:val="23"/>
                <w:color w:val="auto"/>
              </w:rPr>
            </w:pP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1,576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3"/>
                <w:szCs w:val="23"/>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1,105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0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48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U.S. total</w:t>
            </w:r>
          </w:p>
        </w:tc>
        <w:tc>
          <w:tcPr>
            <w:tcW w:w="4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536,767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147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900,616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10,412</w:t>
            </w:r>
          </w:p>
        </w:tc>
        <w:tc>
          <w:tcPr>
            <w:tcW w:w="0" w:type="dxa"/>
            <w:vAlign w:val="bottom"/>
          </w:tcPr>
          <w:p>
            <w:pPr>
              <w:spacing w:after="0"/>
              <w:rPr>
                <w:sz w:val="1"/>
                <w:szCs w:val="1"/>
                <w:color w:val="auto"/>
              </w:rPr>
            </w:pPr>
          </w:p>
        </w:tc>
      </w:tr>
      <w:tr>
        <w:trPr>
          <w:trHeight w:val="224"/>
        </w:trPr>
        <w:tc>
          <w:tcPr>
            <w:tcW w:w="4820" w:type="dxa"/>
            <w:vAlign w:val="bottom"/>
          </w:tcPr>
          <w:p>
            <w:pPr>
              <w:ind w:left="20"/>
              <w:spacing w:after="0"/>
              <w:rPr>
                <w:sz w:val="20"/>
                <w:szCs w:val="20"/>
                <w:color w:val="auto"/>
              </w:rPr>
            </w:pPr>
            <w:r>
              <w:rPr>
                <w:rFonts w:ascii="Arial" w:cs="Arial" w:eastAsia="Arial" w:hAnsi="Arial"/>
                <w:sz w:val="16"/>
                <w:szCs w:val="16"/>
                <w:color w:val="auto"/>
              </w:rPr>
              <w:t>International</w:t>
            </w: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Outback Steakhouse Brazil</w:t>
            </w:r>
          </w:p>
        </w:tc>
        <w:tc>
          <w:tcPr>
            <w:tcW w:w="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24,003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83,985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48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Other (1)</w:t>
            </w:r>
          </w:p>
        </w:tc>
        <w:tc>
          <w:tcPr>
            <w:tcW w:w="4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15,491</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1,804</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21,086</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2,380</w:t>
            </w:r>
          </w:p>
        </w:tc>
        <w:tc>
          <w:tcPr>
            <w:tcW w:w="0" w:type="dxa"/>
            <w:vAlign w:val="bottom"/>
          </w:tcPr>
          <w:p>
            <w:pPr>
              <w:spacing w:after="0"/>
              <w:rPr>
                <w:sz w:val="1"/>
                <w:szCs w:val="1"/>
                <w:color w:val="auto"/>
              </w:rPr>
            </w:pPr>
          </w:p>
        </w:tc>
      </w:tr>
      <w:tr>
        <w:trPr>
          <w:trHeight w:val="257"/>
        </w:trPr>
        <w:tc>
          <w:tcPr>
            <w:tcW w:w="4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International total</w:t>
            </w:r>
          </w:p>
        </w:tc>
        <w:tc>
          <w:tcPr>
            <w:tcW w:w="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39,494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1,804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105,071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2,380</w:t>
            </w:r>
          </w:p>
        </w:tc>
        <w:tc>
          <w:tcPr>
            <w:tcW w:w="0" w:type="dxa"/>
            <w:vAlign w:val="bottom"/>
          </w:tcPr>
          <w:p>
            <w:pPr>
              <w:spacing w:after="0"/>
              <w:rPr>
                <w:sz w:val="1"/>
                <w:szCs w:val="1"/>
                <w:color w:val="auto"/>
              </w:rPr>
            </w:pPr>
          </w:p>
        </w:tc>
      </w:tr>
      <w:tr>
        <w:trPr>
          <w:trHeight w:val="251"/>
        </w:trPr>
        <w:tc>
          <w:tcPr>
            <w:tcW w:w="4820" w:type="dxa"/>
            <w:vAlign w:val="bottom"/>
          </w:tcPr>
          <w:p>
            <w:pPr>
              <w:ind w:left="460"/>
              <w:spacing w:after="0"/>
              <w:rPr>
                <w:sz w:val="20"/>
                <w:szCs w:val="20"/>
                <w:color w:val="auto"/>
              </w:rPr>
            </w:pPr>
            <w:r>
              <w:rPr>
                <w:rFonts w:ascii="Arial" w:cs="Arial" w:eastAsia="Arial" w:hAnsi="Arial"/>
                <w:sz w:val="16"/>
                <w:szCs w:val="16"/>
                <w:color w:val="auto"/>
              </w:rPr>
              <w:t>Total</w:t>
            </w: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576,261</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1,951</w:t>
            </w:r>
          </w:p>
        </w:tc>
        <w:tc>
          <w:tcPr>
            <w:tcW w:w="100" w:type="dxa"/>
            <w:vAlign w:val="bottom"/>
          </w:tcPr>
          <w:p>
            <w:pPr>
              <w:spacing w:after="0"/>
              <w:rPr>
                <w:sz w:val="21"/>
                <w:szCs w:val="21"/>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1,005,687</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12,792</w:t>
            </w:r>
          </w:p>
        </w:tc>
        <w:tc>
          <w:tcPr>
            <w:tcW w:w="0" w:type="dxa"/>
            <w:vAlign w:val="bottom"/>
          </w:tcPr>
          <w:p>
            <w:pPr>
              <w:spacing w:after="0"/>
              <w:rPr>
                <w:sz w:val="1"/>
                <w:szCs w:val="1"/>
                <w:color w:val="auto"/>
              </w:rPr>
            </w:pPr>
          </w:p>
        </w:tc>
      </w:tr>
      <w:tr>
        <w:trPr>
          <w:trHeight w:val="27"/>
        </w:trPr>
        <w:tc>
          <w:tcPr>
            <w:tcW w:w="4820" w:type="dxa"/>
            <w:vAlign w:val="bottom"/>
            <w:vMerge w:val="restart"/>
          </w:tcPr>
          <w:p>
            <w:pPr>
              <w:spacing w:after="0"/>
              <w:rPr>
                <w:sz w:val="20"/>
                <w:szCs w:val="20"/>
                <w:color w:val="auto"/>
              </w:rPr>
            </w:pPr>
            <w:r>
              <w:rPr>
                <w:rFonts w:ascii="Arial" w:cs="Arial" w:eastAsia="Arial" w:hAnsi="Arial"/>
                <w:sz w:val="16"/>
                <w:szCs w:val="16"/>
                <w:color w:val="auto"/>
              </w:rPr>
              <w:t>________________</w:t>
            </w: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4820" w:type="dxa"/>
            <w:vAlign w:val="bottom"/>
            <w:vMerge w:val="continue"/>
          </w:tcPr>
          <w:p>
            <w:pPr>
              <w:spacing w:after="0"/>
              <w:rPr>
                <w:sz w:val="20"/>
                <w:szCs w:val="20"/>
                <w:color w:val="auto"/>
              </w:rPr>
            </w:pPr>
          </w:p>
        </w:tc>
        <w:tc>
          <w:tcPr>
            <w:tcW w:w="4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Includes Restaurant sales for the Company’s Abbraccio concept in Brazil.</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8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TWENTY-SIX WEEKS ENDED</w:t>
            </w: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8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4"/>
          </w:tcPr>
          <w:p>
            <w:pPr>
              <w:jc w:val="right"/>
              <w:ind w:right="1041"/>
              <w:spacing w:after="0"/>
              <w:rPr>
                <w:sz w:val="20"/>
                <w:szCs w:val="20"/>
                <w:color w:val="auto"/>
              </w:rPr>
            </w:pPr>
            <w:r>
              <w:rPr>
                <w:rFonts w:ascii="Arial" w:cs="Arial" w:eastAsia="Arial" w:hAnsi="Arial"/>
                <w:sz w:val="14"/>
                <w:szCs w:val="14"/>
                <w:b w:val="1"/>
                <w:bCs w:val="1"/>
                <w:color w:val="auto"/>
              </w:rPr>
              <w:t>JUNE 28, 2020</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4"/>
          </w:tcPr>
          <w:p>
            <w:pPr>
              <w:jc w:val="right"/>
              <w:ind w:right="1041"/>
              <w:spacing w:after="0"/>
              <w:rPr>
                <w:sz w:val="20"/>
                <w:szCs w:val="20"/>
                <w:color w:val="auto"/>
              </w:rPr>
            </w:pPr>
            <w:r>
              <w:rPr>
                <w:rFonts w:ascii="Arial" w:cs="Arial" w:eastAsia="Arial" w:hAnsi="Arial"/>
                <w:sz w:val="14"/>
                <w:szCs w:val="14"/>
                <w:b w:val="1"/>
                <w:bCs w:val="1"/>
                <w:color w:val="auto"/>
              </w:rPr>
              <w:t>JUNE 30, 2019</w:t>
            </w:r>
          </w:p>
        </w:tc>
        <w:tc>
          <w:tcPr>
            <w:tcW w:w="0" w:type="dxa"/>
            <w:vAlign w:val="bottom"/>
          </w:tcPr>
          <w:p>
            <w:pPr>
              <w:spacing w:after="0"/>
              <w:rPr>
                <w:sz w:val="1"/>
                <w:szCs w:val="1"/>
                <w:color w:val="auto"/>
              </w:rPr>
            </w:pPr>
          </w:p>
        </w:tc>
      </w:tr>
      <w:tr>
        <w:trPr>
          <w:trHeight w:val="153"/>
        </w:trPr>
        <w:tc>
          <w:tcPr>
            <w:tcW w:w="4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rPr>
              <w:t>FRANCHISE</w:t>
            </w:r>
          </w:p>
        </w:tc>
        <w:tc>
          <w:tcPr>
            <w:tcW w:w="4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jc w:val="right"/>
              <w:ind w:right="261"/>
              <w:spacing w:after="0" w:line="153" w:lineRule="exact"/>
              <w:rPr>
                <w:sz w:val="20"/>
                <w:szCs w:val="20"/>
                <w:color w:val="auto"/>
              </w:rPr>
            </w:pPr>
            <w:r>
              <w:rPr>
                <w:rFonts w:ascii="Arial" w:cs="Arial" w:eastAsia="Arial" w:hAnsi="Arial"/>
                <w:sz w:val="14"/>
                <w:szCs w:val="14"/>
                <w:b w:val="1"/>
                <w:bCs w:val="1"/>
                <w:color w:val="auto"/>
              </w:rPr>
              <w:t>FRANCHISE</w:t>
            </w:r>
          </w:p>
        </w:tc>
        <w:tc>
          <w:tcPr>
            <w:tcW w:w="0" w:type="dxa"/>
            <w:vAlign w:val="bottom"/>
          </w:tcPr>
          <w:p>
            <w:pPr>
              <w:spacing w:after="0"/>
              <w:rPr>
                <w:sz w:val="1"/>
                <w:szCs w:val="1"/>
                <w:color w:val="auto"/>
              </w:rPr>
            </w:pPr>
          </w:p>
        </w:tc>
      </w:tr>
      <w:tr>
        <w:trPr>
          <w:trHeight w:val="205"/>
        </w:trPr>
        <w:tc>
          <w:tcPr>
            <w:tcW w:w="482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620" w:type="dxa"/>
            <w:vAlign w:val="bottom"/>
            <w:gridSpan w:val="3"/>
          </w:tcPr>
          <w:p>
            <w:pPr>
              <w:ind w:left="20"/>
              <w:spacing w:after="0"/>
              <w:rPr>
                <w:sz w:val="20"/>
                <w:szCs w:val="20"/>
                <w:color w:val="auto"/>
              </w:rPr>
            </w:pPr>
            <w:r>
              <w:rPr>
                <w:rFonts w:ascii="Arial" w:cs="Arial" w:eastAsia="Arial" w:hAnsi="Arial"/>
                <w:sz w:val="14"/>
                <w:szCs w:val="14"/>
                <w:b w:val="1"/>
                <w:bCs w:val="1"/>
                <w:color w:val="auto"/>
              </w:rPr>
              <w:t>RESTAURANT SALES</w:t>
            </w:r>
          </w:p>
        </w:tc>
        <w:tc>
          <w:tcPr>
            <w:tcW w:w="220" w:type="dxa"/>
            <w:vAlign w:val="bottom"/>
          </w:tcPr>
          <w:p>
            <w:pPr>
              <w:spacing w:after="0"/>
              <w:rPr>
                <w:sz w:val="17"/>
                <w:szCs w:val="17"/>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REVENUE</w:t>
            </w:r>
          </w:p>
        </w:tc>
        <w:tc>
          <w:tcPr>
            <w:tcW w:w="1640" w:type="dxa"/>
            <w:vAlign w:val="bottom"/>
            <w:gridSpan w:val="3"/>
          </w:tcPr>
          <w:p>
            <w:pPr>
              <w:ind w:left="20"/>
              <w:spacing w:after="0"/>
              <w:rPr>
                <w:sz w:val="20"/>
                <w:szCs w:val="20"/>
                <w:color w:val="auto"/>
              </w:rPr>
            </w:pPr>
            <w:r>
              <w:rPr>
                <w:rFonts w:ascii="Arial" w:cs="Arial" w:eastAsia="Arial" w:hAnsi="Arial"/>
                <w:sz w:val="14"/>
                <w:szCs w:val="14"/>
                <w:b w:val="1"/>
                <w:bCs w:val="1"/>
                <w:color w:val="auto"/>
              </w:rPr>
              <w:t>RESTAURANT SALES</w:t>
            </w:r>
          </w:p>
        </w:tc>
        <w:tc>
          <w:tcPr>
            <w:tcW w:w="220" w:type="dxa"/>
            <w:vAlign w:val="bottom"/>
          </w:tcPr>
          <w:p>
            <w:pPr>
              <w:spacing w:after="0"/>
              <w:rPr>
                <w:sz w:val="17"/>
                <w:szCs w:val="17"/>
                <w:color w:val="auto"/>
              </w:rPr>
            </w:pPr>
          </w:p>
        </w:tc>
        <w:tc>
          <w:tcPr>
            <w:tcW w:w="1300" w:type="dxa"/>
            <w:vAlign w:val="bottom"/>
          </w:tcPr>
          <w:p>
            <w:pPr>
              <w:jc w:val="right"/>
              <w:ind w:right="341"/>
              <w:spacing w:after="0"/>
              <w:rPr>
                <w:sz w:val="20"/>
                <w:szCs w:val="20"/>
                <w:color w:val="auto"/>
              </w:rPr>
            </w:pPr>
            <w:r>
              <w:rPr>
                <w:rFonts w:ascii="Arial" w:cs="Arial" w:eastAsia="Arial" w:hAnsi="Arial"/>
                <w:sz w:val="14"/>
                <w:szCs w:val="14"/>
                <w:b w:val="1"/>
                <w:bCs w:val="1"/>
                <w:color w:val="auto"/>
              </w:rPr>
              <w:t>REVENUE</w:t>
            </w:r>
          </w:p>
        </w:tc>
        <w:tc>
          <w:tcPr>
            <w:tcW w:w="0" w:type="dxa"/>
            <w:vAlign w:val="bottom"/>
          </w:tcPr>
          <w:p>
            <w:pPr>
              <w:spacing w:after="0"/>
              <w:rPr>
                <w:sz w:val="1"/>
                <w:szCs w:val="1"/>
                <w:color w:val="auto"/>
              </w:rPr>
            </w:pPr>
          </w:p>
        </w:tc>
      </w:tr>
      <w:tr>
        <w:trPr>
          <w:trHeight w:val="223"/>
        </w:trPr>
        <w:tc>
          <w:tcPr>
            <w:tcW w:w="4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U.S.</w:t>
            </w:r>
          </w:p>
        </w:tc>
        <w:tc>
          <w:tcPr>
            <w:tcW w:w="400" w:type="dxa"/>
            <w:vAlign w:val="bottom"/>
            <w:tcBorders>
              <w:top w:val="single" w:sz="8" w:color="auto"/>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CCEEFF"/>
            </w:tcBorders>
            <w:shd w:val="clear" w:color="auto" w:fill="CCEEFF"/>
          </w:tcPr>
          <w:p>
            <w:pPr>
              <w:spacing w:after="0"/>
              <w:rPr>
                <w:sz w:val="19"/>
                <w:szCs w:val="19"/>
                <w:color w:val="auto"/>
              </w:rPr>
            </w:pPr>
          </w:p>
        </w:tc>
        <w:tc>
          <w:tcPr>
            <w:tcW w:w="132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CCEEFF"/>
            </w:tcBorders>
            <w:shd w:val="clear" w:color="auto" w:fill="CCEEFF"/>
          </w:tcPr>
          <w:p>
            <w:pPr>
              <w:spacing w:after="0"/>
              <w:rPr>
                <w:sz w:val="19"/>
                <w:szCs w:val="19"/>
                <w:color w:val="auto"/>
              </w:rPr>
            </w:pPr>
          </w:p>
        </w:tc>
        <w:tc>
          <w:tcPr>
            <w:tcW w:w="1300" w:type="dxa"/>
            <w:vAlign w:val="bottom"/>
            <w:tcBorders>
              <w:top w:val="single" w:sz="8" w:color="auto"/>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Pr>
          <w:p>
            <w:pPr>
              <w:ind w:left="120"/>
              <w:spacing w:after="0"/>
              <w:rPr>
                <w:sz w:val="20"/>
                <w:szCs w:val="20"/>
                <w:color w:val="auto"/>
              </w:rPr>
            </w:pPr>
            <w:r>
              <w:rPr>
                <w:rFonts w:ascii="Arial" w:cs="Arial" w:eastAsia="Arial" w:hAnsi="Arial"/>
                <w:sz w:val="16"/>
                <w:szCs w:val="16"/>
                <w:color w:val="auto"/>
              </w:rPr>
              <w:t>Outback Steakhouse</w:t>
            </w:r>
          </w:p>
        </w:tc>
        <w:tc>
          <w:tcPr>
            <w:tcW w:w="400" w:type="dxa"/>
            <w:vAlign w:val="bottom"/>
          </w:tcPr>
          <w:p>
            <w:pPr>
              <w:ind w:left="2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60"/>
              <w:spacing w:after="0"/>
              <w:rPr>
                <w:sz w:val="20"/>
                <w:szCs w:val="20"/>
                <w:color w:val="auto"/>
              </w:rPr>
            </w:pPr>
            <w:r>
              <w:rPr>
                <w:rFonts w:ascii="Arial" w:cs="Arial" w:eastAsia="Arial" w:hAnsi="Arial"/>
                <w:sz w:val="16"/>
                <w:szCs w:val="16"/>
                <w:color w:val="auto"/>
              </w:rPr>
              <w:t>877,238</w:t>
            </w:r>
          </w:p>
        </w:tc>
        <w:tc>
          <w:tcPr>
            <w:tcW w:w="10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81"/>
              <w:spacing w:after="0"/>
              <w:rPr>
                <w:sz w:val="20"/>
                <w:szCs w:val="20"/>
                <w:color w:val="auto"/>
              </w:rPr>
            </w:pPr>
            <w:r>
              <w:rPr>
                <w:rFonts w:ascii="Arial" w:cs="Arial" w:eastAsia="Arial" w:hAnsi="Arial"/>
                <w:sz w:val="16"/>
                <w:szCs w:val="16"/>
                <w:color w:val="auto"/>
              </w:rPr>
              <w:t>6,677</w:t>
            </w:r>
          </w:p>
        </w:tc>
        <w:tc>
          <w:tcPr>
            <w:tcW w:w="100" w:type="dxa"/>
            <w:vAlign w:val="bottom"/>
          </w:tcPr>
          <w:p>
            <w:pPr>
              <w:spacing w:after="0"/>
              <w:rPr>
                <w:sz w:val="19"/>
                <w:szCs w:val="19"/>
                <w:color w:val="auto"/>
              </w:rPr>
            </w:pPr>
          </w:p>
        </w:tc>
        <w:tc>
          <w:tcPr>
            <w:tcW w:w="420" w:type="dxa"/>
            <w:vAlign w:val="bottom"/>
          </w:tcPr>
          <w:p>
            <w:pPr>
              <w:ind w:left="2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1,113,820</w:t>
            </w:r>
          </w:p>
        </w:tc>
        <w:tc>
          <w:tcPr>
            <w:tcW w:w="12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61"/>
              <w:spacing w:after="0"/>
              <w:rPr>
                <w:sz w:val="20"/>
                <w:szCs w:val="20"/>
                <w:color w:val="auto"/>
              </w:rPr>
            </w:pPr>
            <w:r>
              <w:rPr>
                <w:rFonts w:ascii="Arial" w:cs="Arial" w:eastAsia="Arial" w:hAnsi="Arial"/>
                <w:sz w:val="16"/>
                <w:szCs w:val="16"/>
                <w:color w:val="auto"/>
              </w:rPr>
              <w:t>20,187</w:t>
            </w:r>
          </w:p>
        </w:tc>
        <w:tc>
          <w:tcPr>
            <w:tcW w:w="0" w:type="dxa"/>
            <w:vAlign w:val="bottom"/>
          </w:tcPr>
          <w:p>
            <w:pPr>
              <w:spacing w:after="0"/>
              <w:rPr>
                <w:sz w:val="1"/>
                <w:szCs w:val="1"/>
                <w:color w:val="auto"/>
              </w:rPr>
            </w:pPr>
          </w:p>
        </w:tc>
      </w:tr>
      <w:tr>
        <w:trPr>
          <w:trHeight w:val="33"/>
        </w:trPr>
        <w:tc>
          <w:tcPr>
            <w:tcW w:w="4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4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Carrabba’s Italian Grill</w:t>
            </w:r>
          </w:p>
        </w:tc>
        <w:tc>
          <w:tcPr>
            <w:tcW w:w="4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240,613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468</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323,475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797</w:t>
            </w:r>
          </w:p>
        </w:tc>
        <w:tc>
          <w:tcPr>
            <w:tcW w:w="0" w:type="dxa"/>
            <w:vAlign w:val="bottom"/>
          </w:tcPr>
          <w:p>
            <w:pPr>
              <w:spacing w:after="0"/>
              <w:rPr>
                <w:sz w:val="1"/>
                <w:szCs w:val="1"/>
                <w:color w:val="auto"/>
              </w:rPr>
            </w:pPr>
          </w:p>
        </w:tc>
      </w:tr>
      <w:tr>
        <w:trPr>
          <w:trHeight w:val="223"/>
        </w:trPr>
        <w:tc>
          <w:tcPr>
            <w:tcW w:w="4820" w:type="dxa"/>
            <w:vAlign w:val="bottom"/>
          </w:tcPr>
          <w:p>
            <w:pPr>
              <w:ind w:left="120"/>
              <w:spacing w:after="0"/>
              <w:rPr>
                <w:sz w:val="20"/>
                <w:szCs w:val="20"/>
                <w:color w:val="auto"/>
              </w:rPr>
            </w:pPr>
            <w:r>
              <w:rPr>
                <w:rFonts w:ascii="Arial" w:cs="Arial" w:eastAsia="Arial" w:hAnsi="Arial"/>
                <w:sz w:val="16"/>
                <w:szCs w:val="16"/>
                <w:color w:val="auto"/>
              </w:rPr>
              <w:t>Bonefish Grill</w:t>
            </w:r>
          </w:p>
        </w:tc>
        <w:tc>
          <w:tcPr>
            <w:tcW w:w="400" w:type="dxa"/>
            <w:vAlign w:val="bottom"/>
          </w:tcPr>
          <w:p>
            <w:pPr>
              <w:spacing w:after="0"/>
              <w:rPr>
                <w:sz w:val="19"/>
                <w:szCs w:val="19"/>
                <w:color w:val="auto"/>
              </w:rPr>
            </w:pPr>
          </w:p>
        </w:tc>
        <w:tc>
          <w:tcPr>
            <w:tcW w:w="1120" w:type="dxa"/>
            <w:vAlign w:val="bottom"/>
          </w:tcPr>
          <w:p>
            <w:pPr>
              <w:jc w:val="right"/>
              <w:ind w:right="60"/>
              <w:spacing w:after="0"/>
              <w:rPr>
                <w:sz w:val="20"/>
                <w:szCs w:val="20"/>
                <w:color w:val="auto"/>
              </w:rPr>
            </w:pPr>
            <w:r>
              <w:rPr>
                <w:rFonts w:ascii="Arial" w:cs="Arial" w:eastAsia="Arial" w:hAnsi="Arial"/>
                <w:sz w:val="16"/>
                <w:szCs w:val="16"/>
                <w:color w:val="auto"/>
              </w:rPr>
              <w:t>198,816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ind w:right="81"/>
              <w:spacing w:after="0"/>
              <w:rPr>
                <w:sz w:val="20"/>
                <w:szCs w:val="20"/>
                <w:color w:val="auto"/>
              </w:rPr>
            </w:pPr>
            <w:r>
              <w:rPr>
                <w:rFonts w:ascii="Arial" w:cs="Arial" w:eastAsia="Arial" w:hAnsi="Arial"/>
                <w:sz w:val="16"/>
                <w:szCs w:val="16"/>
                <w:color w:val="auto"/>
              </w:rPr>
              <w:t>140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304,499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ind w:right="61"/>
              <w:spacing w:after="0"/>
              <w:rPr>
                <w:sz w:val="20"/>
                <w:szCs w:val="20"/>
                <w:color w:val="auto"/>
              </w:rPr>
            </w:pPr>
            <w:r>
              <w:rPr>
                <w:rFonts w:ascii="Arial" w:cs="Arial" w:eastAsia="Arial" w:hAnsi="Arial"/>
                <w:sz w:val="16"/>
                <w:szCs w:val="16"/>
                <w:color w:val="auto"/>
              </w:rPr>
              <w:t>410</w:t>
            </w:r>
          </w:p>
        </w:tc>
        <w:tc>
          <w:tcPr>
            <w:tcW w:w="0" w:type="dxa"/>
            <w:vAlign w:val="bottom"/>
          </w:tcPr>
          <w:p>
            <w:pPr>
              <w:spacing w:after="0"/>
              <w:rPr>
                <w:sz w:val="1"/>
                <w:szCs w:val="1"/>
                <w:color w:val="auto"/>
              </w:rPr>
            </w:pPr>
          </w:p>
        </w:tc>
      </w:tr>
      <w:tr>
        <w:trPr>
          <w:trHeight w:val="33"/>
        </w:trPr>
        <w:tc>
          <w:tcPr>
            <w:tcW w:w="4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4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Fleming’s Prime Steakhouse &amp; Wine Bar</w:t>
            </w:r>
          </w:p>
        </w:tc>
        <w:tc>
          <w:tcPr>
            <w:tcW w:w="4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102,116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157,423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4820" w:type="dxa"/>
            <w:vAlign w:val="bottom"/>
          </w:tcPr>
          <w:p>
            <w:pPr>
              <w:ind w:left="120"/>
              <w:spacing w:after="0"/>
              <w:rPr>
                <w:sz w:val="20"/>
                <w:szCs w:val="20"/>
                <w:color w:val="auto"/>
              </w:rPr>
            </w:pPr>
            <w:r>
              <w:rPr>
                <w:rFonts w:ascii="Arial" w:cs="Arial" w:eastAsia="Arial" w:hAnsi="Arial"/>
                <w:sz w:val="16"/>
                <w:szCs w:val="16"/>
                <w:color w:val="auto"/>
              </w:rPr>
              <w:t>Other</w:t>
            </w:r>
          </w:p>
        </w:tc>
        <w:tc>
          <w:tcPr>
            <w:tcW w:w="400" w:type="dxa"/>
            <w:vAlign w:val="bottom"/>
          </w:tcPr>
          <w:p>
            <w:pPr>
              <w:spacing w:after="0"/>
              <w:rPr>
                <w:sz w:val="23"/>
                <w:szCs w:val="23"/>
                <w:color w:val="auto"/>
              </w:rPr>
            </w:pPr>
          </w:p>
        </w:tc>
        <w:tc>
          <w:tcPr>
            <w:tcW w:w="1120" w:type="dxa"/>
            <w:vAlign w:val="bottom"/>
          </w:tcPr>
          <w:p>
            <w:pPr>
              <w:jc w:val="right"/>
              <w:ind w:right="60"/>
              <w:spacing w:after="0"/>
              <w:rPr>
                <w:sz w:val="20"/>
                <w:szCs w:val="20"/>
                <w:color w:val="auto"/>
              </w:rPr>
            </w:pPr>
            <w:r>
              <w:rPr>
                <w:rFonts w:ascii="Arial" w:cs="Arial" w:eastAsia="Arial" w:hAnsi="Arial"/>
                <w:sz w:val="16"/>
                <w:szCs w:val="16"/>
                <w:color w:val="auto"/>
              </w:rPr>
              <w:t>2,873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3"/>
                <w:szCs w:val="23"/>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2,212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0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48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U.S. total</w:t>
            </w:r>
          </w:p>
        </w:tc>
        <w:tc>
          <w:tcPr>
            <w:tcW w:w="4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1,421,656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7,285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1,901,429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21,394</w:t>
            </w:r>
          </w:p>
        </w:tc>
        <w:tc>
          <w:tcPr>
            <w:tcW w:w="0" w:type="dxa"/>
            <w:vAlign w:val="bottom"/>
          </w:tcPr>
          <w:p>
            <w:pPr>
              <w:spacing w:after="0"/>
              <w:rPr>
                <w:sz w:val="1"/>
                <w:szCs w:val="1"/>
                <w:color w:val="auto"/>
              </w:rPr>
            </w:pPr>
          </w:p>
        </w:tc>
      </w:tr>
      <w:tr>
        <w:trPr>
          <w:trHeight w:val="223"/>
        </w:trPr>
        <w:tc>
          <w:tcPr>
            <w:tcW w:w="4820" w:type="dxa"/>
            <w:vAlign w:val="bottom"/>
          </w:tcPr>
          <w:p>
            <w:pPr>
              <w:ind w:left="20"/>
              <w:spacing w:after="0"/>
              <w:rPr>
                <w:sz w:val="20"/>
                <w:szCs w:val="20"/>
                <w:color w:val="auto"/>
              </w:rPr>
            </w:pPr>
            <w:r>
              <w:rPr>
                <w:rFonts w:ascii="Arial" w:cs="Arial" w:eastAsia="Arial" w:hAnsi="Arial"/>
                <w:sz w:val="16"/>
                <w:szCs w:val="16"/>
                <w:color w:val="auto"/>
              </w:rPr>
              <w:t>International</w:t>
            </w: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4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Outback Steakhouse Brazil</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115,593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173,550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48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Other (1)</w:t>
            </w:r>
          </w:p>
        </w:tc>
        <w:tc>
          <w:tcPr>
            <w:tcW w:w="4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35,249</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4,215</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42,350</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5,160</w:t>
            </w:r>
          </w:p>
        </w:tc>
        <w:tc>
          <w:tcPr>
            <w:tcW w:w="0" w:type="dxa"/>
            <w:vAlign w:val="bottom"/>
          </w:tcPr>
          <w:p>
            <w:pPr>
              <w:spacing w:after="0"/>
              <w:rPr>
                <w:sz w:val="1"/>
                <w:szCs w:val="1"/>
                <w:color w:val="auto"/>
              </w:rPr>
            </w:pPr>
          </w:p>
        </w:tc>
      </w:tr>
      <w:tr>
        <w:trPr>
          <w:trHeight w:val="257"/>
        </w:trPr>
        <w:tc>
          <w:tcPr>
            <w:tcW w:w="4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International total</w:t>
            </w: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150,842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4,215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215,900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5,160</w:t>
            </w:r>
          </w:p>
        </w:tc>
        <w:tc>
          <w:tcPr>
            <w:tcW w:w="0" w:type="dxa"/>
            <w:vAlign w:val="bottom"/>
          </w:tcPr>
          <w:p>
            <w:pPr>
              <w:spacing w:after="0"/>
              <w:rPr>
                <w:sz w:val="1"/>
                <w:szCs w:val="1"/>
                <w:color w:val="auto"/>
              </w:rPr>
            </w:pPr>
          </w:p>
        </w:tc>
      </w:tr>
      <w:tr>
        <w:trPr>
          <w:trHeight w:val="250"/>
        </w:trPr>
        <w:tc>
          <w:tcPr>
            <w:tcW w:w="4820" w:type="dxa"/>
            <w:vAlign w:val="bottom"/>
          </w:tcPr>
          <w:p>
            <w:pPr>
              <w:ind w:left="460"/>
              <w:spacing w:after="0"/>
              <w:rPr>
                <w:sz w:val="20"/>
                <w:szCs w:val="20"/>
                <w:color w:val="auto"/>
              </w:rPr>
            </w:pPr>
            <w:r>
              <w:rPr>
                <w:rFonts w:ascii="Arial" w:cs="Arial" w:eastAsia="Arial" w:hAnsi="Arial"/>
                <w:sz w:val="16"/>
                <w:szCs w:val="16"/>
                <w:color w:val="auto"/>
              </w:rPr>
              <w:t>Total</w:t>
            </w: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1,572,498</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11,500</w:t>
            </w:r>
          </w:p>
        </w:tc>
        <w:tc>
          <w:tcPr>
            <w:tcW w:w="100" w:type="dxa"/>
            <w:vAlign w:val="bottom"/>
          </w:tcPr>
          <w:p>
            <w:pPr>
              <w:spacing w:after="0"/>
              <w:rPr>
                <w:sz w:val="21"/>
                <w:szCs w:val="21"/>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2,117,329</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26,554</w:t>
            </w:r>
          </w:p>
        </w:tc>
        <w:tc>
          <w:tcPr>
            <w:tcW w:w="0" w:type="dxa"/>
            <w:vAlign w:val="bottom"/>
          </w:tcPr>
          <w:p>
            <w:pPr>
              <w:spacing w:after="0"/>
              <w:rPr>
                <w:sz w:val="1"/>
                <w:szCs w:val="1"/>
                <w:color w:val="auto"/>
              </w:rPr>
            </w:pPr>
          </w:p>
        </w:tc>
      </w:tr>
      <w:tr>
        <w:trPr>
          <w:trHeight w:val="27"/>
        </w:trPr>
        <w:tc>
          <w:tcPr>
            <w:tcW w:w="4820" w:type="dxa"/>
            <w:vAlign w:val="bottom"/>
            <w:vMerge w:val="restart"/>
          </w:tcPr>
          <w:p>
            <w:pPr>
              <w:spacing w:after="0"/>
              <w:rPr>
                <w:sz w:val="20"/>
                <w:szCs w:val="20"/>
                <w:color w:val="auto"/>
              </w:rPr>
            </w:pPr>
            <w:r>
              <w:rPr>
                <w:rFonts w:ascii="Arial" w:cs="Arial" w:eastAsia="Arial" w:hAnsi="Arial"/>
                <w:sz w:val="16"/>
                <w:szCs w:val="16"/>
                <w:color w:val="auto"/>
              </w:rPr>
              <w:t>________________</w:t>
            </w: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1"/>
        </w:trPr>
        <w:tc>
          <w:tcPr>
            <w:tcW w:w="482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Includes Restaurant sales for the Company’s Abbraccio concept in Brazil.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BLOOMIN’ BRANDS, INC.</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(UNAUDITED) - Continued</w:t>
      </w:r>
    </w:p>
    <w:p>
      <w:pPr>
        <w:spacing w:after="0" w:line="348"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following table includes a detail of assets and liabilities from contracts with customers included on the Company’s Consolidated Balance Sheets as of the periods indicated: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718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20" w:type="dxa"/>
            <w:vAlign w:val="bottom"/>
          </w:tcPr>
          <w:p>
            <w:pPr>
              <w:spacing w:after="0"/>
              <w:rPr>
                <w:sz w:val="17"/>
                <w:szCs w:val="17"/>
                <w:color w:val="auto"/>
              </w:rPr>
            </w:pPr>
          </w:p>
        </w:tc>
        <w:tc>
          <w:tcPr>
            <w:tcW w:w="174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28, 2020</w:t>
            </w:r>
          </w:p>
        </w:tc>
        <w:tc>
          <w:tcPr>
            <w:tcW w:w="200" w:type="dxa"/>
            <w:vAlign w:val="bottom"/>
          </w:tcPr>
          <w:p>
            <w:pPr>
              <w:spacing w:after="0"/>
              <w:rPr>
                <w:sz w:val="17"/>
                <w:szCs w:val="17"/>
                <w:color w:val="auto"/>
              </w:rPr>
            </w:pPr>
          </w:p>
        </w:tc>
        <w:tc>
          <w:tcPr>
            <w:tcW w:w="1760" w:type="dxa"/>
            <w:vAlign w:val="bottom"/>
          </w:tcPr>
          <w:p>
            <w:pPr>
              <w:jc w:val="right"/>
              <w:ind w:right="200"/>
              <w:spacing w:after="0"/>
              <w:rPr>
                <w:sz w:val="20"/>
                <w:szCs w:val="20"/>
                <w:color w:val="auto"/>
              </w:rPr>
            </w:pPr>
            <w:r>
              <w:rPr>
                <w:rFonts w:ascii="Arial" w:cs="Arial" w:eastAsia="Arial" w:hAnsi="Arial"/>
                <w:sz w:val="14"/>
                <w:szCs w:val="14"/>
                <w:b w:val="1"/>
                <w:bCs w:val="1"/>
                <w:color w:val="auto"/>
              </w:rPr>
              <w:t>DECEMBER 29, 2019</w:t>
            </w:r>
          </w:p>
        </w:tc>
      </w:tr>
      <w:tr>
        <w:trPr>
          <w:trHeight w:val="223"/>
        </w:trPr>
        <w:tc>
          <w:tcPr>
            <w:tcW w:w="20" w:type="dxa"/>
            <w:vAlign w:val="bottom"/>
          </w:tcPr>
          <w:p>
            <w:pPr>
              <w:spacing w:after="0"/>
              <w:rPr>
                <w:sz w:val="19"/>
                <w:szCs w:val="19"/>
                <w:color w:val="auto"/>
              </w:rPr>
            </w:pPr>
          </w:p>
        </w:tc>
        <w:tc>
          <w:tcPr>
            <w:tcW w:w="7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current assets, net</w:t>
            </w:r>
          </w:p>
        </w:tc>
        <w:tc>
          <w:tcPr>
            <w:tcW w:w="320" w:type="dxa"/>
            <w:vAlign w:val="bottom"/>
            <w:tcBorders>
              <w:top w:val="single" w:sz="8" w:color="auto"/>
              <w:bottom w:val="single" w:sz="8" w:color="CCEEFF"/>
            </w:tcBorders>
            <w:shd w:val="clear" w:color="auto" w:fill="CCEEFF"/>
          </w:tcPr>
          <w:p>
            <w:pPr>
              <w:spacing w:after="0"/>
              <w:rPr>
                <w:sz w:val="19"/>
                <w:szCs w:val="19"/>
                <w:color w:val="auto"/>
              </w:rPr>
            </w:pPr>
          </w:p>
        </w:tc>
        <w:tc>
          <w:tcPr>
            <w:tcW w:w="164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CCEEFF"/>
            </w:tcBorders>
            <w:shd w:val="clear" w:color="auto" w:fill="CCEEFF"/>
          </w:tcPr>
          <w:p>
            <w:pPr>
              <w:spacing w:after="0"/>
              <w:rPr>
                <w:sz w:val="19"/>
                <w:szCs w:val="19"/>
                <w:color w:val="auto"/>
              </w:rPr>
            </w:pPr>
          </w:p>
        </w:tc>
        <w:tc>
          <w:tcPr>
            <w:tcW w:w="1760" w:type="dxa"/>
            <w:vAlign w:val="bottom"/>
            <w:tcBorders>
              <w:top w:val="single" w:sz="8" w:color="auto"/>
              <w:bottom w:val="single" w:sz="8" w:color="CCEEFF"/>
            </w:tcBorders>
            <w:shd w:val="clear" w:color="auto" w:fill="CCEEFF"/>
          </w:tcPr>
          <w:p>
            <w:pPr>
              <w:spacing w:after="0"/>
              <w:rPr>
                <w:sz w:val="19"/>
                <w:szCs w:val="19"/>
                <w:color w:val="auto"/>
              </w:rPr>
            </w:pPr>
          </w:p>
        </w:tc>
      </w:tr>
      <w:tr>
        <w:trPr>
          <w:trHeight w:val="224"/>
        </w:trPr>
        <w:tc>
          <w:tcPr>
            <w:tcW w:w="20" w:type="dxa"/>
            <w:vAlign w:val="bottom"/>
          </w:tcPr>
          <w:p>
            <w:pPr>
              <w:spacing w:after="0"/>
              <w:rPr>
                <w:sz w:val="19"/>
                <w:szCs w:val="19"/>
                <w:color w:val="auto"/>
              </w:rPr>
            </w:pPr>
          </w:p>
        </w:tc>
        <w:tc>
          <w:tcPr>
            <w:tcW w:w="7180" w:type="dxa"/>
            <w:vAlign w:val="bottom"/>
          </w:tcPr>
          <w:p>
            <w:pPr>
              <w:ind w:left="120"/>
              <w:spacing w:after="0"/>
              <w:rPr>
                <w:sz w:val="20"/>
                <w:szCs w:val="20"/>
                <w:color w:val="auto"/>
              </w:rPr>
            </w:pPr>
            <w:r>
              <w:rPr>
                <w:rFonts w:ascii="Arial" w:cs="Arial" w:eastAsia="Arial" w:hAnsi="Arial"/>
                <w:sz w:val="16"/>
                <w:szCs w:val="16"/>
                <w:color w:val="auto"/>
              </w:rPr>
              <w:t>Deferred gift card sales commissions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ind w:right="60"/>
              <w:spacing w:after="0"/>
              <w:rPr>
                <w:sz w:val="20"/>
                <w:szCs w:val="20"/>
                <w:color w:val="auto"/>
              </w:rPr>
            </w:pPr>
            <w:r>
              <w:rPr>
                <w:rFonts w:ascii="Arial" w:cs="Arial" w:eastAsia="Arial" w:hAnsi="Arial"/>
                <w:sz w:val="16"/>
                <w:szCs w:val="16"/>
                <w:color w:val="auto"/>
              </w:rPr>
              <w:t>13,624</w:t>
            </w:r>
          </w:p>
        </w:tc>
        <w:tc>
          <w:tcPr>
            <w:tcW w:w="10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760" w:type="dxa"/>
            <w:vAlign w:val="bottom"/>
          </w:tcPr>
          <w:p>
            <w:pPr>
              <w:jc w:val="right"/>
              <w:ind w:right="60"/>
              <w:spacing w:after="0"/>
              <w:rPr>
                <w:sz w:val="20"/>
                <w:szCs w:val="20"/>
                <w:color w:val="auto"/>
              </w:rPr>
            </w:pPr>
            <w:r>
              <w:rPr>
                <w:rFonts w:ascii="Arial" w:cs="Arial" w:eastAsia="Arial" w:hAnsi="Arial"/>
                <w:sz w:val="16"/>
                <w:szCs w:val="16"/>
                <w:color w:val="auto"/>
              </w:rPr>
              <w:t>18,554</w:t>
            </w:r>
          </w:p>
        </w:tc>
      </w:tr>
      <w:tr>
        <w:trPr>
          <w:trHeight w:val="33"/>
        </w:trPr>
        <w:tc>
          <w:tcPr>
            <w:tcW w:w="20" w:type="dxa"/>
            <w:vAlign w:val="bottom"/>
          </w:tcPr>
          <w:p>
            <w:pPr>
              <w:spacing w:after="0"/>
              <w:rPr>
                <w:sz w:val="2"/>
                <w:szCs w:val="2"/>
                <w:color w:val="auto"/>
              </w:rPr>
            </w:pPr>
          </w:p>
        </w:tc>
        <w:tc>
          <w:tcPr>
            <w:tcW w:w="7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71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760" w:type="dxa"/>
            <w:vAlign w:val="bottom"/>
            <w:shd w:val="clear" w:color="auto" w:fill="CCEEFF"/>
          </w:tcPr>
          <w:p>
            <w:pPr>
              <w:spacing w:after="0"/>
              <w:rPr>
                <w:sz w:val="22"/>
                <w:szCs w:val="22"/>
                <w:color w:val="auto"/>
              </w:rPr>
            </w:pPr>
          </w:p>
        </w:tc>
      </w:tr>
      <w:tr>
        <w:trPr>
          <w:trHeight w:val="224"/>
        </w:trPr>
        <w:tc>
          <w:tcPr>
            <w:tcW w:w="20" w:type="dxa"/>
            <w:vAlign w:val="bottom"/>
          </w:tcPr>
          <w:p>
            <w:pPr>
              <w:spacing w:after="0"/>
              <w:rPr>
                <w:sz w:val="19"/>
                <w:szCs w:val="19"/>
                <w:color w:val="auto"/>
              </w:rPr>
            </w:pPr>
          </w:p>
        </w:tc>
        <w:tc>
          <w:tcPr>
            <w:tcW w:w="7180" w:type="dxa"/>
            <w:vAlign w:val="bottom"/>
          </w:tcPr>
          <w:p>
            <w:pPr>
              <w:ind w:left="20"/>
              <w:spacing w:after="0"/>
              <w:rPr>
                <w:sz w:val="20"/>
                <w:szCs w:val="20"/>
                <w:color w:val="auto"/>
              </w:rPr>
            </w:pPr>
            <w:r>
              <w:rPr>
                <w:rFonts w:ascii="Arial" w:cs="Arial" w:eastAsia="Arial" w:hAnsi="Arial"/>
                <w:sz w:val="16"/>
                <w:szCs w:val="16"/>
                <w:color w:val="auto"/>
              </w:rPr>
              <w:t>Unearned revenue</w:t>
            </w:r>
          </w:p>
        </w:tc>
        <w:tc>
          <w:tcPr>
            <w:tcW w:w="3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33"/>
        </w:trPr>
        <w:tc>
          <w:tcPr>
            <w:tcW w:w="20" w:type="dxa"/>
            <w:vAlign w:val="bottom"/>
          </w:tcPr>
          <w:p>
            <w:pPr>
              <w:spacing w:after="0"/>
              <w:rPr>
                <w:sz w:val="2"/>
                <w:szCs w:val="2"/>
                <w:color w:val="auto"/>
              </w:rPr>
            </w:pPr>
          </w:p>
        </w:tc>
        <w:tc>
          <w:tcPr>
            <w:tcW w:w="7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7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Deferred gift card revenue</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279,973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358,757</w:t>
            </w:r>
          </w:p>
        </w:tc>
      </w:tr>
      <w:tr>
        <w:trPr>
          <w:trHeight w:val="223"/>
        </w:trPr>
        <w:tc>
          <w:tcPr>
            <w:tcW w:w="20" w:type="dxa"/>
            <w:vAlign w:val="bottom"/>
          </w:tcPr>
          <w:p>
            <w:pPr>
              <w:spacing w:after="0"/>
              <w:rPr>
                <w:sz w:val="19"/>
                <w:szCs w:val="19"/>
                <w:color w:val="auto"/>
              </w:rPr>
            </w:pPr>
          </w:p>
        </w:tc>
        <w:tc>
          <w:tcPr>
            <w:tcW w:w="7180" w:type="dxa"/>
            <w:vAlign w:val="bottom"/>
          </w:tcPr>
          <w:p>
            <w:pPr>
              <w:ind w:left="120"/>
              <w:spacing w:after="0"/>
              <w:rPr>
                <w:sz w:val="20"/>
                <w:szCs w:val="20"/>
                <w:color w:val="auto"/>
              </w:rPr>
            </w:pPr>
            <w:r>
              <w:rPr>
                <w:rFonts w:ascii="Arial" w:cs="Arial" w:eastAsia="Arial" w:hAnsi="Arial"/>
                <w:sz w:val="16"/>
                <w:szCs w:val="16"/>
                <w:color w:val="auto"/>
              </w:rPr>
              <w:t>Deferred loyalty revenue (1)</w:t>
            </w:r>
          </w:p>
        </w:tc>
        <w:tc>
          <w:tcPr>
            <w:tcW w:w="320" w:type="dxa"/>
            <w:vAlign w:val="bottom"/>
          </w:tcPr>
          <w:p>
            <w:pPr>
              <w:spacing w:after="0"/>
              <w:rPr>
                <w:sz w:val="19"/>
                <w:szCs w:val="19"/>
                <w:color w:val="auto"/>
              </w:rPr>
            </w:pPr>
          </w:p>
        </w:tc>
        <w:tc>
          <w:tcPr>
            <w:tcW w:w="1640" w:type="dxa"/>
            <w:vAlign w:val="bottom"/>
          </w:tcPr>
          <w:p>
            <w:pPr>
              <w:jc w:val="right"/>
              <w:ind w:right="60"/>
              <w:spacing w:after="0"/>
              <w:rPr>
                <w:sz w:val="20"/>
                <w:szCs w:val="20"/>
                <w:color w:val="auto"/>
              </w:rPr>
            </w:pPr>
            <w:r>
              <w:rPr>
                <w:rFonts w:ascii="Arial" w:cs="Arial" w:eastAsia="Arial" w:hAnsi="Arial"/>
                <w:sz w:val="16"/>
                <w:szCs w:val="16"/>
                <w:color w:val="auto"/>
              </w:rPr>
              <w:t>13,177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ind w:right="60"/>
              <w:spacing w:after="0"/>
              <w:rPr>
                <w:sz w:val="20"/>
                <w:szCs w:val="20"/>
                <w:color w:val="auto"/>
              </w:rPr>
            </w:pPr>
            <w:r>
              <w:rPr>
                <w:rFonts w:ascii="Arial" w:cs="Arial" w:eastAsia="Arial" w:hAnsi="Arial"/>
                <w:sz w:val="16"/>
                <w:szCs w:val="16"/>
                <w:color w:val="auto"/>
              </w:rPr>
              <w:t>10,034</w:t>
            </w:r>
          </w:p>
        </w:tc>
      </w:tr>
      <w:tr>
        <w:trPr>
          <w:trHeight w:val="33"/>
        </w:trPr>
        <w:tc>
          <w:tcPr>
            <w:tcW w:w="20" w:type="dxa"/>
            <w:vAlign w:val="bottom"/>
          </w:tcPr>
          <w:p>
            <w:pPr>
              <w:spacing w:after="0"/>
              <w:rPr>
                <w:sz w:val="2"/>
                <w:szCs w:val="2"/>
                <w:color w:val="auto"/>
              </w:rPr>
            </w:pPr>
          </w:p>
        </w:tc>
        <w:tc>
          <w:tcPr>
            <w:tcW w:w="7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Deferred franchise fees - current</w:t>
            </w:r>
          </w:p>
        </w:tc>
        <w:tc>
          <w:tcPr>
            <w:tcW w:w="32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477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491</w:t>
            </w:r>
          </w:p>
        </w:tc>
      </w:tr>
      <w:tr>
        <w:trPr>
          <w:trHeight w:val="254"/>
        </w:trPr>
        <w:tc>
          <w:tcPr>
            <w:tcW w:w="20" w:type="dxa"/>
            <w:vAlign w:val="bottom"/>
          </w:tcPr>
          <w:p>
            <w:pPr>
              <w:spacing w:after="0"/>
              <w:rPr>
                <w:sz w:val="22"/>
                <w:szCs w:val="22"/>
                <w:color w:val="auto"/>
              </w:rPr>
            </w:pPr>
          </w:p>
        </w:tc>
        <w:tc>
          <w:tcPr>
            <w:tcW w:w="7180" w:type="dxa"/>
            <w:vAlign w:val="bottom"/>
          </w:tcPr>
          <w:p>
            <w:pPr>
              <w:ind w:left="440"/>
              <w:spacing w:after="0"/>
              <w:rPr>
                <w:sz w:val="20"/>
                <w:szCs w:val="20"/>
                <w:color w:val="auto"/>
              </w:rPr>
            </w:pPr>
            <w:r>
              <w:rPr>
                <w:rFonts w:ascii="Arial" w:cs="Arial" w:eastAsia="Arial" w:hAnsi="Arial"/>
                <w:sz w:val="16"/>
                <w:szCs w:val="16"/>
                <w:color w:val="auto"/>
              </w:rPr>
              <w:t>Total Unearned revenue</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293,627</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369,282</w:t>
            </w:r>
          </w:p>
        </w:tc>
      </w:tr>
      <w:tr>
        <w:trPr>
          <w:trHeight w:val="20"/>
        </w:trPr>
        <w:tc>
          <w:tcPr>
            <w:tcW w:w="20" w:type="dxa"/>
            <w:vAlign w:val="bottom"/>
          </w:tcPr>
          <w:p>
            <w:pPr>
              <w:spacing w:after="0" w:line="20" w:lineRule="exact"/>
              <w:rPr>
                <w:sz w:val="1"/>
                <w:szCs w:val="1"/>
                <w:color w:val="auto"/>
              </w:rPr>
            </w:pPr>
          </w:p>
        </w:tc>
        <w:tc>
          <w:tcPr>
            <w:tcW w:w="71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7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24"/>
        </w:trPr>
        <w:tc>
          <w:tcPr>
            <w:tcW w:w="20" w:type="dxa"/>
            <w:vAlign w:val="bottom"/>
          </w:tcPr>
          <w:p>
            <w:pPr>
              <w:spacing w:after="0"/>
              <w:rPr>
                <w:sz w:val="19"/>
                <w:szCs w:val="19"/>
                <w:color w:val="auto"/>
              </w:rPr>
            </w:pPr>
          </w:p>
        </w:tc>
        <w:tc>
          <w:tcPr>
            <w:tcW w:w="7180" w:type="dxa"/>
            <w:vAlign w:val="bottom"/>
          </w:tcPr>
          <w:p>
            <w:pPr>
              <w:ind w:left="20"/>
              <w:spacing w:after="0"/>
              <w:rPr>
                <w:sz w:val="20"/>
                <w:szCs w:val="20"/>
                <w:color w:val="auto"/>
              </w:rPr>
            </w:pPr>
            <w:r>
              <w:rPr>
                <w:rFonts w:ascii="Arial" w:cs="Arial" w:eastAsia="Arial" w:hAnsi="Arial"/>
                <w:sz w:val="16"/>
                <w:szCs w:val="16"/>
                <w:color w:val="auto"/>
              </w:rPr>
              <w:t>Other long-term liabilities, net</w:t>
            </w:r>
          </w:p>
        </w:tc>
        <w:tc>
          <w:tcPr>
            <w:tcW w:w="3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33"/>
        </w:trPr>
        <w:tc>
          <w:tcPr>
            <w:tcW w:w="20" w:type="dxa"/>
            <w:vAlign w:val="bottom"/>
          </w:tcPr>
          <w:p>
            <w:pPr>
              <w:spacing w:after="0"/>
              <w:rPr>
                <w:sz w:val="2"/>
                <w:szCs w:val="2"/>
                <w:color w:val="auto"/>
              </w:rPr>
            </w:pPr>
          </w:p>
        </w:tc>
        <w:tc>
          <w:tcPr>
            <w:tcW w:w="7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7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Deferred franchise fees - non-current</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4,278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4,599</w:t>
            </w:r>
          </w:p>
        </w:tc>
      </w:tr>
      <w:tr>
        <w:trPr>
          <w:trHeight w:val="247"/>
        </w:trPr>
        <w:tc>
          <w:tcPr>
            <w:tcW w:w="7200" w:type="dxa"/>
            <w:vAlign w:val="bottom"/>
            <w:gridSpan w:val="2"/>
          </w:tcPr>
          <w:p>
            <w:pPr>
              <w:jc w:val="right"/>
              <w:ind w:right="5820"/>
              <w:spacing w:after="0"/>
              <w:rPr>
                <w:sz w:val="20"/>
                <w:szCs w:val="20"/>
                <w:color w:val="auto"/>
              </w:rPr>
            </w:pPr>
            <w:r>
              <w:rPr>
                <w:rFonts w:ascii="Arial" w:cs="Arial" w:eastAsia="Arial" w:hAnsi="Arial"/>
                <w:sz w:val="16"/>
                <w:szCs w:val="16"/>
                <w:color w:val="auto"/>
                <w:w w:val="89"/>
              </w:rPr>
              <w:t>________________</w:t>
            </w:r>
          </w:p>
        </w:tc>
        <w:tc>
          <w:tcPr>
            <w:tcW w:w="3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60" w:type="dxa"/>
            <w:vAlign w:val="bottom"/>
          </w:tcPr>
          <w:p>
            <w:pPr>
              <w:spacing w:after="0"/>
              <w:rPr>
                <w:sz w:val="21"/>
                <w:szCs w:val="21"/>
                <w:color w:val="auto"/>
              </w:rPr>
            </w:pPr>
          </w:p>
        </w:tc>
      </w:tr>
    </w:tbl>
    <w:p>
      <w:pPr>
        <w:ind w:left="660" w:hanging="652"/>
        <w:spacing w:after="0" w:line="257"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During the twenty-six weeks ended June 28, 2020, the Company extended the expiration dates of certain awards under its Dine Rewards program to June 30, 2020 in response to the interruption COVID-19 had to the Company’s business.</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is a rollforward of deferred gift card sales commissions for the periods indicated:</w:t>
      </w:r>
    </w:p>
    <w:p>
      <w:pPr>
        <w:sectPr>
          <w:pgSz w:w="11900" w:h="16838" w:orient="portrait"/>
          <w:cols w:equalWidth="0" w:num="1">
            <w:col w:w="11220"/>
          </w:cols>
          <w:pgMar w:left="320" w:top="122" w:right="359" w:bottom="1440" w:gutter="0" w:footer="0" w:header="0"/>
        </w:sectPr>
      </w:pPr>
    </w:p>
    <w:p>
      <w:pPr>
        <w:spacing w:after="0" w:line="38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(dollars in thousands)</w:t>
      </w:r>
    </w:p>
    <w:p>
      <w:pPr>
        <w:spacing w:after="0" w:line="68"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Balance, beginning of period</w:t>
      </w:r>
    </w:p>
    <w:p>
      <w:pPr>
        <w:spacing w:after="0" w:line="73" w:lineRule="exact"/>
        <w:rPr>
          <w:sz w:val="20"/>
          <w:szCs w:val="20"/>
          <w:color w:val="auto"/>
        </w:rPr>
      </w:pPr>
    </w:p>
    <w:p>
      <w:pPr>
        <w:ind w:left="140" w:right="620"/>
        <w:spacing w:after="0" w:line="392" w:lineRule="auto"/>
        <w:rPr>
          <w:sz w:val="20"/>
          <w:szCs w:val="20"/>
          <w:color w:val="auto"/>
        </w:rPr>
      </w:pPr>
      <w:r>
        <w:rPr>
          <w:rFonts w:ascii="Arial" w:cs="Arial" w:eastAsia="Arial" w:hAnsi="Arial"/>
          <w:sz w:val="14"/>
          <w:szCs w:val="14"/>
          <w:color w:val="auto"/>
        </w:rPr>
        <w:t>Deferred gift card sales commissions amortization Deferred gift card sales commissions capitalization</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6"/>
          <w:szCs w:val="16"/>
          <w:color w:val="auto"/>
        </w:rPr>
        <w:t>Other</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Balance, end of period</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5"/>
        </w:trPr>
        <w:tc>
          <w:tcPr>
            <w:tcW w:w="20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gridSpan w:val="4"/>
          </w:tcPr>
          <w:p>
            <w:pPr>
              <w:jc w:val="right"/>
              <w:ind w:right="581"/>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gridSpan w:val="4"/>
          </w:tcPr>
          <w:p>
            <w:pPr>
              <w:jc w:val="right"/>
              <w:ind w:right="501"/>
              <w:spacing w:after="0"/>
              <w:rPr>
                <w:sz w:val="20"/>
                <w:szCs w:val="20"/>
                <w:color w:val="auto"/>
              </w:rPr>
            </w:pPr>
            <w:r>
              <w:rPr>
                <w:rFonts w:ascii="Arial" w:cs="Arial" w:eastAsia="Arial" w:hAnsi="Arial"/>
                <w:sz w:val="14"/>
                <w:szCs w:val="14"/>
                <w:b w:val="1"/>
                <w:bCs w:val="1"/>
                <w:color w:val="auto"/>
              </w:rPr>
              <w:t>TWENTY-SIX WEEKS ENDED</w:t>
            </w:r>
          </w:p>
        </w:tc>
      </w:tr>
      <w:tr>
        <w:trPr>
          <w:trHeight w:val="210"/>
        </w:trPr>
        <w:tc>
          <w:tcPr>
            <w:tcW w:w="20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28, 2020</w:t>
            </w:r>
          </w:p>
        </w:tc>
        <w:tc>
          <w:tcPr>
            <w:tcW w:w="180" w:type="dxa"/>
            <w:vAlign w:val="bottom"/>
          </w:tcPr>
          <w:p>
            <w:pPr>
              <w:spacing w:after="0"/>
              <w:rPr>
                <w:sz w:val="18"/>
                <w:szCs w:val="18"/>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2019</w:t>
            </w:r>
          </w:p>
        </w:tc>
        <w:tc>
          <w:tcPr>
            <w:tcW w:w="20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28, 2020</w:t>
            </w:r>
          </w:p>
        </w:tc>
        <w:tc>
          <w:tcPr>
            <w:tcW w:w="200" w:type="dxa"/>
            <w:vAlign w:val="bottom"/>
          </w:tcPr>
          <w:p>
            <w:pPr>
              <w:spacing w:after="0"/>
              <w:rPr>
                <w:sz w:val="18"/>
                <w:szCs w:val="18"/>
                <w:color w:val="auto"/>
              </w:rPr>
            </w:pPr>
          </w:p>
        </w:tc>
        <w:tc>
          <w:tcPr>
            <w:tcW w:w="1320" w:type="dxa"/>
            <w:vAlign w:val="bottom"/>
          </w:tcPr>
          <w:p>
            <w:pPr>
              <w:jc w:val="right"/>
              <w:ind w:right="221"/>
              <w:spacing w:after="0"/>
              <w:rPr>
                <w:sz w:val="20"/>
                <w:szCs w:val="20"/>
                <w:color w:val="auto"/>
              </w:rPr>
            </w:pPr>
            <w:r>
              <w:rPr>
                <w:rFonts w:ascii="Arial" w:cs="Arial" w:eastAsia="Arial" w:hAnsi="Arial"/>
                <w:sz w:val="14"/>
                <w:szCs w:val="14"/>
                <w:b w:val="1"/>
                <w:bCs w:val="1"/>
                <w:color w:val="auto"/>
              </w:rPr>
              <w:t>JUNE 30, 2019</w:t>
            </w:r>
          </w:p>
        </w:tc>
      </w:tr>
      <w:tr>
        <w:trPr>
          <w:trHeight w:val="223"/>
        </w:trPr>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tcPr>
          <w:p>
            <w:pPr>
              <w:jc w:val="right"/>
              <w:ind w:right="62"/>
              <w:spacing w:after="0"/>
              <w:rPr>
                <w:sz w:val="20"/>
                <w:szCs w:val="20"/>
                <w:color w:val="auto"/>
              </w:rPr>
            </w:pPr>
            <w:r>
              <w:rPr>
                <w:rFonts w:ascii="Arial" w:cs="Arial" w:eastAsia="Arial" w:hAnsi="Arial"/>
                <w:sz w:val="16"/>
                <w:szCs w:val="16"/>
                <w:color w:val="auto"/>
              </w:rPr>
              <w:t>13,049</w:t>
            </w: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tcPr>
          <w:p>
            <w:pPr>
              <w:jc w:val="right"/>
              <w:ind w:right="81"/>
              <w:spacing w:after="0"/>
              <w:rPr>
                <w:sz w:val="20"/>
                <w:szCs w:val="20"/>
                <w:color w:val="auto"/>
              </w:rPr>
            </w:pPr>
            <w:r>
              <w:rPr>
                <w:rFonts w:ascii="Arial" w:cs="Arial" w:eastAsia="Arial" w:hAnsi="Arial"/>
                <w:sz w:val="16"/>
                <w:szCs w:val="16"/>
                <w:color w:val="auto"/>
              </w:rPr>
              <w:t>11,195</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tcPr>
          <w:p>
            <w:pPr>
              <w:jc w:val="right"/>
              <w:ind w:right="82"/>
              <w:spacing w:after="0"/>
              <w:rPr>
                <w:sz w:val="20"/>
                <w:szCs w:val="20"/>
                <w:color w:val="auto"/>
              </w:rPr>
            </w:pPr>
            <w:r>
              <w:rPr>
                <w:rFonts w:ascii="Arial" w:cs="Arial" w:eastAsia="Arial" w:hAnsi="Arial"/>
                <w:sz w:val="16"/>
                <w:szCs w:val="16"/>
                <w:color w:val="auto"/>
              </w:rPr>
              <w:t>18,554</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16,431</w:t>
            </w:r>
          </w:p>
        </w:tc>
      </w:tr>
      <w:tr>
        <w:trPr>
          <w:trHeight w:val="257"/>
        </w:trPr>
        <w:tc>
          <w:tcPr>
            <w:tcW w:w="200" w:type="dxa"/>
            <w:vAlign w:val="bottom"/>
          </w:tcPr>
          <w:p>
            <w:pPr>
              <w:spacing w:after="0"/>
              <w:rPr>
                <w:sz w:val="22"/>
                <w:szCs w:val="22"/>
                <w:color w:val="auto"/>
              </w:rPr>
            </w:pPr>
          </w:p>
        </w:tc>
        <w:tc>
          <w:tcPr>
            <w:tcW w:w="1320" w:type="dxa"/>
            <w:vAlign w:val="bottom"/>
          </w:tcPr>
          <w:p>
            <w:pPr>
              <w:jc w:val="right"/>
              <w:ind w:right="22"/>
              <w:spacing w:after="0"/>
              <w:rPr>
                <w:sz w:val="20"/>
                <w:szCs w:val="20"/>
                <w:color w:val="auto"/>
              </w:rPr>
            </w:pPr>
            <w:r>
              <w:rPr>
                <w:rFonts w:ascii="Arial" w:cs="Arial" w:eastAsia="Arial" w:hAnsi="Arial"/>
                <w:sz w:val="16"/>
                <w:szCs w:val="16"/>
                <w:color w:val="auto"/>
              </w:rPr>
              <w:t>(2,502)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(5,682)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Pr>
          <w:p>
            <w:pPr>
              <w:jc w:val="right"/>
              <w:ind w:right="42"/>
              <w:spacing w:after="0"/>
              <w:rPr>
                <w:sz w:val="20"/>
                <w:szCs w:val="20"/>
                <w:color w:val="auto"/>
              </w:rPr>
            </w:pPr>
            <w:r>
              <w:rPr>
                <w:rFonts w:ascii="Arial" w:cs="Arial" w:eastAsia="Arial" w:hAnsi="Arial"/>
                <w:sz w:val="16"/>
                <w:szCs w:val="16"/>
                <w:color w:val="auto"/>
              </w:rPr>
              <w:t>(11,592)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(14,089)</w:t>
            </w:r>
          </w:p>
        </w:tc>
      </w:tr>
      <w:tr>
        <w:trPr>
          <w:trHeight w:val="256"/>
        </w:trPr>
        <w:tc>
          <w:tcPr>
            <w:tcW w:w="200" w:type="dxa"/>
            <w:vAlign w:val="bottom"/>
          </w:tcPr>
          <w:p>
            <w:pPr>
              <w:spacing w:after="0"/>
              <w:rPr>
                <w:sz w:val="22"/>
                <w:szCs w:val="22"/>
                <w:color w:val="auto"/>
              </w:rPr>
            </w:pPr>
          </w:p>
        </w:tc>
        <w:tc>
          <w:tcPr>
            <w:tcW w:w="1320" w:type="dxa"/>
            <w:vAlign w:val="bottom"/>
          </w:tcPr>
          <w:p>
            <w:pPr>
              <w:jc w:val="right"/>
              <w:ind w:right="62"/>
              <w:spacing w:after="0"/>
              <w:rPr>
                <w:sz w:val="20"/>
                <w:szCs w:val="20"/>
                <w:color w:val="auto"/>
              </w:rPr>
            </w:pPr>
            <w:r>
              <w:rPr>
                <w:rFonts w:ascii="Arial" w:cs="Arial" w:eastAsia="Arial" w:hAnsi="Arial"/>
                <w:sz w:val="16"/>
                <w:szCs w:val="16"/>
                <w:color w:val="auto"/>
              </w:rPr>
              <w:t>3,142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40" w:type="dxa"/>
            <w:vAlign w:val="bottom"/>
          </w:tcPr>
          <w:p>
            <w:pPr>
              <w:jc w:val="right"/>
              <w:ind w:right="81"/>
              <w:spacing w:after="0"/>
              <w:rPr>
                <w:sz w:val="20"/>
                <w:szCs w:val="20"/>
                <w:color w:val="auto"/>
              </w:rPr>
            </w:pPr>
            <w:r>
              <w:rPr>
                <w:rFonts w:ascii="Arial" w:cs="Arial" w:eastAsia="Arial" w:hAnsi="Arial"/>
                <w:sz w:val="16"/>
                <w:szCs w:val="16"/>
                <w:color w:val="auto"/>
              </w:rPr>
              <w:t>5,399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Pr>
          <w:p>
            <w:pPr>
              <w:jc w:val="right"/>
              <w:ind w:right="82"/>
              <w:spacing w:after="0"/>
              <w:rPr>
                <w:sz w:val="20"/>
                <w:szCs w:val="20"/>
                <w:color w:val="auto"/>
              </w:rPr>
            </w:pPr>
            <w:r>
              <w:rPr>
                <w:rFonts w:ascii="Arial" w:cs="Arial" w:eastAsia="Arial" w:hAnsi="Arial"/>
                <w:sz w:val="16"/>
                <w:szCs w:val="16"/>
                <w:color w:val="auto"/>
              </w:rPr>
              <w:t>7,466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jc w:val="right"/>
              <w:ind w:right="61"/>
              <w:spacing w:after="0"/>
              <w:rPr>
                <w:sz w:val="20"/>
                <w:szCs w:val="20"/>
                <w:color w:val="auto"/>
              </w:rPr>
            </w:pPr>
            <w:r>
              <w:rPr>
                <w:rFonts w:ascii="Arial" w:cs="Arial" w:eastAsia="Arial" w:hAnsi="Arial"/>
                <w:sz w:val="16"/>
                <w:szCs w:val="16"/>
                <w:color w:val="auto"/>
              </w:rPr>
              <w:t>9,232</w:t>
            </w:r>
          </w:p>
        </w:tc>
      </w:tr>
      <w:tr>
        <w:trPr>
          <w:trHeight w:val="257"/>
        </w:trPr>
        <w:tc>
          <w:tcPr>
            <w:tcW w:w="200" w:type="dxa"/>
            <w:vAlign w:val="bottom"/>
          </w:tcPr>
          <w:p>
            <w:pPr>
              <w:spacing w:after="0"/>
              <w:rPr>
                <w:sz w:val="22"/>
                <w:szCs w:val="22"/>
                <w:color w:val="auto"/>
              </w:rPr>
            </w:pPr>
          </w:p>
        </w:tc>
        <w:tc>
          <w:tcPr>
            <w:tcW w:w="1320" w:type="dxa"/>
            <w:vAlign w:val="bottom"/>
          </w:tcPr>
          <w:p>
            <w:pPr>
              <w:jc w:val="right"/>
              <w:ind w:right="22"/>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(424)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Pr>
          <w:p>
            <w:pPr>
              <w:jc w:val="right"/>
              <w:ind w:right="42"/>
              <w:spacing w:after="0"/>
              <w:rPr>
                <w:sz w:val="20"/>
                <w:szCs w:val="20"/>
                <w:color w:val="auto"/>
              </w:rPr>
            </w:pPr>
            <w:r>
              <w:rPr>
                <w:rFonts w:ascii="Arial" w:cs="Arial" w:eastAsia="Arial" w:hAnsi="Arial"/>
                <w:sz w:val="16"/>
                <w:szCs w:val="16"/>
                <w:color w:val="auto"/>
              </w:rPr>
              <w:t>(804)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(1,086)</w:t>
            </w:r>
          </w:p>
        </w:tc>
      </w:tr>
      <w:tr>
        <w:trPr>
          <w:trHeight w:val="40"/>
        </w:trPr>
        <w:tc>
          <w:tcPr>
            <w:tcW w:w="2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23"/>
        </w:trPr>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62"/>
              <w:spacing w:after="0"/>
              <w:rPr>
                <w:sz w:val="20"/>
                <w:szCs w:val="20"/>
                <w:color w:val="auto"/>
              </w:rPr>
            </w:pPr>
            <w:r>
              <w:rPr>
                <w:rFonts w:ascii="Arial" w:cs="Arial" w:eastAsia="Arial" w:hAnsi="Arial"/>
                <w:sz w:val="16"/>
                <w:szCs w:val="16"/>
                <w:color w:val="auto"/>
              </w:rPr>
              <w:t>13,624</w:t>
            </w:r>
          </w:p>
        </w:tc>
        <w:tc>
          <w:tcPr>
            <w:tcW w:w="120" w:type="dxa"/>
            <w:vAlign w:val="bottom"/>
          </w:tcPr>
          <w:p>
            <w:pPr>
              <w:spacing w:after="0"/>
              <w:rPr>
                <w:sz w:val="19"/>
                <w:szCs w:val="19"/>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ind w:right="81"/>
              <w:spacing w:after="0"/>
              <w:rPr>
                <w:sz w:val="20"/>
                <w:szCs w:val="20"/>
                <w:color w:val="auto"/>
              </w:rPr>
            </w:pPr>
            <w:r>
              <w:rPr>
                <w:rFonts w:ascii="Arial" w:cs="Arial" w:eastAsia="Arial" w:hAnsi="Arial"/>
                <w:sz w:val="16"/>
                <w:szCs w:val="16"/>
                <w:color w:val="auto"/>
              </w:rPr>
              <w:t>10,488</w:t>
            </w:r>
          </w:p>
        </w:tc>
        <w:tc>
          <w:tcPr>
            <w:tcW w:w="10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82"/>
              <w:spacing w:after="0"/>
              <w:rPr>
                <w:sz w:val="20"/>
                <w:szCs w:val="20"/>
                <w:color w:val="auto"/>
              </w:rPr>
            </w:pPr>
            <w:r>
              <w:rPr>
                <w:rFonts w:ascii="Arial" w:cs="Arial" w:eastAsia="Arial" w:hAnsi="Arial"/>
                <w:sz w:val="16"/>
                <w:szCs w:val="16"/>
                <w:color w:val="auto"/>
              </w:rPr>
              <w:t>13,624</w:t>
            </w:r>
          </w:p>
        </w:tc>
        <w:tc>
          <w:tcPr>
            <w:tcW w:w="10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61"/>
              <w:spacing w:after="0"/>
              <w:rPr>
                <w:sz w:val="20"/>
                <w:szCs w:val="20"/>
                <w:color w:val="auto"/>
              </w:rPr>
            </w:pPr>
            <w:r>
              <w:rPr>
                <w:rFonts w:ascii="Arial" w:cs="Arial" w:eastAsia="Arial" w:hAnsi="Arial"/>
                <w:sz w:val="16"/>
                <w:szCs w:val="16"/>
                <w:color w:val="auto"/>
              </w:rPr>
              <w:t>10,488</w:t>
            </w:r>
          </w:p>
        </w:tc>
      </w:tr>
      <w:tr>
        <w:trPr>
          <w:trHeight w:val="33"/>
        </w:trPr>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1"/>
        </w:trPr>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-3025140</wp:posOffset>
            </wp:positionH>
            <wp:positionV relativeFrom="paragraph">
              <wp:posOffset>-873760</wp:posOffset>
            </wp:positionV>
            <wp:extent cx="710628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-3025140</wp:posOffset>
            </wp:positionH>
            <wp:positionV relativeFrom="paragraph">
              <wp:posOffset>-539115</wp:posOffset>
            </wp:positionV>
            <wp:extent cx="7106285"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6285" cy="163195"/>
                    </a:xfrm>
                    <a:prstGeom prst="rect">
                      <a:avLst/>
                    </a:prstGeom>
                    <a:noFill/>
                  </pic:spPr>
                </pic:pic>
              </a:graphicData>
            </a:graphic>
          </wp:anchor>
        </w:drawing>
        <w:drawing>
          <wp:anchor simplePos="0" relativeHeight="251657728" behindDoc="1" locked="0" layoutInCell="0" allowOverlap="1">
            <wp:simplePos x="0" y="0"/>
            <wp:positionH relativeFrom="column">
              <wp:posOffset>-3025140</wp:posOffset>
            </wp:positionH>
            <wp:positionV relativeFrom="paragraph">
              <wp:posOffset>-205105</wp:posOffset>
            </wp:positionV>
            <wp:extent cx="7106285" cy="1885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06285"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080" w:space="720"/>
            <w:col w:w="6420"/>
          </w:cols>
          <w:pgMar w:left="320" w:top="122" w:right="359" w:bottom="1440" w:gutter="0" w:footer="0" w:header="0"/>
          <w:type w:val="continuous"/>
        </w:sectPr>
      </w:pP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is a rollforward of unearned gift card revenue for the periods indicated:</w:t>
      </w:r>
    </w:p>
    <w:p>
      <w:pPr>
        <w:spacing w:after="0" w:line="129" w:lineRule="exact"/>
        <w:rPr>
          <w:sz w:val="20"/>
          <w:szCs w:val="20"/>
          <w:color w:val="auto"/>
        </w:rPr>
      </w:pPr>
    </w:p>
    <w:tbl>
      <w:tblPr>
        <w:tblLayout w:type="fixed"/>
        <w:tblInd w:w="40" w:type="dxa"/>
        <w:tblCellMar>
          <w:top w:w="0" w:type="dxa"/>
          <w:left w:w="0" w:type="dxa"/>
          <w:bottom w:w="0" w:type="dxa"/>
          <w:right w:w="0" w:type="dxa"/>
        </w:tblCellMar>
      </w:tblPr>
      <w:tr>
        <w:trPr>
          <w:trHeight w:val="205"/>
        </w:trPr>
        <w:tc>
          <w:tcPr>
            <w:tcW w:w="47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gridSpan w:val="4"/>
          </w:tcPr>
          <w:p>
            <w:pPr>
              <w:jc w:val="right"/>
              <w:ind w:right="581"/>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gridSpan w:val="4"/>
          </w:tcPr>
          <w:p>
            <w:pPr>
              <w:jc w:val="right"/>
              <w:ind w:right="501"/>
              <w:spacing w:after="0"/>
              <w:rPr>
                <w:sz w:val="20"/>
                <w:szCs w:val="20"/>
                <w:color w:val="auto"/>
              </w:rPr>
            </w:pPr>
            <w:r>
              <w:rPr>
                <w:rFonts w:ascii="Arial" w:cs="Arial" w:eastAsia="Arial" w:hAnsi="Arial"/>
                <w:sz w:val="14"/>
                <w:szCs w:val="14"/>
                <w:b w:val="1"/>
                <w:bCs w:val="1"/>
                <w:color w:val="auto"/>
              </w:rPr>
              <w:t>TWENTY-SIX WEEKS ENDED</w:t>
            </w:r>
          </w:p>
        </w:tc>
      </w:tr>
      <w:tr>
        <w:trPr>
          <w:trHeight w:val="209"/>
        </w:trPr>
        <w:tc>
          <w:tcPr>
            <w:tcW w:w="4760" w:type="dxa"/>
            <w:vAlign w:val="bottom"/>
          </w:tcPr>
          <w:p>
            <w:pPr>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28, 2020</w:t>
            </w:r>
          </w:p>
        </w:tc>
        <w:tc>
          <w:tcPr>
            <w:tcW w:w="180" w:type="dxa"/>
            <w:vAlign w:val="bottom"/>
          </w:tcPr>
          <w:p>
            <w:pPr>
              <w:spacing w:after="0"/>
              <w:rPr>
                <w:sz w:val="18"/>
                <w:szCs w:val="18"/>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2019</w:t>
            </w:r>
          </w:p>
        </w:tc>
        <w:tc>
          <w:tcPr>
            <w:tcW w:w="20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28, 2020</w:t>
            </w:r>
          </w:p>
        </w:tc>
        <w:tc>
          <w:tcPr>
            <w:tcW w:w="200" w:type="dxa"/>
            <w:vAlign w:val="bottom"/>
          </w:tcPr>
          <w:p>
            <w:pPr>
              <w:spacing w:after="0"/>
              <w:rPr>
                <w:sz w:val="18"/>
                <w:szCs w:val="18"/>
                <w:color w:val="auto"/>
              </w:rPr>
            </w:pPr>
          </w:p>
        </w:tc>
        <w:tc>
          <w:tcPr>
            <w:tcW w:w="1320" w:type="dxa"/>
            <w:vAlign w:val="bottom"/>
          </w:tcPr>
          <w:p>
            <w:pPr>
              <w:jc w:val="right"/>
              <w:ind w:right="221"/>
              <w:spacing w:after="0"/>
              <w:rPr>
                <w:sz w:val="20"/>
                <w:szCs w:val="20"/>
                <w:color w:val="auto"/>
              </w:rPr>
            </w:pPr>
            <w:r>
              <w:rPr>
                <w:rFonts w:ascii="Arial" w:cs="Arial" w:eastAsia="Arial" w:hAnsi="Arial"/>
                <w:sz w:val="14"/>
                <w:szCs w:val="14"/>
                <w:b w:val="1"/>
                <w:bCs w:val="1"/>
                <w:color w:val="auto"/>
              </w:rPr>
              <w:t>JUNE 30, 2019</w:t>
            </w:r>
          </w:p>
        </w:tc>
      </w:tr>
      <w:tr>
        <w:trPr>
          <w:trHeight w:val="237"/>
        </w:trPr>
        <w:tc>
          <w:tcPr>
            <w:tcW w:w="4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beginning of period</w:t>
            </w: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277,518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240,923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358,757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333,794</w:t>
            </w:r>
          </w:p>
        </w:tc>
      </w:tr>
      <w:tr>
        <w:trPr>
          <w:trHeight w:val="223"/>
        </w:trPr>
        <w:tc>
          <w:tcPr>
            <w:tcW w:w="4760" w:type="dxa"/>
            <w:vAlign w:val="bottom"/>
          </w:tcPr>
          <w:p>
            <w:pPr>
              <w:ind w:left="100"/>
              <w:spacing w:after="0"/>
              <w:rPr>
                <w:sz w:val="20"/>
                <w:szCs w:val="20"/>
                <w:color w:val="auto"/>
              </w:rPr>
            </w:pPr>
            <w:r>
              <w:rPr>
                <w:rFonts w:ascii="Arial" w:cs="Arial" w:eastAsia="Arial" w:hAnsi="Arial"/>
                <w:sz w:val="16"/>
                <w:szCs w:val="16"/>
                <w:color w:val="auto"/>
              </w:rPr>
              <w:t>Gift card sales</w:t>
            </w:r>
          </w:p>
        </w:tc>
        <w:tc>
          <w:tcPr>
            <w:tcW w:w="200" w:type="dxa"/>
            <w:vAlign w:val="bottom"/>
          </w:tcPr>
          <w:p>
            <w:pPr>
              <w:spacing w:after="0"/>
              <w:rPr>
                <w:sz w:val="19"/>
                <w:szCs w:val="19"/>
                <w:color w:val="auto"/>
              </w:rPr>
            </w:pPr>
          </w:p>
        </w:tc>
        <w:tc>
          <w:tcPr>
            <w:tcW w:w="1320" w:type="dxa"/>
            <w:vAlign w:val="bottom"/>
          </w:tcPr>
          <w:p>
            <w:pPr>
              <w:jc w:val="right"/>
              <w:ind w:right="62"/>
              <w:spacing w:after="0"/>
              <w:rPr>
                <w:sz w:val="20"/>
                <w:szCs w:val="20"/>
                <w:color w:val="auto"/>
              </w:rPr>
            </w:pPr>
            <w:r>
              <w:rPr>
                <w:rFonts w:ascii="Arial" w:cs="Arial" w:eastAsia="Arial" w:hAnsi="Arial"/>
                <w:sz w:val="16"/>
                <w:szCs w:val="16"/>
                <w:color w:val="auto"/>
              </w:rPr>
              <w:t>41,649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ind w:right="81"/>
              <w:spacing w:after="0"/>
              <w:rPr>
                <w:sz w:val="20"/>
                <w:szCs w:val="20"/>
                <w:color w:val="auto"/>
              </w:rPr>
            </w:pPr>
            <w:r>
              <w:rPr>
                <w:rFonts w:ascii="Arial" w:cs="Arial" w:eastAsia="Arial" w:hAnsi="Arial"/>
                <w:sz w:val="16"/>
                <w:szCs w:val="16"/>
                <w:color w:val="auto"/>
              </w:rPr>
              <w:t>75,658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ind w:right="82"/>
              <w:spacing w:after="0"/>
              <w:rPr>
                <w:sz w:val="20"/>
                <w:szCs w:val="20"/>
                <w:color w:val="auto"/>
              </w:rPr>
            </w:pPr>
            <w:r>
              <w:rPr>
                <w:rFonts w:ascii="Arial" w:cs="Arial" w:eastAsia="Arial" w:hAnsi="Arial"/>
                <w:sz w:val="16"/>
                <w:szCs w:val="16"/>
                <w:color w:val="auto"/>
              </w:rPr>
              <w:t>100,088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ind w:right="61"/>
              <w:spacing w:after="0"/>
              <w:rPr>
                <w:sz w:val="20"/>
                <w:szCs w:val="20"/>
                <w:color w:val="auto"/>
              </w:rPr>
            </w:pPr>
            <w:r>
              <w:rPr>
                <w:rFonts w:ascii="Arial" w:cs="Arial" w:eastAsia="Arial" w:hAnsi="Arial"/>
                <w:sz w:val="16"/>
                <w:szCs w:val="16"/>
                <w:color w:val="auto"/>
              </w:rPr>
              <w:t>131,130</w:t>
            </w:r>
          </w:p>
        </w:tc>
      </w:tr>
      <w:tr>
        <w:trPr>
          <w:trHeight w:val="33"/>
        </w:trPr>
        <w:tc>
          <w:tcPr>
            <w:tcW w:w="4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6"/>
        </w:trPr>
        <w:tc>
          <w:tcPr>
            <w:tcW w:w="47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Gift card redemptions</w:t>
            </w:r>
          </w:p>
        </w:tc>
        <w:tc>
          <w:tcPr>
            <w:tcW w:w="2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(37,404)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(84,942)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(170,585)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(226,401)</w:t>
            </w:r>
          </w:p>
        </w:tc>
      </w:tr>
      <w:tr>
        <w:trPr>
          <w:trHeight w:val="270"/>
        </w:trPr>
        <w:tc>
          <w:tcPr>
            <w:tcW w:w="476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Gift card breakage</w:t>
            </w:r>
          </w:p>
        </w:tc>
        <w:tc>
          <w:tcPr>
            <w:tcW w:w="20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(1,790)</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(4,267)</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(8,287)</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(11,151)</w:t>
            </w:r>
          </w:p>
        </w:tc>
      </w:tr>
      <w:tr>
        <w:trPr>
          <w:trHeight w:val="272"/>
        </w:trPr>
        <w:tc>
          <w:tcPr>
            <w:tcW w:w="4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end of period</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279,973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227,372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279,973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227,372</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14" w:name="page15"/>
    <w:bookmarkEnd w:id="1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348" w:lineRule="exact"/>
        <w:rPr>
          <w:sz w:val="20"/>
          <w:szCs w:val="20"/>
          <w:color w:val="auto"/>
        </w:rPr>
      </w:pPr>
    </w:p>
    <w:p>
      <w:pPr>
        <w:spacing w:after="0"/>
        <w:rPr>
          <w:sz w:val="20"/>
          <w:szCs w:val="20"/>
          <w:color w:val="auto"/>
        </w:rPr>
      </w:pPr>
      <w:r>
        <w:rPr>
          <w:rFonts w:ascii="Arial" w:cs="Arial" w:eastAsia="Arial" w:hAnsi="Arial"/>
          <w:sz w:val="20"/>
          <w:szCs w:val="20"/>
          <w:color w:val="auto"/>
        </w:rPr>
        <w:t>4. Impairments, Exit Costs and Disposals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The components of Provision for impaired assets and restaurant closings are as follows for the periods indicated: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7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4"/>
          </w:tcPr>
          <w:p>
            <w:pPr>
              <w:jc w:val="right"/>
              <w:ind w:right="600"/>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4"/>
                <w:szCs w:val="14"/>
                <w:b w:val="1"/>
                <w:bCs w:val="1"/>
                <w:color w:val="auto"/>
              </w:rPr>
              <w:t>TWENTY-SIX WEEKS ENDED</w:t>
            </w:r>
          </w:p>
        </w:tc>
        <w:tc>
          <w:tcPr>
            <w:tcW w:w="0" w:type="dxa"/>
            <w:vAlign w:val="bottom"/>
          </w:tcPr>
          <w:p>
            <w:pPr>
              <w:spacing w:after="0"/>
              <w:rPr>
                <w:sz w:val="1"/>
                <w:szCs w:val="1"/>
                <w:color w:val="auto"/>
              </w:rPr>
            </w:pPr>
          </w:p>
        </w:tc>
      </w:tr>
      <w:tr>
        <w:trPr>
          <w:trHeight w:val="210"/>
        </w:trPr>
        <w:tc>
          <w:tcPr>
            <w:tcW w:w="478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28, 2020</w:t>
            </w:r>
          </w:p>
        </w:tc>
        <w:tc>
          <w:tcPr>
            <w:tcW w:w="22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2019</w:t>
            </w:r>
          </w:p>
        </w:tc>
        <w:tc>
          <w:tcPr>
            <w:tcW w:w="220" w:type="dxa"/>
            <w:vAlign w:val="bottom"/>
          </w:tcPr>
          <w:p>
            <w:pPr>
              <w:spacing w:after="0"/>
              <w:rPr>
                <w:sz w:val="18"/>
                <w:szCs w:val="18"/>
                <w:color w:val="auto"/>
              </w:rPr>
            </w:pPr>
          </w:p>
        </w:tc>
        <w:tc>
          <w:tcPr>
            <w:tcW w:w="142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28, 2020</w:t>
            </w:r>
          </w:p>
        </w:tc>
        <w:tc>
          <w:tcPr>
            <w:tcW w:w="200" w:type="dxa"/>
            <w:vAlign w:val="bottom"/>
          </w:tcPr>
          <w:p>
            <w:pPr>
              <w:spacing w:after="0"/>
              <w:rPr>
                <w:sz w:val="18"/>
                <w:szCs w:val="18"/>
                <w:color w:val="auto"/>
              </w:rPr>
            </w:pPr>
          </w:p>
        </w:tc>
        <w:tc>
          <w:tcPr>
            <w:tcW w:w="1300" w:type="dxa"/>
            <w:vAlign w:val="bottom"/>
          </w:tcPr>
          <w:p>
            <w:pPr>
              <w:jc w:val="right"/>
              <w:ind w:right="220"/>
              <w:spacing w:after="0"/>
              <w:rPr>
                <w:sz w:val="20"/>
                <w:szCs w:val="20"/>
                <w:color w:val="auto"/>
              </w:rPr>
            </w:pPr>
            <w:r>
              <w:rPr>
                <w:rFonts w:ascii="Arial" w:cs="Arial" w:eastAsia="Arial" w:hAnsi="Arial"/>
                <w:sz w:val="14"/>
                <w:szCs w:val="14"/>
                <w:b w:val="1"/>
                <w:bCs w:val="1"/>
                <w:color w:val="auto"/>
              </w:rPr>
              <w:t>JUNE 30, 2019</w:t>
            </w:r>
          </w:p>
        </w:tc>
        <w:tc>
          <w:tcPr>
            <w:tcW w:w="0" w:type="dxa"/>
            <w:vAlign w:val="bottom"/>
          </w:tcPr>
          <w:p>
            <w:pPr>
              <w:spacing w:after="0"/>
              <w:rPr>
                <w:sz w:val="1"/>
                <w:szCs w:val="1"/>
                <w:color w:val="auto"/>
              </w:rPr>
            </w:pPr>
          </w:p>
        </w:tc>
      </w:tr>
      <w:tr>
        <w:trPr>
          <w:trHeight w:val="223"/>
        </w:trPr>
        <w:tc>
          <w:tcPr>
            <w:tcW w:w="4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Impairment losses</w:t>
            </w:r>
          </w:p>
        </w:tc>
        <w:tc>
          <w:tcPr>
            <w:tcW w:w="220" w:type="dxa"/>
            <w:vAlign w:val="bottom"/>
            <w:tcBorders>
              <w:top w:val="single" w:sz="8" w:color="auto"/>
              <w:bottom w:val="single" w:sz="8" w:color="CCEEFF"/>
            </w:tcBorders>
            <w:shd w:val="clear" w:color="auto" w:fill="CCEEFF"/>
          </w:tcPr>
          <w:p>
            <w:pPr>
              <w:spacing w:after="0"/>
              <w:rPr>
                <w:sz w:val="19"/>
                <w:szCs w:val="19"/>
                <w:color w:val="auto"/>
              </w:rPr>
            </w:pPr>
          </w:p>
        </w:tc>
        <w:tc>
          <w:tcPr>
            <w:tcW w:w="134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CCEEFF"/>
            </w:tcBorders>
            <w:shd w:val="clear" w:color="auto" w:fill="CCEEFF"/>
          </w:tcPr>
          <w:p>
            <w:pPr>
              <w:spacing w:after="0"/>
              <w:rPr>
                <w:sz w:val="19"/>
                <w:szCs w:val="19"/>
                <w:color w:val="auto"/>
              </w:rPr>
            </w:pPr>
          </w:p>
        </w:tc>
        <w:tc>
          <w:tcPr>
            <w:tcW w:w="134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CCEEFF"/>
            </w:tcBorders>
            <w:shd w:val="clear" w:color="auto" w:fill="CCEEFF"/>
          </w:tcPr>
          <w:p>
            <w:pPr>
              <w:spacing w:after="0"/>
              <w:rPr>
                <w:sz w:val="19"/>
                <w:szCs w:val="19"/>
                <w:color w:val="auto"/>
              </w:rPr>
            </w:pPr>
          </w:p>
        </w:tc>
        <w:tc>
          <w:tcPr>
            <w:tcW w:w="132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CCEEFF"/>
            </w:tcBorders>
            <w:shd w:val="clear" w:color="auto" w:fill="CCEEFF"/>
          </w:tcPr>
          <w:p>
            <w:pPr>
              <w:spacing w:after="0"/>
              <w:rPr>
                <w:sz w:val="19"/>
                <w:szCs w:val="19"/>
                <w:color w:val="auto"/>
              </w:rPr>
            </w:pPr>
          </w:p>
        </w:tc>
        <w:tc>
          <w:tcPr>
            <w:tcW w:w="1300" w:type="dxa"/>
            <w:vAlign w:val="bottom"/>
            <w:tcBorders>
              <w:top w:val="single" w:sz="8" w:color="auto"/>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780" w:type="dxa"/>
            <w:vAlign w:val="bottom"/>
          </w:tcPr>
          <w:p>
            <w:pPr>
              <w:ind w:left="220"/>
              <w:spacing w:after="0"/>
              <w:rPr>
                <w:sz w:val="20"/>
                <w:szCs w:val="20"/>
                <w:color w:val="auto"/>
              </w:rPr>
            </w:pPr>
            <w:r>
              <w:rPr>
                <w:rFonts w:ascii="Arial" w:cs="Arial" w:eastAsia="Arial" w:hAnsi="Arial"/>
                <w:sz w:val="16"/>
                <w:szCs w:val="16"/>
                <w:color w:val="auto"/>
              </w:rPr>
              <w:t>U.S.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61"/>
              <w:spacing w:after="0"/>
              <w:rPr>
                <w:sz w:val="20"/>
                <w:szCs w:val="20"/>
                <w:color w:val="auto"/>
              </w:rPr>
            </w:pPr>
            <w:r>
              <w:rPr>
                <w:rFonts w:ascii="Arial" w:cs="Arial" w:eastAsia="Arial" w:hAnsi="Arial"/>
                <w:sz w:val="16"/>
                <w:szCs w:val="16"/>
                <w:color w:val="auto"/>
              </w:rPr>
              <w:t>23,741</w:t>
            </w:r>
          </w:p>
        </w:tc>
        <w:tc>
          <w:tcPr>
            <w:tcW w:w="10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60"/>
              <w:spacing w:after="0"/>
              <w:rPr>
                <w:sz w:val="20"/>
                <w:szCs w:val="20"/>
                <w:color w:val="auto"/>
              </w:rPr>
            </w:pPr>
            <w:r>
              <w:rPr>
                <w:rFonts w:ascii="Arial" w:cs="Arial" w:eastAsia="Arial" w:hAnsi="Arial"/>
                <w:sz w:val="16"/>
                <w:szCs w:val="16"/>
                <w:color w:val="auto"/>
              </w:rPr>
              <w:t>165</w:t>
            </w:r>
          </w:p>
        </w:tc>
        <w:tc>
          <w:tcPr>
            <w:tcW w:w="10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81"/>
              <w:spacing w:after="0"/>
              <w:rPr>
                <w:sz w:val="20"/>
                <w:szCs w:val="20"/>
                <w:color w:val="auto"/>
              </w:rPr>
            </w:pPr>
            <w:r>
              <w:rPr>
                <w:rFonts w:ascii="Arial" w:cs="Arial" w:eastAsia="Arial" w:hAnsi="Arial"/>
                <w:sz w:val="16"/>
                <w:szCs w:val="16"/>
                <w:color w:val="auto"/>
              </w:rPr>
              <w:t>54,713</w:t>
            </w:r>
          </w:p>
        </w:tc>
        <w:tc>
          <w:tcPr>
            <w:tcW w:w="10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60"/>
              <w:spacing w:after="0"/>
              <w:rPr>
                <w:sz w:val="20"/>
                <w:szCs w:val="20"/>
                <w:color w:val="auto"/>
              </w:rPr>
            </w:pPr>
            <w:r>
              <w:rPr>
                <w:rFonts w:ascii="Arial" w:cs="Arial" w:eastAsia="Arial" w:hAnsi="Arial"/>
                <w:sz w:val="16"/>
                <w:szCs w:val="16"/>
                <w:color w:val="auto"/>
              </w:rPr>
              <w:t>3,629</w:t>
            </w:r>
          </w:p>
        </w:tc>
        <w:tc>
          <w:tcPr>
            <w:tcW w:w="0" w:type="dxa"/>
            <w:vAlign w:val="bottom"/>
          </w:tcPr>
          <w:p>
            <w:pPr>
              <w:spacing w:after="0"/>
              <w:rPr>
                <w:sz w:val="1"/>
                <w:szCs w:val="1"/>
                <w:color w:val="auto"/>
              </w:rPr>
            </w:pPr>
          </w:p>
        </w:tc>
      </w:tr>
      <w:tr>
        <w:trPr>
          <w:trHeight w:val="33"/>
        </w:trPr>
        <w:tc>
          <w:tcPr>
            <w:tcW w:w="4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International (1)</w:t>
            </w:r>
          </w:p>
        </w:tc>
        <w:tc>
          <w:tcPr>
            <w:tcW w:w="2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296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1,767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3,468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1,785</w:t>
            </w:r>
          </w:p>
        </w:tc>
        <w:tc>
          <w:tcPr>
            <w:tcW w:w="0" w:type="dxa"/>
            <w:vAlign w:val="bottom"/>
          </w:tcPr>
          <w:p>
            <w:pPr>
              <w:spacing w:after="0"/>
              <w:rPr>
                <w:sz w:val="1"/>
                <w:szCs w:val="1"/>
                <w:color w:val="auto"/>
              </w:rPr>
            </w:pPr>
          </w:p>
        </w:tc>
      </w:tr>
      <w:tr>
        <w:trPr>
          <w:trHeight w:val="270"/>
        </w:trPr>
        <w:tc>
          <w:tcPr>
            <w:tcW w:w="4780" w:type="dxa"/>
            <w:vAlign w:val="bottom"/>
          </w:tcPr>
          <w:p>
            <w:pPr>
              <w:ind w:left="220"/>
              <w:spacing w:after="0"/>
              <w:rPr>
                <w:sz w:val="20"/>
                <w:szCs w:val="20"/>
                <w:color w:val="auto"/>
              </w:rPr>
            </w:pPr>
            <w:r>
              <w:rPr>
                <w:rFonts w:ascii="Arial" w:cs="Arial" w:eastAsia="Arial" w:hAnsi="Arial"/>
                <w:sz w:val="16"/>
                <w:szCs w:val="16"/>
                <w:color w:val="auto"/>
              </w:rPr>
              <w:t>Corporate</w:t>
            </w:r>
          </w:p>
        </w:tc>
        <w:tc>
          <w:tcPr>
            <w:tcW w:w="220" w:type="dxa"/>
            <w:vAlign w:val="bottom"/>
          </w:tcPr>
          <w:p>
            <w:pPr>
              <w:spacing w:after="0"/>
              <w:rPr>
                <w:sz w:val="23"/>
                <w:szCs w:val="23"/>
                <w:color w:val="auto"/>
              </w:rPr>
            </w:pP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(119)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320" w:type="dxa"/>
            <w:vAlign w:val="bottom"/>
          </w:tcPr>
          <w:p>
            <w:pPr>
              <w:jc w:val="right"/>
              <w:ind w:right="81"/>
              <w:spacing w:after="0"/>
              <w:rPr>
                <w:sz w:val="20"/>
                <w:szCs w:val="20"/>
                <w:color w:val="auto"/>
              </w:rPr>
            </w:pPr>
            <w:r>
              <w:rPr>
                <w:rFonts w:ascii="Arial" w:cs="Arial" w:eastAsia="Arial" w:hAnsi="Arial"/>
                <w:sz w:val="16"/>
                <w:szCs w:val="16"/>
                <w:color w:val="auto"/>
              </w:rPr>
              <w:t>6,161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3"/>
        </w:trPr>
        <w:tc>
          <w:tcPr>
            <w:tcW w:w="478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impairment losses</w:t>
            </w: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23,918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1,932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64,342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5,414</w:t>
            </w:r>
          </w:p>
        </w:tc>
        <w:tc>
          <w:tcPr>
            <w:tcW w:w="0" w:type="dxa"/>
            <w:vAlign w:val="bottom"/>
          </w:tcPr>
          <w:p>
            <w:pPr>
              <w:spacing w:after="0"/>
              <w:rPr>
                <w:sz w:val="1"/>
                <w:szCs w:val="1"/>
                <w:color w:val="auto"/>
              </w:rPr>
            </w:pPr>
          </w:p>
        </w:tc>
      </w:tr>
      <w:tr>
        <w:trPr>
          <w:trHeight w:val="204"/>
        </w:trPr>
        <w:tc>
          <w:tcPr>
            <w:tcW w:w="4780" w:type="dxa"/>
            <w:vAlign w:val="bottom"/>
          </w:tcPr>
          <w:p>
            <w:pPr>
              <w:ind w:left="20"/>
              <w:spacing w:after="0"/>
              <w:rPr>
                <w:sz w:val="20"/>
                <w:szCs w:val="20"/>
                <w:color w:val="auto"/>
              </w:rPr>
            </w:pPr>
            <w:r>
              <w:rPr>
                <w:rFonts w:ascii="Arial" w:cs="Arial" w:eastAsia="Arial" w:hAnsi="Arial"/>
                <w:sz w:val="16"/>
                <w:szCs w:val="16"/>
                <w:color w:val="auto"/>
              </w:rPr>
              <w:t>Restaurant closure expenses</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4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U.S.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1,041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1,762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70"/>
        </w:trPr>
        <w:tc>
          <w:tcPr>
            <w:tcW w:w="4780" w:type="dxa"/>
            <w:vAlign w:val="bottom"/>
          </w:tcPr>
          <w:p>
            <w:pPr>
              <w:ind w:left="220"/>
              <w:spacing w:after="0"/>
              <w:rPr>
                <w:sz w:val="20"/>
                <w:szCs w:val="20"/>
                <w:color w:val="auto"/>
              </w:rPr>
            </w:pPr>
            <w:r>
              <w:rPr>
                <w:rFonts w:ascii="Arial" w:cs="Arial" w:eastAsia="Arial" w:hAnsi="Arial"/>
                <w:sz w:val="16"/>
                <w:szCs w:val="16"/>
                <w:color w:val="auto"/>
              </w:rPr>
              <w:t>International</w:t>
            </w:r>
          </w:p>
        </w:tc>
        <w:tc>
          <w:tcPr>
            <w:tcW w:w="220" w:type="dxa"/>
            <w:vAlign w:val="bottom"/>
          </w:tcPr>
          <w:p>
            <w:pPr>
              <w:spacing w:after="0"/>
              <w:rPr>
                <w:sz w:val="23"/>
                <w:szCs w:val="23"/>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320" w:type="dxa"/>
            <w:vAlign w:val="bottom"/>
          </w:tcPr>
          <w:p>
            <w:pPr>
              <w:jc w:val="right"/>
              <w:ind w:right="81"/>
              <w:spacing w:after="0"/>
              <w:rPr>
                <w:sz w:val="20"/>
                <w:szCs w:val="20"/>
                <w:color w:val="auto"/>
              </w:rPr>
            </w:pPr>
            <w:r>
              <w:rPr>
                <w:rFonts w:ascii="Arial" w:cs="Arial" w:eastAsia="Arial" w:hAnsi="Arial"/>
                <w:sz w:val="16"/>
                <w:szCs w:val="16"/>
                <w:color w:val="auto"/>
              </w:rPr>
              <w:t>173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jc w:val="right"/>
              <w:ind w:right="6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57"/>
        </w:trPr>
        <w:tc>
          <w:tcPr>
            <w:tcW w:w="478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restaurant closure expenses</w:t>
            </w: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1,041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1,935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251"/>
        </w:trPr>
        <w:tc>
          <w:tcPr>
            <w:tcW w:w="4780" w:type="dxa"/>
            <w:vAlign w:val="bottom"/>
          </w:tcPr>
          <w:p>
            <w:pPr>
              <w:ind w:left="20"/>
              <w:spacing w:after="0"/>
              <w:rPr>
                <w:sz w:val="20"/>
                <w:szCs w:val="20"/>
                <w:color w:val="auto"/>
              </w:rPr>
            </w:pPr>
            <w:r>
              <w:rPr>
                <w:rFonts w:ascii="Arial" w:cs="Arial" w:eastAsia="Arial" w:hAnsi="Arial"/>
                <w:sz w:val="16"/>
                <w:szCs w:val="16"/>
                <w:color w:val="auto"/>
              </w:rPr>
              <w:t>Provision for impaired assets and restaurant closings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24,959</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1,940</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66,277</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5,526</w:t>
            </w:r>
          </w:p>
        </w:tc>
        <w:tc>
          <w:tcPr>
            <w:tcW w:w="0" w:type="dxa"/>
            <w:vAlign w:val="bottom"/>
          </w:tcPr>
          <w:p>
            <w:pPr>
              <w:spacing w:after="0"/>
              <w:rPr>
                <w:sz w:val="1"/>
                <w:szCs w:val="1"/>
                <w:color w:val="auto"/>
              </w:rPr>
            </w:pPr>
          </w:p>
        </w:tc>
      </w:tr>
      <w:tr>
        <w:trPr>
          <w:trHeight w:val="26"/>
        </w:trPr>
        <w:tc>
          <w:tcPr>
            <w:tcW w:w="4780" w:type="dxa"/>
            <w:vAlign w:val="bottom"/>
            <w:vMerge w:val="restart"/>
          </w:tcPr>
          <w:p>
            <w:pPr>
              <w:spacing w:after="0"/>
              <w:rPr>
                <w:sz w:val="20"/>
                <w:szCs w:val="20"/>
                <w:color w:val="auto"/>
              </w:rPr>
            </w:pPr>
            <w:r>
              <w:rPr>
                <w:rFonts w:ascii="Arial" w:cs="Arial" w:eastAsia="Arial" w:hAnsi="Arial"/>
                <w:sz w:val="16"/>
                <w:szCs w:val="16"/>
                <w:color w:val="auto"/>
              </w:rPr>
              <w:t>________________</w:t>
            </w: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47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660" w:hanging="652"/>
        <w:spacing w:after="0" w:line="257"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Includes goodwill impairment charges of $2.0 million during the twenty-six weeks ended June 28, 2020. See Note 9 - </w:t>
      </w:r>
      <w:r>
        <w:rPr>
          <w:rFonts w:ascii="Arial" w:cs="Arial" w:eastAsia="Arial" w:hAnsi="Arial"/>
          <w:sz w:val="16"/>
          <w:szCs w:val="16"/>
          <w:i w:val="1"/>
          <w:iCs w:val="1"/>
          <w:color w:val="auto"/>
        </w:rPr>
        <w:t>Goodwill and Intangible Assets, Net</w:t>
      </w:r>
      <w:r>
        <w:rPr>
          <w:rFonts w:ascii="Arial" w:cs="Arial" w:eastAsia="Arial" w:hAnsi="Arial"/>
          <w:sz w:val="16"/>
          <w:szCs w:val="16"/>
          <w:color w:val="auto"/>
        </w:rPr>
        <w:t xml:space="preserve"> for details regarding impairment of goodwill.</w:t>
      </w:r>
    </w:p>
    <w:p>
      <w:pPr>
        <w:spacing w:after="0" w:line="20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During the thirteen and twenty-six weeks ended June 28, 2020, the Company recognized asset impairment and closure charges related to the COVID-19 pandemic of $25.0 million and $56.3 million, respectively, in the U.S. segment (including charges related to the COVID-19 Restructuring discussed below) and $0.3 million and $3.6 million, respectively, in the international segment. The Company also recognized asset impairment charges related to transformational initiatives of $6.3 million during the twenty-six weeks ended June 28, 2020, which were not allocated to its operating segments.</w:t>
      </w:r>
    </w:p>
    <w:p>
      <w:pPr>
        <w:spacing w:after="0" w:line="2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COVID-19 Restructuring </w:t>
      </w:r>
      <w:r>
        <w:rPr>
          <w:rFonts w:ascii="Arial" w:cs="Arial" w:eastAsia="Arial" w:hAnsi="Arial"/>
          <w:sz w:val="18"/>
          <w:szCs w:val="18"/>
          <w:color w:val="auto"/>
        </w:rPr>
        <w:t>- During the thirteen and twenty-six weeks ended June 28, 2020, the Company recognized pre-tax asset</w:t>
      </w:r>
      <w:r>
        <w:rPr>
          <w:rFonts w:ascii="Arial" w:cs="Arial" w:eastAsia="Arial" w:hAnsi="Arial"/>
          <w:sz w:val="18"/>
          <w:szCs w:val="18"/>
          <w:i w:val="1"/>
          <w:iCs w:val="1"/>
          <w:color w:val="auto"/>
        </w:rPr>
        <w:t xml:space="preserve"> </w:t>
      </w:r>
      <w:r>
        <w:rPr>
          <w:rFonts w:ascii="Arial" w:cs="Arial" w:eastAsia="Arial" w:hAnsi="Arial"/>
          <w:sz w:val="18"/>
          <w:szCs w:val="18"/>
          <w:color w:val="auto"/>
        </w:rPr>
        <w:t>impairments and closure costs in connection with the closure of 22 restaurants and from the update of certain cash flow assumptions, including lease renewal considerations (the “COVID-19 Restructuring”). Following is a summary of the COVID-19 Restructuring charges recognized in the Consolidated Statements of Operations and Comprehensive (Loss) Income for the period indicated (in thousands):</w:t>
      </w:r>
    </w:p>
    <w:tbl>
      <w:tblPr>
        <w:tblLayout w:type="fixed"/>
        <w:tblInd w:w="0" w:type="dxa"/>
        <w:tblCellMar>
          <w:top w:w="0" w:type="dxa"/>
          <w:left w:w="0" w:type="dxa"/>
          <w:bottom w:w="0" w:type="dxa"/>
          <w:right w:w="0" w:type="dxa"/>
        </w:tblCellMar>
      </w:tblPr>
      <w:tr>
        <w:trPr>
          <w:trHeight w:val="150"/>
        </w:trPr>
        <w:tc>
          <w:tcPr>
            <w:tcW w:w="3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tcPr>
          <w:p>
            <w:pPr>
              <w:jc w:val="center"/>
              <w:ind w:right="23"/>
              <w:spacing w:after="0" w:line="150" w:lineRule="exact"/>
              <w:rPr>
                <w:sz w:val="20"/>
                <w:szCs w:val="20"/>
                <w:color w:val="auto"/>
              </w:rPr>
            </w:pPr>
            <w:r>
              <w:rPr>
                <w:rFonts w:ascii="Arial" w:cs="Arial" w:eastAsia="Arial" w:hAnsi="Arial"/>
                <w:sz w:val="14"/>
                <w:szCs w:val="14"/>
                <w:b w:val="1"/>
                <w:bCs w:val="1"/>
                <w:color w:val="auto"/>
              </w:rPr>
              <w:t>THIRTEEN AND TWENTY-</w:t>
            </w:r>
          </w:p>
        </w:tc>
        <w:tc>
          <w:tcPr>
            <w:tcW w:w="0" w:type="dxa"/>
            <w:vAlign w:val="bottom"/>
          </w:tcPr>
          <w:p>
            <w:pPr>
              <w:spacing w:after="0"/>
              <w:rPr>
                <w:sz w:val="1"/>
                <w:szCs w:val="1"/>
                <w:color w:val="auto"/>
              </w:rPr>
            </w:pPr>
          </w:p>
        </w:tc>
      </w:tr>
      <w:tr>
        <w:trPr>
          <w:trHeight w:val="203"/>
        </w:trPr>
        <w:tc>
          <w:tcPr>
            <w:tcW w:w="3860" w:type="dxa"/>
            <w:vAlign w:val="bottom"/>
            <w:vMerge w:val="restart"/>
          </w:tcPr>
          <w:p>
            <w:pPr>
              <w:ind w:left="1440"/>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Pr>
          <w:p>
            <w:pPr>
              <w:spacing w:after="0"/>
              <w:rPr>
                <w:sz w:val="17"/>
                <w:szCs w:val="17"/>
                <w:color w:val="auto"/>
              </w:rPr>
            </w:pPr>
          </w:p>
        </w:tc>
        <w:tc>
          <w:tcPr>
            <w:tcW w:w="5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LOCATION OF CHARGE IN THE CONSOLIDATED STATEMENT OF</w:t>
            </w:r>
          </w:p>
        </w:tc>
        <w:tc>
          <w:tcPr>
            <w:tcW w:w="100" w:type="dxa"/>
            <w:vAlign w:val="bottom"/>
          </w:tcPr>
          <w:p>
            <w:pPr>
              <w:spacing w:after="0"/>
              <w:rPr>
                <w:sz w:val="17"/>
                <w:szCs w:val="17"/>
                <w:color w:val="auto"/>
              </w:rPr>
            </w:pPr>
          </w:p>
        </w:tc>
        <w:tc>
          <w:tcPr>
            <w:tcW w:w="1920" w:type="dxa"/>
            <w:vAlign w:val="bottom"/>
          </w:tcPr>
          <w:p>
            <w:pPr>
              <w:jc w:val="center"/>
              <w:ind w:right="23"/>
              <w:spacing w:after="0"/>
              <w:rPr>
                <w:sz w:val="20"/>
                <w:szCs w:val="20"/>
                <w:color w:val="auto"/>
              </w:rPr>
            </w:pPr>
            <w:r>
              <w:rPr>
                <w:rFonts w:ascii="Arial" w:cs="Arial" w:eastAsia="Arial" w:hAnsi="Arial"/>
                <w:sz w:val="14"/>
                <w:szCs w:val="14"/>
                <w:b w:val="1"/>
                <w:bCs w:val="1"/>
                <w:color w:val="auto"/>
              </w:rPr>
              <w:t>SIX WEEKS ENDED</w:t>
            </w:r>
          </w:p>
        </w:tc>
        <w:tc>
          <w:tcPr>
            <w:tcW w:w="0" w:type="dxa"/>
            <w:vAlign w:val="bottom"/>
          </w:tcPr>
          <w:p>
            <w:pPr>
              <w:spacing w:after="0"/>
              <w:rPr>
                <w:sz w:val="1"/>
                <w:szCs w:val="1"/>
                <w:color w:val="auto"/>
              </w:rPr>
            </w:pPr>
          </w:p>
        </w:tc>
      </w:tr>
      <w:tr>
        <w:trPr>
          <w:trHeight w:val="205"/>
        </w:trPr>
        <w:tc>
          <w:tcPr>
            <w:tcW w:w="38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OPERATIONS AND COMPREHENSIVE (LOSS) INCOME</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center"/>
              <w:ind w:right="23"/>
              <w:spacing w:after="0"/>
              <w:rPr>
                <w:sz w:val="20"/>
                <w:szCs w:val="20"/>
                <w:color w:val="auto"/>
              </w:rPr>
            </w:pPr>
            <w:r>
              <w:rPr>
                <w:rFonts w:ascii="Arial" w:cs="Arial" w:eastAsia="Arial" w:hAnsi="Arial"/>
                <w:sz w:val="14"/>
                <w:szCs w:val="14"/>
                <w:b w:val="1"/>
                <w:bCs w:val="1"/>
                <w:color w:val="auto"/>
                <w:w w:val="93"/>
              </w:rPr>
              <w:t>JUNE 28, 2020</w:t>
            </w:r>
          </w:p>
        </w:tc>
        <w:tc>
          <w:tcPr>
            <w:tcW w:w="0" w:type="dxa"/>
            <w:vAlign w:val="bottom"/>
          </w:tcPr>
          <w:p>
            <w:pPr>
              <w:spacing w:after="0"/>
              <w:rPr>
                <w:sz w:val="1"/>
                <w:szCs w:val="1"/>
                <w:color w:val="auto"/>
              </w:rPr>
            </w:pPr>
          </w:p>
        </w:tc>
      </w:tr>
      <w:tr>
        <w:trPr>
          <w:trHeight w:val="236"/>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fixtures and equipment impairments</w:t>
            </w:r>
          </w:p>
        </w:tc>
        <w:tc>
          <w:tcPr>
            <w:tcW w:w="100" w:type="dxa"/>
            <w:vAlign w:val="bottom"/>
            <w:tcBorders>
              <w:bottom w:val="single" w:sz="8" w:color="CCEEFF"/>
            </w:tcBorders>
            <w:shd w:val="clear" w:color="auto" w:fill="CCEEFF"/>
          </w:tcPr>
          <w:p>
            <w:pPr>
              <w:spacing w:after="0"/>
              <w:rPr>
                <w:sz w:val="20"/>
                <w:szCs w:val="20"/>
                <w:color w:val="auto"/>
              </w:rPr>
            </w:pPr>
          </w:p>
        </w:tc>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Provision for impaired assets and restaurant closings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16,932</w:t>
            </w:r>
          </w:p>
        </w:tc>
        <w:tc>
          <w:tcPr>
            <w:tcW w:w="0" w:type="dxa"/>
            <w:vAlign w:val="bottom"/>
          </w:tcPr>
          <w:p>
            <w:pPr>
              <w:spacing w:after="0"/>
              <w:rPr>
                <w:sz w:val="1"/>
                <w:szCs w:val="1"/>
                <w:color w:val="auto"/>
              </w:rPr>
            </w:pPr>
          </w:p>
        </w:tc>
      </w:tr>
      <w:tr>
        <w:trPr>
          <w:trHeight w:val="224"/>
        </w:trPr>
        <w:tc>
          <w:tcPr>
            <w:tcW w:w="3860" w:type="dxa"/>
            <w:vAlign w:val="bottom"/>
          </w:tcPr>
          <w:p>
            <w:pPr>
              <w:ind w:left="20"/>
              <w:spacing w:after="0"/>
              <w:rPr>
                <w:sz w:val="20"/>
                <w:szCs w:val="20"/>
                <w:color w:val="auto"/>
              </w:rPr>
            </w:pPr>
            <w:r>
              <w:rPr>
                <w:rFonts w:ascii="Arial" w:cs="Arial" w:eastAsia="Arial" w:hAnsi="Arial"/>
                <w:sz w:val="16"/>
                <w:szCs w:val="16"/>
                <w:color w:val="auto"/>
                <w:w w:val="97"/>
              </w:rPr>
              <w:t>Lease right-of-use asset impairments and closing costs</w:t>
            </w:r>
          </w:p>
        </w:tc>
        <w:tc>
          <w:tcPr>
            <w:tcW w:w="100" w:type="dxa"/>
            <w:vAlign w:val="bottom"/>
          </w:tcPr>
          <w:p>
            <w:pPr>
              <w:spacing w:after="0"/>
              <w:rPr>
                <w:sz w:val="19"/>
                <w:szCs w:val="19"/>
                <w:color w:val="auto"/>
              </w:rPr>
            </w:pPr>
          </w:p>
        </w:tc>
        <w:tc>
          <w:tcPr>
            <w:tcW w:w="5260" w:type="dxa"/>
            <w:vAlign w:val="bottom"/>
            <w:gridSpan w:val="2"/>
          </w:tcPr>
          <w:p>
            <w:pPr>
              <w:ind w:left="20"/>
              <w:spacing w:after="0"/>
              <w:rPr>
                <w:sz w:val="20"/>
                <w:szCs w:val="20"/>
                <w:color w:val="auto"/>
              </w:rPr>
            </w:pPr>
            <w:r>
              <w:rPr>
                <w:rFonts w:ascii="Arial" w:cs="Arial" w:eastAsia="Arial" w:hAnsi="Arial"/>
                <w:sz w:val="16"/>
                <w:szCs w:val="16"/>
                <w:color w:val="auto"/>
              </w:rPr>
              <w:t>Provision for impaired assets and restaurant closings</w:t>
            </w:r>
          </w:p>
        </w:tc>
        <w:tc>
          <w:tcPr>
            <w:tcW w:w="100" w:type="dxa"/>
            <w:vAlign w:val="bottom"/>
          </w:tcPr>
          <w:p>
            <w:pPr>
              <w:spacing w:after="0"/>
              <w:rPr>
                <w:sz w:val="19"/>
                <w:szCs w:val="19"/>
                <w:color w:val="auto"/>
              </w:rPr>
            </w:pPr>
          </w:p>
        </w:tc>
        <w:tc>
          <w:tcPr>
            <w:tcW w:w="1920" w:type="dxa"/>
            <w:vAlign w:val="bottom"/>
          </w:tcPr>
          <w:p>
            <w:pPr>
              <w:jc w:val="right"/>
              <w:ind w:right="63"/>
              <w:spacing w:after="0"/>
              <w:rPr>
                <w:sz w:val="20"/>
                <w:szCs w:val="20"/>
                <w:color w:val="auto"/>
              </w:rPr>
            </w:pPr>
            <w:r>
              <w:rPr>
                <w:rFonts w:ascii="Arial" w:cs="Arial" w:eastAsia="Arial" w:hAnsi="Arial"/>
                <w:sz w:val="16"/>
                <w:szCs w:val="16"/>
                <w:color w:val="auto"/>
              </w:rPr>
              <w:t>3,920</w:t>
            </w:r>
          </w:p>
        </w:tc>
        <w:tc>
          <w:tcPr>
            <w:tcW w:w="0" w:type="dxa"/>
            <w:vAlign w:val="bottom"/>
          </w:tcPr>
          <w:p>
            <w:pPr>
              <w:spacing w:after="0"/>
              <w:rPr>
                <w:sz w:val="1"/>
                <w:szCs w:val="1"/>
                <w:color w:val="auto"/>
              </w:rPr>
            </w:pPr>
          </w:p>
        </w:tc>
      </w:tr>
      <w:tr>
        <w:trPr>
          <w:trHeight w:val="33"/>
        </w:trPr>
        <w:tc>
          <w:tcPr>
            <w:tcW w:w="3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Severance and other expenses</w:t>
            </w:r>
          </w:p>
        </w:tc>
        <w:tc>
          <w:tcPr>
            <w:tcW w:w="100" w:type="dxa"/>
            <w:vAlign w:val="bottom"/>
            <w:tcBorders>
              <w:bottom w:val="single" w:sz="8" w:color="CCEEFF"/>
            </w:tcBorders>
            <w:shd w:val="clear" w:color="auto" w:fill="CCEEFF"/>
          </w:tcPr>
          <w:p>
            <w:pPr>
              <w:spacing w:after="0"/>
              <w:rPr>
                <w:sz w:val="22"/>
                <w:szCs w:val="22"/>
                <w:color w:val="auto"/>
              </w:rPr>
            </w:pPr>
          </w:p>
        </w:tc>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100" w:type="dxa"/>
            <w:vAlign w:val="bottom"/>
            <w:tcBorders>
              <w:bottom w:val="single" w:sz="8" w:color="auto"/>
            </w:tcBorders>
            <w:shd w:val="clear" w:color="auto" w:fill="CCEEFF"/>
          </w:tcPr>
          <w:p>
            <w:pPr>
              <w:spacing w:after="0"/>
              <w:rPr>
                <w:sz w:val="22"/>
                <w:szCs w:val="22"/>
                <w:color w:val="auto"/>
              </w:rPr>
            </w:pPr>
          </w:p>
        </w:tc>
        <w:tc>
          <w:tcPr>
            <w:tcW w:w="19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6"/>
                <w:szCs w:val="16"/>
                <w:color w:val="auto"/>
              </w:rPr>
              <w:t>1,160</w:t>
            </w:r>
          </w:p>
        </w:tc>
        <w:tc>
          <w:tcPr>
            <w:tcW w:w="0" w:type="dxa"/>
            <w:vAlign w:val="bottom"/>
          </w:tcPr>
          <w:p>
            <w:pPr>
              <w:spacing w:after="0"/>
              <w:rPr>
                <w:sz w:val="1"/>
                <w:szCs w:val="1"/>
                <w:color w:val="auto"/>
              </w:rPr>
            </w:pPr>
          </w:p>
        </w:tc>
      </w:tr>
      <w:tr>
        <w:trPr>
          <w:trHeight w:val="224"/>
        </w:trPr>
        <w:tc>
          <w:tcPr>
            <w:tcW w:w="3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Pr>
          <w:p>
            <w:pPr>
              <w:jc w:val="right"/>
              <w:ind w:right="63"/>
              <w:spacing w:after="0"/>
              <w:rPr>
                <w:sz w:val="20"/>
                <w:szCs w:val="20"/>
                <w:color w:val="auto"/>
              </w:rPr>
            </w:pPr>
            <w:r>
              <w:rPr>
                <w:rFonts w:ascii="Arial" w:cs="Arial" w:eastAsia="Arial" w:hAnsi="Arial"/>
                <w:sz w:val="16"/>
                <w:szCs w:val="16"/>
                <w:color w:val="auto"/>
              </w:rPr>
              <w:t>22,012</w:t>
            </w:r>
          </w:p>
        </w:tc>
        <w:tc>
          <w:tcPr>
            <w:tcW w:w="0" w:type="dxa"/>
            <w:vAlign w:val="bottom"/>
          </w:tcPr>
          <w:p>
            <w:pPr>
              <w:spacing w:after="0"/>
              <w:rPr>
                <w:sz w:val="1"/>
                <w:szCs w:val="1"/>
                <w:color w:val="auto"/>
              </w:rPr>
            </w:pPr>
          </w:p>
        </w:tc>
      </w:tr>
      <w:tr>
        <w:trPr>
          <w:trHeight w:val="33"/>
        </w:trPr>
        <w:tc>
          <w:tcPr>
            <w:tcW w:w="3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 remaining impairment and closing charges during the periods presented resulted primarily from locations identified for remodel, relocation or closure and certain other assets.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BLOOMIN’ BRANDS, INC.</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(UNAUDITED) - Continued</w:t>
      </w:r>
    </w:p>
    <w:p>
      <w:pPr>
        <w:spacing w:after="0" w:line="348" w:lineRule="exact"/>
        <w:rPr>
          <w:sz w:val="20"/>
          <w:szCs w:val="20"/>
          <w:color w:val="auto"/>
        </w:rPr>
      </w:pPr>
    </w:p>
    <w:p>
      <w:pPr>
        <w:spacing w:after="0" w:line="260" w:lineRule="auto"/>
        <w:rPr>
          <w:sz w:val="20"/>
          <w:szCs w:val="20"/>
          <w:color w:val="auto"/>
        </w:rPr>
      </w:pPr>
      <w:r>
        <w:rPr>
          <w:rFonts w:ascii="Arial" w:cs="Arial" w:eastAsia="Arial" w:hAnsi="Arial"/>
          <w:sz w:val="20"/>
          <w:szCs w:val="20"/>
          <w:i w:val="1"/>
          <w:iCs w:val="1"/>
          <w:color w:val="auto"/>
        </w:rPr>
        <w:t xml:space="preserve">Accrued Facility Closure and Other Costs Rollforward </w:t>
      </w:r>
      <w:r>
        <w:rPr>
          <w:rFonts w:ascii="Arial" w:cs="Arial" w:eastAsia="Arial" w:hAnsi="Arial"/>
          <w:sz w:val="20"/>
          <w:szCs w:val="20"/>
          <w:color w:val="auto"/>
        </w:rPr>
        <w:t>- The following table summarizes the Company’s accrual activity related to certain</w:t>
      </w:r>
      <w:r>
        <w:rPr>
          <w:rFonts w:ascii="Arial" w:cs="Arial" w:eastAsia="Arial" w:hAnsi="Arial"/>
          <w:sz w:val="20"/>
          <w:szCs w:val="20"/>
          <w:i w:val="1"/>
          <w:iCs w:val="1"/>
          <w:color w:val="auto"/>
        </w:rPr>
        <w:t xml:space="preserve"> </w:t>
      </w:r>
      <w:r>
        <w:rPr>
          <w:rFonts w:ascii="Arial" w:cs="Arial" w:eastAsia="Arial" w:hAnsi="Arial"/>
          <w:sz w:val="20"/>
          <w:szCs w:val="20"/>
          <w:color w:val="auto"/>
        </w:rPr>
        <w:t>closure and restructuring initiatives, for the period indicated:</w:t>
      </w:r>
    </w:p>
    <w:p>
      <w:pPr>
        <w:sectPr>
          <w:pgSz w:w="11900" w:h="16838" w:orient="portrait"/>
          <w:cols w:equalWidth="0" w:num="1">
            <w:col w:w="11240"/>
          </w:cols>
          <w:pgMar w:left="320" w:top="122" w:right="339" w:bottom="1440" w:gutter="0" w:footer="0" w:header="0"/>
        </w:sectPr>
      </w:pPr>
    </w:p>
    <w:p>
      <w:pPr>
        <w:spacing w:after="0" w:line="40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(dollars in thousands)</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Balance, beginning of the period</w:t>
      </w:r>
    </w:p>
    <w:p>
      <w:pPr>
        <w:spacing w:after="0" w:line="9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Additions</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Cash payments</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Accretion</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Adjustments</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6"/>
          <w:szCs w:val="16"/>
          <w:color w:val="auto"/>
        </w:rPr>
        <w:t>Balance, end of the period (1)</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280" w:type="dxa"/>
            <w:vAlign w:val="bottom"/>
          </w:tcPr>
          <w:p>
            <w:pPr>
              <w:spacing w:after="0"/>
              <w:rPr>
                <w:sz w:val="16"/>
                <w:szCs w:val="16"/>
                <w:color w:val="auto"/>
              </w:rPr>
            </w:pPr>
          </w:p>
        </w:tc>
        <w:tc>
          <w:tcPr>
            <w:tcW w:w="2660" w:type="dxa"/>
            <w:vAlign w:val="bottom"/>
          </w:tcPr>
          <w:p>
            <w:pPr>
              <w:jc w:val="right"/>
              <w:ind w:right="381"/>
              <w:spacing w:after="0"/>
              <w:rPr>
                <w:sz w:val="20"/>
                <w:szCs w:val="20"/>
                <w:color w:val="auto"/>
              </w:rPr>
            </w:pPr>
            <w:r>
              <w:rPr>
                <w:rFonts w:ascii="Arial" w:cs="Arial" w:eastAsia="Arial" w:hAnsi="Arial"/>
                <w:sz w:val="14"/>
                <w:szCs w:val="14"/>
                <w:b w:val="1"/>
                <w:bCs w:val="1"/>
                <w:color w:val="auto"/>
              </w:rPr>
              <w:t>TWENTY-SIX WEEKS ENDED</w:t>
            </w:r>
          </w:p>
        </w:tc>
      </w:tr>
      <w:tr>
        <w:trPr>
          <w:trHeight w:val="222"/>
        </w:trPr>
        <w:tc>
          <w:tcPr>
            <w:tcW w:w="28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tcPr>
          <w:p>
            <w:pPr>
              <w:jc w:val="right"/>
              <w:ind w:right="941"/>
              <w:spacing w:after="0"/>
              <w:rPr>
                <w:sz w:val="20"/>
                <w:szCs w:val="20"/>
                <w:color w:val="auto"/>
              </w:rPr>
            </w:pPr>
            <w:r>
              <w:rPr>
                <w:rFonts w:ascii="Arial" w:cs="Arial" w:eastAsia="Arial" w:hAnsi="Arial"/>
                <w:sz w:val="14"/>
                <w:szCs w:val="14"/>
                <w:b w:val="1"/>
                <w:bCs w:val="1"/>
                <w:color w:val="auto"/>
              </w:rPr>
              <w:t>JUNE 28, 2020</w:t>
            </w:r>
          </w:p>
        </w:tc>
      </w:tr>
      <w:tr>
        <w:trPr>
          <w:trHeight w:val="224"/>
        </w:trPr>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2660" w:type="dxa"/>
            <w:vAlign w:val="bottom"/>
          </w:tcPr>
          <w:p>
            <w:pPr>
              <w:jc w:val="right"/>
              <w:ind w:right="61"/>
              <w:spacing w:after="0"/>
              <w:rPr>
                <w:sz w:val="20"/>
                <w:szCs w:val="20"/>
                <w:color w:val="auto"/>
              </w:rPr>
            </w:pPr>
            <w:r>
              <w:rPr>
                <w:rFonts w:ascii="Arial" w:cs="Arial" w:eastAsia="Arial" w:hAnsi="Arial"/>
                <w:sz w:val="16"/>
                <w:szCs w:val="16"/>
                <w:color w:val="auto"/>
              </w:rPr>
              <w:t>14,542</w:t>
            </w:r>
          </w:p>
        </w:tc>
      </w:tr>
      <w:tr>
        <w:trPr>
          <w:trHeight w:val="256"/>
        </w:trPr>
        <w:tc>
          <w:tcPr>
            <w:tcW w:w="280" w:type="dxa"/>
            <w:vAlign w:val="bottom"/>
          </w:tcPr>
          <w:p>
            <w:pPr>
              <w:spacing w:after="0"/>
              <w:rPr>
                <w:sz w:val="22"/>
                <w:szCs w:val="22"/>
                <w:color w:val="auto"/>
              </w:rPr>
            </w:pPr>
          </w:p>
        </w:tc>
        <w:tc>
          <w:tcPr>
            <w:tcW w:w="2660" w:type="dxa"/>
            <w:vAlign w:val="bottom"/>
          </w:tcPr>
          <w:p>
            <w:pPr>
              <w:jc w:val="right"/>
              <w:ind w:right="61"/>
              <w:spacing w:after="0"/>
              <w:rPr>
                <w:sz w:val="20"/>
                <w:szCs w:val="20"/>
                <w:color w:val="auto"/>
              </w:rPr>
            </w:pPr>
            <w:r>
              <w:rPr>
                <w:rFonts w:ascii="Arial" w:cs="Arial" w:eastAsia="Arial" w:hAnsi="Arial"/>
                <w:sz w:val="16"/>
                <w:szCs w:val="16"/>
                <w:color w:val="auto"/>
              </w:rPr>
              <w:t>2,103</w:t>
            </w:r>
          </w:p>
        </w:tc>
      </w:tr>
      <w:tr>
        <w:trPr>
          <w:trHeight w:val="257"/>
        </w:trPr>
        <w:tc>
          <w:tcPr>
            <w:tcW w:w="280" w:type="dxa"/>
            <w:vAlign w:val="bottom"/>
          </w:tcPr>
          <w:p>
            <w:pPr>
              <w:spacing w:after="0"/>
              <w:rPr>
                <w:sz w:val="22"/>
                <w:szCs w:val="22"/>
                <w:color w:val="auto"/>
              </w:rPr>
            </w:pPr>
          </w:p>
        </w:tc>
        <w:tc>
          <w:tcPr>
            <w:tcW w:w="2660" w:type="dxa"/>
            <w:vAlign w:val="bottom"/>
          </w:tcPr>
          <w:p>
            <w:pPr>
              <w:jc w:val="right"/>
              <w:ind w:right="21"/>
              <w:spacing w:after="0"/>
              <w:rPr>
                <w:sz w:val="20"/>
                <w:szCs w:val="20"/>
                <w:color w:val="auto"/>
              </w:rPr>
            </w:pPr>
            <w:r>
              <w:rPr>
                <w:rFonts w:ascii="Arial" w:cs="Arial" w:eastAsia="Arial" w:hAnsi="Arial"/>
                <w:sz w:val="16"/>
                <w:szCs w:val="16"/>
                <w:color w:val="auto"/>
              </w:rPr>
              <w:t>(1,994)</w:t>
            </w:r>
          </w:p>
        </w:tc>
      </w:tr>
      <w:tr>
        <w:trPr>
          <w:trHeight w:val="257"/>
        </w:trPr>
        <w:tc>
          <w:tcPr>
            <w:tcW w:w="280" w:type="dxa"/>
            <w:vAlign w:val="bottom"/>
          </w:tcPr>
          <w:p>
            <w:pPr>
              <w:spacing w:after="0"/>
              <w:rPr>
                <w:sz w:val="22"/>
                <w:szCs w:val="22"/>
                <w:color w:val="auto"/>
              </w:rPr>
            </w:pPr>
          </w:p>
        </w:tc>
        <w:tc>
          <w:tcPr>
            <w:tcW w:w="2660" w:type="dxa"/>
            <w:vAlign w:val="bottom"/>
          </w:tcPr>
          <w:p>
            <w:pPr>
              <w:jc w:val="right"/>
              <w:ind w:right="61"/>
              <w:spacing w:after="0"/>
              <w:rPr>
                <w:sz w:val="20"/>
                <w:szCs w:val="20"/>
                <w:color w:val="auto"/>
              </w:rPr>
            </w:pPr>
            <w:r>
              <w:rPr>
                <w:rFonts w:ascii="Arial" w:cs="Arial" w:eastAsia="Arial" w:hAnsi="Arial"/>
                <w:sz w:val="16"/>
                <w:szCs w:val="16"/>
                <w:color w:val="auto"/>
              </w:rPr>
              <w:t>566</w:t>
            </w:r>
          </w:p>
        </w:tc>
      </w:tr>
      <w:tr>
        <w:trPr>
          <w:trHeight w:val="257"/>
        </w:trPr>
        <w:tc>
          <w:tcPr>
            <w:tcW w:w="280" w:type="dxa"/>
            <w:vAlign w:val="bottom"/>
          </w:tcPr>
          <w:p>
            <w:pPr>
              <w:spacing w:after="0"/>
              <w:rPr>
                <w:sz w:val="22"/>
                <w:szCs w:val="22"/>
                <w:color w:val="auto"/>
              </w:rPr>
            </w:pPr>
          </w:p>
        </w:tc>
        <w:tc>
          <w:tcPr>
            <w:tcW w:w="2660" w:type="dxa"/>
            <w:vAlign w:val="bottom"/>
          </w:tcPr>
          <w:p>
            <w:pPr>
              <w:jc w:val="right"/>
              <w:ind w:right="61"/>
              <w:spacing w:after="0"/>
              <w:rPr>
                <w:sz w:val="20"/>
                <w:szCs w:val="20"/>
                <w:color w:val="auto"/>
              </w:rPr>
            </w:pPr>
            <w:r>
              <w:rPr>
                <w:rFonts w:ascii="Arial" w:cs="Arial" w:eastAsia="Arial" w:hAnsi="Arial"/>
                <w:sz w:val="16"/>
                <w:szCs w:val="16"/>
                <w:color w:val="auto"/>
              </w:rPr>
              <w:t>723</w:t>
            </w:r>
          </w:p>
        </w:tc>
      </w:tr>
      <w:tr>
        <w:trPr>
          <w:trHeight w:val="40"/>
        </w:trPr>
        <w:tc>
          <w:tcPr>
            <w:tcW w:w="280" w:type="dxa"/>
            <w:vAlign w:val="bottom"/>
            <w:tcBorders>
              <w:bottom w:val="single" w:sz="8" w:color="auto"/>
            </w:tcBorders>
          </w:tcPr>
          <w:p>
            <w:pPr>
              <w:spacing w:after="0"/>
              <w:rPr>
                <w:sz w:val="3"/>
                <w:szCs w:val="3"/>
                <w:color w:val="auto"/>
              </w:rPr>
            </w:pPr>
          </w:p>
        </w:tc>
        <w:tc>
          <w:tcPr>
            <w:tcW w:w="2660" w:type="dxa"/>
            <w:vAlign w:val="bottom"/>
            <w:tcBorders>
              <w:bottom w:val="single" w:sz="8" w:color="auto"/>
            </w:tcBorders>
          </w:tcPr>
          <w:p>
            <w:pPr>
              <w:spacing w:after="0"/>
              <w:rPr>
                <w:sz w:val="3"/>
                <w:szCs w:val="3"/>
                <w:color w:val="auto"/>
              </w:rPr>
            </w:pPr>
          </w:p>
        </w:tc>
      </w:tr>
      <w:tr>
        <w:trPr>
          <w:trHeight w:val="224"/>
        </w:trPr>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2660" w:type="dxa"/>
            <w:vAlign w:val="bottom"/>
          </w:tcPr>
          <w:p>
            <w:pPr>
              <w:jc w:val="right"/>
              <w:ind w:right="61"/>
              <w:spacing w:after="0"/>
              <w:rPr>
                <w:sz w:val="20"/>
                <w:szCs w:val="20"/>
                <w:color w:val="auto"/>
              </w:rPr>
            </w:pPr>
            <w:r>
              <w:rPr>
                <w:rFonts w:ascii="Arial" w:cs="Arial" w:eastAsia="Arial" w:hAnsi="Arial"/>
                <w:sz w:val="16"/>
                <w:szCs w:val="16"/>
                <w:color w:val="auto"/>
              </w:rPr>
              <w:t>15,940</w:t>
            </w:r>
          </w:p>
        </w:tc>
      </w:tr>
      <w:tr>
        <w:trPr>
          <w:trHeight w:val="33"/>
        </w:trPr>
        <w:tc>
          <w:tcPr>
            <w:tcW w:w="28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r>
      <w:tr>
        <w:trPr>
          <w:trHeight w:val="21"/>
        </w:trPr>
        <w:tc>
          <w:tcPr>
            <w:tcW w:w="28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-5264785</wp:posOffset>
            </wp:positionH>
            <wp:positionV relativeFrom="paragraph">
              <wp:posOffset>-1036320</wp:posOffset>
            </wp:positionV>
            <wp:extent cx="71323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-5264785</wp:posOffset>
            </wp:positionH>
            <wp:positionV relativeFrom="paragraph">
              <wp:posOffset>-702310</wp:posOffset>
            </wp:positionV>
            <wp:extent cx="7132320" cy="1625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-5264785</wp:posOffset>
            </wp:positionH>
            <wp:positionV relativeFrom="paragraph">
              <wp:posOffset>-376555</wp:posOffset>
            </wp:positionV>
            <wp:extent cx="71323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52" w:lineRule="exact"/>
        <w:rPr>
          <w:sz w:val="20"/>
          <w:szCs w:val="20"/>
          <w:color w:val="auto"/>
        </w:rPr>
      </w:pPr>
    </w:p>
    <w:p>
      <w:pPr>
        <w:sectPr>
          <w:pgSz w:w="11900" w:h="16838" w:orient="portrait"/>
          <w:cols w:equalWidth="0" w:num="2">
            <w:col w:w="7580" w:space="720"/>
            <w:col w:w="2940"/>
          </w:cols>
          <w:pgMar w:left="320" w:top="122" w:right="339" w:bottom="1440" w:gutter="0" w:footer="0" w:header="0"/>
          <w:type w:val="continuous"/>
        </w:sectPr>
      </w:pPr>
    </w:p>
    <w:p>
      <w:pPr>
        <w:spacing w:after="0"/>
        <w:rPr>
          <w:sz w:val="20"/>
          <w:szCs w:val="20"/>
          <w:color w:val="auto"/>
        </w:rPr>
      </w:pPr>
      <w:r>
        <w:rPr>
          <w:rFonts w:ascii="Arial" w:cs="Arial" w:eastAsia="Arial" w:hAnsi="Arial"/>
          <w:sz w:val="16"/>
          <w:szCs w:val="16"/>
          <w:color w:val="auto"/>
        </w:rPr>
        <w:t>________________</w:t>
      </w:r>
    </w:p>
    <w:p>
      <w:pPr>
        <w:spacing w:after="0" w:line="19" w:lineRule="exact"/>
        <w:rPr>
          <w:sz w:val="20"/>
          <w:szCs w:val="20"/>
          <w:color w:val="auto"/>
        </w:rPr>
      </w:pPr>
    </w:p>
    <w:p>
      <w:pPr>
        <w:ind w:left="660" w:hanging="652"/>
        <w:spacing w:after="0" w:line="257"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As of June 28, 2020, the Company had exit-related accruals related to certain closure and restructuring initiatives of $4.8 million recorded in Accrued and other current liabilities and $11.1 million recorded in Non-current operating lease liabilities on its Consolidated Balance Sheet.</w:t>
      </w:r>
    </w:p>
    <w:p>
      <w:pPr>
        <w:spacing w:after="0" w:line="20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252525"/>
        </w:rPr>
        <w:t xml:space="preserve">Refranchising </w:t>
      </w:r>
      <w:r>
        <w:rPr>
          <w:rFonts w:ascii="Arial" w:cs="Arial" w:eastAsia="Arial" w:hAnsi="Arial"/>
          <w:sz w:val="20"/>
          <w:szCs w:val="20"/>
          <w:color w:val="252525"/>
        </w:rPr>
        <w:t xml:space="preserve">- During the thirteen weeks ended March 31, 2019, the Company completed the sale of 18 of its existing U.S. Company-owned Carrabba’s Italian Grill locations to an existing franchisee for cash proceeds of $3.6 million, net of certain purchase price adjustments. The Company remains contingently liable on certain real estate lease agreements assigned to the buyer. See Note </w:t>
      </w:r>
      <w:r>
        <w:rPr>
          <w:rFonts w:ascii="Arial" w:cs="Arial" w:eastAsia="Arial" w:hAnsi="Arial"/>
          <w:sz w:val="20"/>
          <w:szCs w:val="20"/>
          <w:color w:val="000000"/>
        </w:rPr>
        <w:t>20 -</w:t>
      </w:r>
      <w:r>
        <w:rPr>
          <w:rFonts w:ascii="Arial" w:cs="Arial" w:eastAsia="Arial" w:hAnsi="Arial"/>
          <w:sz w:val="20"/>
          <w:szCs w:val="20"/>
          <w:color w:val="252525"/>
        </w:rPr>
        <w:t xml:space="preserve"> </w:t>
      </w:r>
      <w:r>
        <w:rPr>
          <w:rFonts w:ascii="Arial" w:cs="Arial" w:eastAsia="Arial" w:hAnsi="Arial"/>
          <w:sz w:val="20"/>
          <w:szCs w:val="20"/>
          <w:i w:val="1"/>
          <w:iCs w:val="1"/>
          <w:color w:val="000000"/>
        </w:rPr>
        <w:t>Commitments and</w:t>
      </w:r>
      <w:r>
        <w:rPr>
          <w:rFonts w:ascii="Arial" w:cs="Arial" w:eastAsia="Arial" w:hAnsi="Arial"/>
          <w:sz w:val="20"/>
          <w:szCs w:val="20"/>
          <w:color w:val="252525"/>
        </w:rPr>
        <w:t xml:space="preserve"> </w:t>
      </w:r>
      <w:r>
        <w:rPr>
          <w:rFonts w:ascii="Arial" w:cs="Arial" w:eastAsia="Arial" w:hAnsi="Arial"/>
          <w:sz w:val="20"/>
          <w:szCs w:val="20"/>
          <w:i w:val="1"/>
          <w:iCs w:val="1"/>
          <w:color w:val="000000"/>
        </w:rPr>
        <w:t xml:space="preserve">Contingencies </w:t>
      </w:r>
      <w:r>
        <w:rPr>
          <w:rFonts w:ascii="Arial" w:cs="Arial" w:eastAsia="Arial" w:hAnsi="Arial"/>
          <w:sz w:val="20"/>
          <w:szCs w:val="20"/>
          <w:color w:val="252525"/>
        </w:rPr>
        <w:t>for additional details regarding lease guarantees</w:t>
      </w:r>
      <w:r>
        <w:rPr>
          <w:rFonts w:ascii="Arial" w:cs="Arial" w:eastAsia="Arial" w:hAnsi="Arial"/>
          <w:sz w:val="20"/>
          <w:szCs w:val="20"/>
          <w:color w:val="000000"/>
        </w:rPr>
        <w:t>.</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5. (Loss) Earnings Per Share</w:t>
      </w:r>
    </w:p>
    <w:p>
      <w:pPr>
        <w:spacing w:after="0" w:line="24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following table presents the computation of basic and diluted (loss) earnings per share attributable to common stockholders for the periods indicated: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4"/>
                <w:szCs w:val="14"/>
                <w:b w:val="1"/>
                <w:bCs w:val="1"/>
                <w:color w:val="auto"/>
              </w:rPr>
              <w:t>TWENTY-SIX WEEKS ENDED</w:t>
            </w:r>
          </w:p>
        </w:tc>
      </w:tr>
      <w:tr>
        <w:trPr>
          <w:trHeight w:val="210"/>
        </w:trPr>
        <w:tc>
          <w:tcPr>
            <w:tcW w:w="20" w:type="dxa"/>
            <w:vAlign w:val="bottom"/>
          </w:tcPr>
          <w:p>
            <w:pPr>
              <w:spacing w:after="0"/>
              <w:rPr>
                <w:sz w:val="18"/>
                <w:szCs w:val="18"/>
                <w:color w:val="auto"/>
              </w:rPr>
            </w:pPr>
          </w:p>
        </w:tc>
        <w:tc>
          <w:tcPr>
            <w:tcW w:w="5380" w:type="dxa"/>
            <w:vAlign w:val="bottom"/>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16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28, 2020</w:t>
            </w:r>
          </w:p>
        </w:tc>
        <w:tc>
          <w:tcPr>
            <w:tcW w:w="160" w:type="dxa"/>
            <w:vAlign w:val="bottom"/>
          </w:tcPr>
          <w:p>
            <w:pPr>
              <w:spacing w:after="0"/>
              <w:rPr>
                <w:sz w:val="18"/>
                <w:szCs w:val="18"/>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2019</w:t>
            </w:r>
          </w:p>
        </w:tc>
        <w:tc>
          <w:tcPr>
            <w:tcW w:w="160" w:type="dxa"/>
            <w:vAlign w:val="bottom"/>
          </w:tcPr>
          <w:p>
            <w:pPr>
              <w:spacing w:after="0"/>
              <w:rPr>
                <w:sz w:val="18"/>
                <w:szCs w:val="18"/>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28, 2020</w:t>
            </w:r>
          </w:p>
        </w:tc>
        <w:tc>
          <w:tcPr>
            <w:tcW w:w="180" w:type="dxa"/>
            <w:vAlign w:val="bottom"/>
          </w:tcPr>
          <w:p>
            <w:pPr>
              <w:spacing w:after="0"/>
              <w:rPr>
                <w:sz w:val="18"/>
                <w:szCs w:val="18"/>
                <w:color w:val="auto"/>
              </w:rPr>
            </w:pPr>
          </w:p>
        </w:tc>
        <w:tc>
          <w:tcPr>
            <w:tcW w:w="1200" w:type="dxa"/>
            <w:vAlign w:val="bottom"/>
          </w:tcPr>
          <w:p>
            <w:pPr>
              <w:jc w:val="right"/>
              <w:ind w:right="140"/>
              <w:spacing w:after="0"/>
              <w:rPr>
                <w:sz w:val="20"/>
                <w:szCs w:val="20"/>
                <w:color w:val="auto"/>
              </w:rPr>
            </w:pPr>
            <w:r>
              <w:rPr>
                <w:rFonts w:ascii="Arial" w:cs="Arial" w:eastAsia="Arial" w:hAnsi="Arial"/>
                <w:sz w:val="14"/>
                <w:szCs w:val="14"/>
                <w:b w:val="1"/>
                <w:bCs w:val="1"/>
                <w:color w:val="auto"/>
              </w:rPr>
              <w:t>JUNE 30, 2019</w:t>
            </w:r>
          </w:p>
        </w:tc>
      </w:tr>
      <w:tr>
        <w:trPr>
          <w:trHeight w:val="263"/>
        </w:trPr>
        <w:tc>
          <w:tcPr>
            <w:tcW w:w="20" w:type="dxa"/>
            <w:vAlign w:val="bottom"/>
          </w:tcPr>
          <w:p>
            <w:pPr>
              <w:spacing w:after="0"/>
              <w:rPr>
                <w:sz w:val="22"/>
                <w:szCs w:val="22"/>
                <w:color w:val="auto"/>
              </w:rPr>
            </w:pPr>
          </w:p>
        </w:tc>
        <w:tc>
          <w:tcPr>
            <w:tcW w:w="5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income attributable to Bloomin’ Brands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(92,256)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29,021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(126,867)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93,321</w:t>
            </w:r>
          </w:p>
        </w:tc>
      </w:tr>
      <w:tr>
        <w:trPr>
          <w:trHeight w:val="270"/>
        </w:trPr>
        <w:tc>
          <w:tcPr>
            <w:tcW w:w="20" w:type="dxa"/>
            <w:vAlign w:val="bottom"/>
          </w:tcPr>
          <w:p>
            <w:pPr>
              <w:spacing w:after="0"/>
              <w:rPr>
                <w:sz w:val="23"/>
                <w:szCs w:val="23"/>
                <w:color w:val="auto"/>
              </w:rPr>
            </w:pPr>
          </w:p>
        </w:tc>
        <w:tc>
          <w:tcPr>
            <w:tcW w:w="5380" w:type="dxa"/>
            <w:vAlign w:val="bottom"/>
          </w:tcPr>
          <w:p>
            <w:pPr>
              <w:ind w:left="20"/>
              <w:spacing w:after="0"/>
              <w:rPr>
                <w:sz w:val="20"/>
                <w:szCs w:val="20"/>
                <w:color w:val="auto"/>
              </w:rPr>
            </w:pPr>
            <w:r>
              <w:rPr>
                <w:rFonts w:ascii="Arial" w:cs="Arial" w:eastAsia="Arial" w:hAnsi="Arial"/>
                <w:sz w:val="16"/>
                <w:szCs w:val="16"/>
                <w:color w:val="auto"/>
              </w:rPr>
              <w:t>Redemption of preferred stock in excess of carrying value (1)</w:t>
            </w:r>
          </w:p>
        </w:tc>
        <w:tc>
          <w:tcPr>
            <w:tcW w:w="160" w:type="dxa"/>
            <w:vAlign w:val="bottom"/>
          </w:tcPr>
          <w:p>
            <w:pPr>
              <w:spacing w:after="0"/>
              <w:rPr>
                <w:sz w:val="23"/>
                <w:szCs w:val="23"/>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(3,496)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w:t>
            </w:r>
          </w:p>
        </w:tc>
      </w:tr>
      <w:tr>
        <w:trPr>
          <w:trHeight w:val="272"/>
        </w:trPr>
        <w:tc>
          <w:tcPr>
            <w:tcW w:w="20" w:type="dxa"/>
            <w:vAlign w:val="bottom"/>
          </w:tcPr>
          <w:p>
            <w:pPr>
              <w:spacing w:after="0"/>
              <w:rPr>
                <w:sz w:val="23"/>
                <w:szCs w:val="23"/>
                <w:color w:val="auto"/>
              </w:rPr>
            </w:pPr>
          </w:p>
        </w:tc>
        <w:tc>
          <w:tcPr>
            <w:tcW w:w="5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income attributable to common stockholders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(92,256)</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29,021</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(130,363)</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93,321</w:t>
            </w:r>
          </w:p>
        </w:tc>
      </w:tr>
      <w:tr>
        <w:trPr>
          <w:trHeight w:val="20"/>
        </w:trPr>
        <w:tc>
          <w:tcPr>
            <w:tcW w:w="20" w:type="dxa"/>
            <w:vAlign w:val="bottom"/>
          </w:tcPr>
          <w:p>
            <w:pPr>
              <w:spacing w:after="0" w:line="20" w:lineRule="exact"/>
              <w:rPr>
                <w:sz w:val="1"/>
                <w:szCs w:val="1"/>
                <w:color w:val="auto"/>
              </w:rPr>
            </w:pPr>
          </w:p>
        </w:tc>
        <w:tc>
          <w:tcPr>
            <w:tcW w:w="5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237"/>
        </w:trPr>
        <w:tc>
          <w:tcPr>
            <w:tcW w:w="20" w:type="dxa"/>
            <w:vAlign w:val="bottom"/>
          </w:tcPr>
          <w:p>
            <w:pPr>
              <w:spacing w:after="0"/>
              <w:rPr>
                <w:sz w:val="20"/>
                <w:szCs w:val="20"/>
                <w:color w:val="auto"/>
              </w:rPr>
            </w:pPr>
          </w:p>
        </w:tc>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Basic weighted average common shares outstanding</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87,496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90,194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87,312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90,805</w:t>
            </w: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Effect of diluted securities:</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5380" w:type="dxa"/>
            <w:vAlign w:val="bottom"/>
          </w:tcPr>
          <w:p>
            <w:pPr>
              <w:ind w:left="120"/>
              <w:spacing w:after="0"/>
              <w:rPr>
                <w:sz w:val="20"/>
                <w:szCs w:val="20"/>
                <w:color w:val="auto"/>
              </w:rPr>
            </w:pPr>
            <w:r>
              <w:rPr>
                <w:rFonts w:ascii="Arial" w:cs="Arial" w:eastAsia="Arial" w:hAnsi="Arial"/>
                <w:sz w:val="16"/>
                <w:szCs w:val="16"/>
                <w:color w:val="auto"/>
              </w:rPr>
              <w:t>Stock options</w:t>
            </w:r>
          </w:p>
        </w:tc>
        <w:tc>
          <w:tcPr>
            <w:tcW w:w="160" w:type="dxa"/>
            <w:vAlign w:val="bottom"/>
          </w:tcPr>
          <w:p>
            <w:pPr>
              <w:spacing w:after="0"/>
              <w:rPr>
                <w:sz w:val="19"/>
                <w:szCs w:val="19"/>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220" w:type="dxa"/>
            <w:vAlign w:val="bottom"/>
          </w:tcPr>
          <w:p>
            <w:pPr>
              <w:jc w:val="right"/>
              <w:ind w:right="80"/>
              <w:spacing w:after="0"/>
              <w:rPr>
                <w:sz w:val="20"/>
                <w:szCs w:val="20"/>
                <w:color w:val="auto"/>
              </w:rPr>
            </w:pPr>
            <w:r>
              <w:rPr>
                <w:rFonts w:ascii="Arial" w:cs="Arial" w:eastAsia="Arial" w:hAnsi="Arial"/>
                <w:sz w:val="16"/>
                <w:szCs w:val="16"/>
                <w:color w:val="auto"/>
              </w:rPr>
              <w:t>561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676</w:t>
            </w:r>
          </w:p>
        </w:tc>
      </w:tr>
      <w:tr>
        <w:trPr>
          <w:trHeight w:val="33"/>
        </w:trPr>
        <w:tc>
          <w:tcPr>
            <w:tcW w:w="20" w:type="dxa"/>
            <w:vAlign w:val="bottom"/>
          </w:tcPr>
          <w:p>
            <w:pPr>
              <w:spacing w:after="0"/>
              <w:rPr>
                <w:sz w:val="2"/>
                <w:szCs w:val="2"/>
                <w:color w:val="auto"/>
              </w:rPr>
            </w:pPr>
          </w:p>
        </w:tc>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5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Nonvested restricted stock units</w:t>
            </w: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198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278</w:t>
            </w:r>
          </w:p>
        </w:tc>
      </w:tr>
      <w:tr>
        <w:trPr>
          <w:trHeight w:val="270"/>
        </w:trPr>
        <w:tc>
          <w:tcPr>
            <w:tcW w:w="20" w:type="dxa"/>
            <w:vAlign w:val="bottom"/>
          </w:tcPr>
          <w:p>
            <w:pPr>
              <w:spacing w:after="0"/>
              <w:rPr>
                <w:sz w:val="23"/>
                <w:szCs w:val="23"/>
                <w:color w:val="auto"/>
              </w:rPr>
            </w:pPr>
          </w:p>
        </w:tc>
        <w:tc>
          <w:tcPr>
            <w:tcW w:w="5380" w:type="dxa"/>
            <w:vAlign w:val="bottom"/>
          </w:tcPr>
          <w:p>
            <w:pPr>
              <w:ind w:left="120"/>
              <w:spacing w:after="0"/>
              <w:rPr>
                <w:sz w:val="20"/>
                <w:szCs w:val="20"/>
                <w:color w:val="auto"/>
              </w:rPr>
            </w:pPr>
            <w:r>
              <w:rPr>
                <w:rFonts w:ascii="Arial" w:cs="Arial" w:eastAsia="Arial" w:hAnsi="Arial"/>
                <w:sz w:val="16"/>
                <w:szCs w:val="16"/>
                <w:color w:val="auto"/>
              </w:rPr>
              <w:t>Nonvested performance-based share units</w:t>
            </w:r>
          </w:p>
        </w:tc>
        <w:tc>
          <w:tcPr>
            <w:tcW w:w="160" w:type="dxa"/>
            <w:vAlign w:val="bottom"/>
          </w:tcPr>
          <w:p>
            <w:pPr>
              <w:spacing w:after="0"/>
              <w:rPr>
                <w:sz w:val="23"/>
                <w:szCs w:val="23"/>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48</w:t>
            </w:r>
          </w:p>
        </w:tc>
      </w:tr>
      <w:tr>
        <w:trPr>
          <w:trHeight w:val="272"/>
        </w:trPr>
        <w:tc>
          <w:tcPr>
            <w:tcW w:w="20" w:type="dxa"/>
            <w:vAlign w:val="bottom"/>
          </w:tcPr>
          <w:p>
            <w:pPr>
              <w:spacing w:after="0"/>
              <w:rPr>
                <w:sz w:val="23"/>
                <w:szCs w:val="23"/>
                <w:color w:val="auto"/>
              </w:rPr>
            </w:pPr>
          </w:p>
        </w:tc>
        <w:tc>
          <w:tcPr>
            <w:tcW w:w="5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 weighted average common shares outstanding</w:t>
            </w:r>
          </w:p>
        </w:tc>
        <w:tc>
          <w:tcPr>
            <w:tcW w:w="160" w:type="dxa"/>
            <w:vAlign w:val="bottom"/>
            <w:tcBorders>
              <w:top w:val="single" w:sz="8" w:color="auto"/>
              <w:bottom w:val="single" w:sz="8" w:color="auto"/>
            </w:tcBorders>
            <w:shd w:val="clear" w:color="auto" w:fill="CCEEFF"/>
          </w:tcPr>
          <w:p>
            <w:pPr>
              <w:spacing w:after="0"/>
              <w:rPr>
                <w:sz w:val="23"/>
                <w:szCs w:val="23"/>
                <w:color w:val="auto"/>
              </w:rPr>
            </w:pPr>
          </w:p>
        </w:tc>
        <w:tc>
          <w:tcPr>
            <w:tcW w:w="122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87,496</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spacing w:after="0"/>
              <w:rPr>
                <w:sz w:val="23"/>
                <w:szCs w:val="23"/>
                <w:color w:val="auto"/>
              </w:rPr>
            </w:pPr>
          </w:p>
        </w:tc>
        <w:tc>
          <w:tcPr>
            <w:tcW w:w="122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90,953</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spacing w:after="0"/>
              <w:rPr>
                <w:sz w:val="23"/>
                <w:szCs w:val="23"/>
                <w:color w:val="auto"/>
              </w:rPr>
            </w:pPr>
          </w:p>
        </w:tc>
        <w:tc>
          <w:tcPr>
            <w:tcW w:w="122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87,312</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spacing w:after="0"/>
              <w:rPr>
                <w:sz w:val="23"/>
                <w:szCs w:val="23"/>
                <w:color w:val="auto"/>
              </w:rPr>
            </w:pPr>
          </w:p>
        </w:tc>
        <w:tc>
          <w:tcPr>
            <w:tcW w:w="120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91,807</w:t>
            </w:r>
          </w:p>
        </w:tc>
      </w:tr>
      <w:tr>
        <w:trPr>
          <w:trHeight w:val="20"/>
        </w:trPr>
        <w:tc>
          <w:tcPr>
            <w:tcW w:w="20" w:type="dxa"/>
            <w:vAlign w:val="bottom"/>
          </w:tcPr>
          <w:p>
            <w:pPr>
              <w:spacing w:after="0" w:line="20" w:lineRule="exact"/>
              <w:rPr>
                <w:sz w:val="1"/>
                <w:szCs w:val="1"/>
                <w:color w:val="auto"/>
              </w:rPr>
            </w:pPr>
          </w:p>
        </w:tc>
        <w:tc>
          <w:tcPr>
            <w:tcW w:w="5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236"/>
        </w:trPr>
        <w:tc>
          <w:tcPr>
            <w:tcW w:w="20" w:type="dxa"/>
            <w:vAlign w:val="bottom"/>
          </w:tcPr>
          <w:p>
            <w:pPr>
              <w:spacing w:after="0"/>
              <w:rPr>
                <w:sz w:val="20"/>
                <w:szCs w:val="20"/>
                <w:color w:val="auto"/>
              </w:rPr>
            </w:pPr>
          </w:p>
        </w:tc>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Basic (loss) earnings per share attributable to common stockholders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0.32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1.03</w:t>
            </w:r>
          </w:p>
        </w:tc>
      </w:tr>
      <w:tr>
        <w:trPr>
          <w:trHeight w:val="224"/>
        </w:trPr>
        <w:tc>
          <w:tcPr>
            <w:tcW w:w="20" w:type="dxa"/>
            <w:vAlign w:val="bottom"/>
          </w:tcPr>
          <w:p>
            <w:pPr>
              <w:spacing w:after="0"/>
              <w:rPr>
                <w:sz w:val="19"/>
                <w:szCs w:val="19"/>
                <w:color w:val="auto"/>
              </w:rPr>
            </w:pPr>
          </w:p>
        </w:tc>
        <w:tc>
          <w:tcPr>
            <w:tcW w:w="5380" w:type="dxa"/>
            <w:vAlign w:val="bottom"/>
          </w:tcPr>
          <w:p>
            <w:pPr>
              <w:ind w:left="20"/>
              <w:spacing w:after="0"/>
              <w:rPr>
                <w:sz w:val="20"/>
                <w:szCs w:val="20"/>
                <w:color w:val="auto"/>
              </w:rPr>
            </w:pPr>
            <w:r>
              <w:rPr>
                <w:rFonts w:ascii="Arial" w:cs="Arial" w:eastAsia="Arial" w:hAnsi="Arial"/>
                <w:sz w:val="16"/>
                <w:szCs w:val="16"/>
                <w:color w:val="auto"/>
              </w:rPr>
              <w:t>Diluted (loss) earnings per share attributable to common stockholders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80"/>
              <w:spacing w:after="0"/>
              <w:rPr>
                <w:sz w:val="20"/>
                <w:szCs w:val="20"/>
                <w:color w:val="auto"/>
              </w:rPr>
            </w:pPr>
            <w:r>
              <w:rPr>
                <w:rFonts w:ascii="Arial" w:cs="Arial" w:eastAsia="Arial" w:hAnsi="Arial"/>
                <w:sz w:val="16"/>
                <w:szCs w:val="16"/>
                <w:color w:val="auto"/>
              </w:rPr>
              <w:t>0.32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(1.49)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1.02</w:t>
            </w:r>
          </w:p>
        </w:tc>
      </w:tr>
      <w:tr>
        <w:trPr>
          <w:trHeight w:val="321"/>
        </w:trPr>
        <w:tc>
          <w:tcPr>
            <w:tcW w:w="5400" w:type="dxa"/>
            <w:vAlign w:val="bottom"/>
            <w:gridSpan w:val="2"/>
          </w:tcPr>
          <w:p>
            <w:pPr>
              <w:jc w:val="right"/>
              <w:ind w:right="4020"/>
              <w:spacing w:after="0"/>
              <w:rPr>
                <w:sz w:val="20"/>
                <w:szCs w:val="20"/>
                <w:color w:val="auto"/>
              </w:rPr>
            </w:pPr>
            <w:r>
              <w:rPr>
                <w:rFonts w:ascii="Arial" w:cs="Arial" w:eastAsia="Arial" w:hAnsi="Arial"/>
                <w:sz w:val="16"/>
                <w:szCs w:val="16"/>
                <w:color w:val="auto"/>
                <w:w w:val="89"/>
              </w:rPr>
              <w:t>________________</w:t>
            </w: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jc w:val="both"/>
        <w:ind w:left="660" w:hanging="652"/>
        <w:spacing w:after="0" w:line="251"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 xml:space="preserve">Consideration paid in excess of carrying value for the redemption of preferred stock is considered a deemed dividend and, for purposes of calculating earnings per share, reduces net income attributable to common stockholders for the twenty-six weeks ended June 28, 2020. See Note 14 - </w:t>
      </w:r>
      <w:r>
        <w:rPr>
          <w:rFonts w:ascii="Arial" w:cs="Arial" w:eastAsia="Arial" w:hAnsi="Arial"/>
          <w:sz w:val="16"/>
          <w:szCs w:val="16"/>
          <w:i w:val="1"/>
          <w:iCs w:val="1"/>
          <w:color w:val="auto"/>
        </w:rPr>
        <w:t>Stockholders’ Equity</w:t>
      </w:r>
      <w:r>
        <w:rPr>
          <w:rFonts w:ascii="Arial" w:cs="Arial" w:eastAsia="Arial" w:hAnsi="Arial"/>
          <w:sz w:val="16"/>
          <w:szCs w:val="16"/>
          <w:color w:val="auto"/>
        </w:rPr>
        <w:t xml:space="preserve"> for additional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6" w:name="page17"/>
    <w:bookmarkEnd w:id="1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34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Weighted-average securities outstanding not included in the computation of (loss) earnings per share attributable to common stock holders because their effect was antidilutive were as follows, for the periods indicated: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980" w:type="dxa"/>
            <w:vAlign w:val="bottom"/>
          </w:tcPr>
          <w:p>
            <w:pPr>
              <w:spacing w:after="0"/>
              <w:rPr>
                <w:sz w:val="17"/>
                <w:szCs w:val="17"/>
                <w:color w:val="auto"/>
              </w:rPr>
            </w:pPr>
          </w:p>
        </w:tc>
        <w:tc>
          <w:tcPr>
            <w:tcW w:w="3080" w:type="dxa"/>
            <w:vAlign w:val="bottom"/>
            <w:tcBorders>
              <w:bottom w:val="single" w:sz="8" w:color="auto"/>
            </w:tcBorders>
            <w:gridSpan w:val="3"/>
          </w:tcPr>
          <w:p>
            <w:pPr>
              <w:jc w:val="right"/>
              <w:ind w:right="541"/>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7"/>
                <w:szCs w:val="17"/>
                <w:color w:val="auto"/>
              </w:rPr>
            </w:pPr>
          </w:p>
        </w:tc>
        <w:tc>
          <w:tcPr>
            <w:tcW w:w="3080" w:type="dxa"/>
            <w:vAlign w:val="bottom"/>
            <w:tcBorders>
              <w:bottom w:val="single" w:sz="8" w:color="auto"/>
            </w:tcBorders>
            <w:gridSpan w:val="3"/>
          </w:tcPr>
          <w:p>
            <w:pPr>
              <w:jc w:val="right"/>
              <w:ind w:right="461"/>
              <w:spacing w:after="0"/>
              <w:rPr>
                <w:sz w:val="20"/>
                <w:szCs w:val="20"/>
                <w:color w:val="auto"/>
              </w:rPr>
            </w:pPr>
            <w:r>
              <w:rPr>
                <w:rFonts w:ascii="Arial" w:cs="Arial" w:eastAsia="Arial" w:hAnsi="Arial"/>
                <w:sz w:val="14"/>
                <w:szCs w:val="14"/>
                <w:b w:val="1"/>
                <w:bCs w:val="1"/>
                <w:color w:val="auto"/>
              </w:rPr>
              <w:t>TWENTY-SIX WEEKS ENDED</w:t>
            </w:r>
          </w:p>
        </w:tc>
      </w:tr>
      <w:tr>
        <w:trPr>
          <w:trHeight w:val="209"/>
        </w:trPr>
        <w:tc>
          <w:tcPr>
            <w:tcW w:w="4980" w:type="dxa"/>
            <w:vAlign w:val="bottom"/>
          </w:tcPr>
          <w:p>
            <w:pPr>
              <w:ind w:left="20"/>
              <w:spacing w:after="0"/>
              <w:rPr>
                <w:sz w:val="20"/>
                <w:szCs w:val="20"/>
                <w:color w:val="auto"/>
              </w:rPr>
            </w:pPr>
            <w:r>
              <w:rPr>
                <w:rFonts w:ascii="Arial" w:cs="Arial" w:eastAsia="Arial" w:hAnsi="Arial"/>
                <w:sz w:val="14"/>
                <w:szCs w:val="14"/>
                <w:b w:val="1"/>
                <w:bCs w:val="1"/>
                <w:color w:val="auto"/>
              </w:rPr>
              <w:t>(shares in thousands)</w:t>
            </w:r>
          </w:p>
        </w:tc>
        <w:tc>
          <w:tcPr>
            <w:tcW w:w="1580" w:type="dxa"/>
            <w:vAlign w:val="bottom"/>
            <w:gridSpan w:val="2"/>
          </w:tcPr>
          <w:p>
            <w:pPr>
              <w:ind w:left="280"/>
              <w:spacing w:after="0"/>
              <w:rPr>
                <w:sz w:val="20"/>
                <w:szCs w:val="20"/>
                <w:color w:val="auto"/>
              </w:rPr>
            </w:pPr>
            <w:r>
              <w:rPr>
                <w:rFonts w:ascii="Arial" w:cs="Arial" w:eastAsia="Arial" w:hAnsi="Arial"/>
                <w:sz w:val="14"/>
                <w:szCs w:val="14"/>
                <w:b w:val="1"/>
                <w:bCs w:val="1"/>
                <w:color w:val="auto"/>
              </w:rPr>
              <w:t>JUNE 28, 2020</w:t>
            </w:r>
          </w:p>
        </w:tc>
        <w:tc>
          <w:tcPr>
            <w:tcW w:w="1600" w:type="dxa"/>
            <w:vAlign w:val="bottom"/>
            <w:gridSpan w:val="2"/>
          </w:tcPr>
          <w:p>
            <w:pPr>
              <w:ind w:left="300"/>
              <w:spacing w:after="0"/>
              <w:rPr>
                <w:sz w:val="20"/>
                <w:szCs w:val="20"/>
                <w:color w:val="auto"/>
              </w:rPr>
            </w:pPr>
            <w:r>
              <w:rPr>
                <w:rFonts w:ascii="Arial" w:cs="Arial" w:eastAsia="Arial" w:hAnsi="Arial"/>
                <w:sz w:val="14"/>
                <w:szCs w:val="14"/>
                <w:b w:val="1"/>
                <w:bCs w:val="1"/>
                <w:color w:val="auto"/>
              </w:rPr>
              <w:t>JUNE 30, 2019</w:t>
            </w:r>
          </w:p>
        </w:tc>
        <w:tc>
          <w:tcPr>
            <w:tcW w:w="1600" w:type="dxa"/>
            <w:vAlign w:val="bottom"/>
            <w:gridSpan w:val="2"/>
          </w:tcPr>
          <w:p>
            <w:pPr>
              <w:ind w:left="280"/>
              <w:spacing w:after="0"/>
              <w:rPr>
                <w:sz w:val="20"/>
                <w:szCs w:val="20"/>
                <w:color w:val="auto"/>
              </w:rPr>
            </w:pPr>
            <w:r>
              <w:rPr>
                <w:rFonts w:ascii="Arial" w:cs="Arial" w:eastAsia="Arial" w:hAnsi="Arial"/>
                <w:sz w:val="14"/>
                <w:szCs w:val="14"/>
                <w:b w:val="1"/>
                <w:bCs w:val="1"/>
                <w:color w:val="auto"/>
              </w:rPr>
              <w:t>JUNE 28, 2020</w:t>
            </w:r>
          </w:p>
        </w:tc>
        <w:tc>
          <w:tcPr>
            <w:tcW w:w="1480" w:type="dxa"/>
            <w:vAlign w:val="bottom"/>
          </w:tcPr>
          <w:p>
            <w:pPr>
              <w:jc w:val="right"/>
              <w:ind w:right="201"/>
              <w:spacing w:after="0"/>
              <w:rPr>
                <w:sz w:val="20"/>
                <w:szCs w:val="20"/>
                <w:color w:val="auto"/>
              </w:rPr>
            </w:pPr>
            <w:r>
              <w:rPr>
                <w:rFonts w:ascii="Arial" w:cs="Arial" w:eastAsia="Arial" w:hAnsi="Arial"/>
                <w:sz w:val="14"/>
                <w:szCs w:val="14"/>
                <w:b w:val="1"/>
                <w:bCs w:val="1"/>
                <w:color w:val="auto"/>
              </w:rPr>
              <w:t>JUNE 30, 2019</w:t>
            </w:r>
          </w:p>
        </w:tc>
      </w:tr>
      <w:tr>
        <w:trPr>
          <w:trHeight w:val="237"/>
        </w:trPr>
        <w:tc>
          <w:tcPr>
            <w:tcW w:w="4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 options</w:t>
            </w:r>
          </w:p>
        </w:tc>
        <w:tc>
          <w:tcPr>
            <w:tcW w:w="1480" w:type="dxa"/>
            <w:vAlign w:val="bottom"/>
            <w:tcBorders>
              <w:top w:val="single" w:sz="8" w:color="auto"/>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5,352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500" w:type="dxa"/>
            <w:vAlign w:val="bottom"/>
            <w:tcBorders>
              <w:top w:val="single" w:sz="8" w:color="auto"/>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4,214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80" w:type="dxa"/>
            <w:vAlign w:val="bottom"/>
            <w:tcBorders>
              <w:top w:val="single" w:sz="8" w:color="auto"/>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5,009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80" w:type="dxa"/>
            <w:vAlign w:val="bottom"/>
            <w:tcBorders>
              <w:top w:val="single" w:sz="8" w:color="auto"/>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3,799</w:t>
            </w:r>
          </w:p>
        </w:tc>
      </w:tr>
      <w:tr>
        <w:trPr>
          <w:trHeight w:val="224"/>
        </w:trPr>
        <w:tc>
          <w:tcPr>
            <w:tcW w:w="4980" w:type="dxa"/>
            <w:vAlign w:val="bottom"/>
          </w:tcPr>
          <w:p>
            <w:pPr>
              <w:ind w:left="20"/>
              <w:spacing w:after="0"/>
              <w:rPr>
                <w:sz w:val="20"/>
                <w:szCs w:val="20"/>
                <w:color w:val="auto"/>
              </w:rPr>
            </w:pPr>
            <w:r>
              <w:rPr>
                <w:rFonts w:ascii="Arial" w:cs="Arial" w:eastAsia="Arial" w:hAnsi="Arial"/>
                <w:sz w:val="16"/>
                <w:szCs w:val="16"/>
                <w:color w:val="auto"/>
              </w:rPr>
              <w:t>Nonvested restricted stock units</w:t>
            </w:r>
          </w:p>
        </w:tc>
        <w:tc>
          <w:tcPr>
            <w:tcW w:w="1480" w:type="dxa"/>
            <w:vAlign w:val="bottom"/>
          </w:tcPr>
          <w:p>
            <w:pPr>
              <w:jc w:val="right"/>
              <w:ind w:right="62"/>
              <w:spacing w:after="0"/>
              <w:rPr>
                <w:sz w:val="20"/>
                <w:szCs w:val="20"/>
                <w:color w:val="auto"/>
              </w:rPr>
            </w:pPr>
            <w:r>
              <w:rPr>
                <w:rFonts w:ascii="Arial" w:cs="Arial" w:eastAsia="Arial" w:hAnsi="Arial"/>
                <w:sz w:val="16"/>
                <w:szCs w:val="16"/>
                <w:color w:val="auto"/>
              </w:rPr>
              <w:t>990</w:t>
            </w:r>
          </w:p>
        </w:tc>
        <w:tc>
          <w:tcPr>
            <w:tcW w:w="100" w:type="dxa"/>
            <w:vAlign w:val="bottom"/>
          </w:tcPr>
          <w:p>
            <w:pPr>
              <w:spacing w:after="0"/>
              <w:rPr>
                <w:sz w:val="19"/>
                <w:szCs w:val="19"/>
                <w:color w:val="auto"/>
              </w:rPr>
            </w:pPr>
          </w:p>
        </w:tc>
        <w:tc>
          <w:tcPr>
            <w:tcW w:w="1500" w:type="dxa"/>
            <w:vAlign w:val="bottom"/>
          </w:tcPr>
          <w:p>
            <w:pPr>
              <w:jc w:val="right"/>
              <w:ind w:right="81"/>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19"/>
                <w:szCs w:val="19"/>
                <w:color w:val="auto"/>
              </w:rPr>
            </w:pPr>
          </w:p>
        </w:tc>
        <w:tc>
          <w:tcPr>
            <w:tcW w:w="1480" w:type="dxa"/>
            <w:vAlign w:val="bottom"/>
          </w:tcPr>
          <w:p>
            <w:pPr>
              <w:jc w:val="right"/>
              <w:ind w:right="62"/>
              <w:spacing w:after="0"/>
              <w:rPr>
                <w:sz w:val="20"/>
                <w:szCs w:val="20"/>
                <w:color w:val="auto"/>
              </w:rPr>
            </w:pPr>
            <w:r>
              <w:rPr>
                <w:rFonts w:ascii="Arial" w:cs="Arial" w:eastAsia="Arial" w:hAnsi="Arial"/>
                <w:sz w:val="16"/>
                <w:szCs w:val="16"/>
                <w:color w:val="auto"/>
              </w:rPr>
              <w:t>821</w:t>
            </w:r>
          </w:p>
        </w:tc>
        <w:tc>
          <w:tcPr>
            <w:tcW w:w="120" w:type="dxa"/>
            <w:vAlign w:val="bottom"/>
          </w:tcPr>
          <w:p>
            <w:pPr>
              <w:spacing w:after="0"/>
              <w:rPr>
                <w:sz w:val="19"/>
                <w:szCs w:val="19"/>
                <w:color w:val="auto"/>
              </w:rPr>
            </w:pPr>
          </w:p>
        </w:tc>
        <w:tc>
          <w:tcPr>
            <w:tcW w:w="1480" w:type="dxa"/>
            <w:vAlign w:val="bottom"/>
          </w:tcPr>
          <w:p>
            <w:pPr>
              <w:jc w:val="right"/>
              <w:ind w:right="61"/>
              <w:spacing w:after="0"/>
              <w:rPr>
                <w:sz w:val="20"/>
                <w:szCs w:val="20"/>
                <w:color w:val="auto"/>
              </w:rPr>
            </w:pPr>
            <w:r>
              <w:rPr>
                <w:rFonts w:ascii="Arial" w:cs="Arial" w:eastAsia="Arial" w:hAnsi="Arial"/>
                <w:sz w:val="16"/>
                <w:szCs w:val="16"/>
                <w:color w:val="auto"/>
              </w:rPr>
              <w:t>211</w:t>
            </w:r>
          </w:p>
        </w:tc>
      </w:tr>
      <w:tr>
        <w:trPr>
          <w:trHeight w:val="33"/>
        </w:trPr>
        <w:tc>
          <w:tcPr>
            <w:tcW w:w="49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7"/>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Nonvested performance-based share units</w:t>
            </w:r>
          </w:p>
        </w:tc>
        <w:tc>
          <w:tcPr>
            <w:tcW w:w="14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624</w:t>
            </w:r>
          </w:p>
        </w:tc>
        <w:tc>
          <w:tcPr>
            <w:tcW w:w="1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330</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578</w:t>
            </w: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295</w:t>
            </w:r>
          </w:p>
        </w:tc>
      </w:tr>
      <w:tr>
        <w:trPr>
          <w:trHeight w:val="223"/>
        </w:trPr>
        <w:tc>
          <w:tcPr>
            <w:tcW w:w="4980" w:type="dxa"/>
            <w:vAlign w:val="bottom"/>
          </w:tcPr>
          <w:p>
            <w:pPr>
              <w:ind w:left="20"/>
              <w:spacing w:after="0"/>
              <w:rPr>
                <w:sz w:val="20"/>
                <w:szCs w:val="20"/>
                <w:color w:val="auto"/>
              </w:rPr>
            </w:pPr>
            <w:r>
              <w:rPr>
                <w:rFonts w:ascii="Arial" w:cs="Arial" w:eastAsia="Arial" w:hAnsi="Arial"/>
                <w:sz w:val="16"/>
                <w:szCs w:val="16"/>
                <w:color w:val="auto"/>
              </w:rPr>
              <w:t>Convertible senior notes and warrants</w:t>
            </w:r>
          </w:p>
        </w:tc>
        <w:tc>
          <w:tcPr>
            <w:tcW w:w="1480" w:type="dxa"/>
            <w:vAlign w:val="bottom"/>
          </w:tcPr>
          <w:p>
            <w:pPr>
              <w:jc w:val="right"/>
              <w:ind w:right="62"/>
              <w:spacing w:after="0"/>
              <w:rPr>
                <w:sz w:val="20"/>
                <w:szCs w:val="20"/>
                <w:color w:val="auto"/>
              </w:rPr>
            </w:pPr>
            <w:r>
              <w:rPr>
                <w:rFonts w:ascii="Arial" w:cs="Arial" w:eastAsia="Arial" w:hAnsi="Arial"/>
                <w:sz w:val="16"/>
                <w:szCs w:val="16"/>
                <w:color w:val="auto"/>
              </w:rPr>
              <w:t>23,388</w:t>
            </w:r>
          </w:p>
        </w:tc>
        <w:tc>
          <w:tcPr>
            <w:tcW w:w="100" w:type="dxa"/>
            <w:vAlign w:val="bottom"/>
          </w:tcPr>
          <w:p>
            <w:pPr>
              <w:spacing w:after="0"/>
              <w:rPr>
                <w:sz w:val="19"/>
                <w:szCs w:val="19"/>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62"/>
              <w:spacing w:after="0"/>
              <w:rPr>
                <w:sz w:val="20"/>
                <w:szCs w:val="20"/>
                <w:color w:val="auto"/>
              </w:rPr>
            </w:pPr>
            <w:r>
              <w:rPr>
                <w:rFonts w:ascii="Arial" w:cs="Arial" w:eastAsia="Arial" w:hAnsi="Arial"/>
                <w:sz w:val="16"/>
                <w:szCs w:val="16"/>
                <w:color w:val="auto"/>
              </w:rPr>
              <w:t>11,694</w:t>
            </w:r>
          </w:p>
        </w:tc>
        <w:tc>
          <w:tcPr>
            <w:tcW w:w="120" w:type="dxa"/>
            <w:vAlign w:val="bottom"/>
          </w:tcPr>
          <w:p>
            <w:pPr>
              <w:spacing w:after="0"/>
              <w:rPr>
                <w:sz w:val="19"/>
                <w:szCs w:val="19"/>
                <w:color w:val="auto"/>
              </w:rPr>
            </w:pPr>
          </w:p>
        </w:tc>
        <w:tc>
          <w:tcPr>
            <w:tcW w:w="1480" w:type="dxa"/>
            <w:vAlign w:val="bottom"/>
          </w:tcPr>
          <w:p>
            <w:pPr>
              <w:jc w:val="right"/>
              <w:ind w:right="61"/>
              <w:spacing w:after="0"/>
              <w:rPr>
                <w:sz w:val="20"/>
                <w:szCs w:val="20"/>
                <w:color w:val="auto"/>
              </w:rPr>
            </w:pPr>
            <w:r>
              <w:rPr>
                <w:rFonts w:ascii="Arial" w:cs="Arial" w:eastAsia="Arial" w:hAnsi="Arial"/>
                <w:sz w:val="16"/>
                <w:szCs w:val="16"/>
                <w:color w:val="auto"/>
              </w:rPr>
              <w:t>—</w:t>
            </w:r>
          </w:p>
        </w:tc>
      </w:tr>
    </w:tbl>
    <w:p>
      <w:pPr>
        <w:spacing w:after="0" w:line="34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There are approximately 19.348 million shares of the Company’s common stock that underlie its senior convertible notes based on the initial conversion rate and full principal amount. The conversion spread on the Company’s convertible senior notes will have a dilutive impact on diluted earnings per share when the average market price of the Company’s common stock for a given period exceeds the conversion price of $11.89 per share of common stock. The Company expects to settle the principal amount of its outstanding convertible senior notes in cash and any excess in shares. As a result, upon conversion of the convertible senior notes, only the amounts in excess of the principal amount are considered in diluted earnings per share under the treasury stock method, if applicable. For the thirteen and twenty-six weeks ended June 28, 2020, the convertible senior notes have been excluded from the computation of diluted earnings per share as the effect would be antidilutive given the Company’s net loss, and also since the conversion price of the convertible senior notes exceeded the average market price of the Company’s common stock. Warrants to purchase approximately 19.348 million shares of the Company’s common shares at $16.64 per share were outstanding as of June 28, 2020 but were excluded from the computation of diluted earnings per share since the warrants’ strike price was greater than the average market price of the Company’s common stock during the period. See Note 12 - </w:t>
      </w:r>
      <w:r>
        <w:rPr>
          <w:rFonts w:ascii="Arial" w:cs="Arial" w:eastAsia="Arial" w:hAnsi="Arial"/>
          <w:sz w:val="18"/>
          <w:szCs w:val="18"/>
          <w:i w:val="1"/>
          <w:iCs w:val="1"/>
          <w:color w:val="auto"/>
        </w:rPr>
        <w:t>Convertible Senior Notes</w:t>
      </w:r>
      <w:r>
        <w:rPr>
          <w:rFonts w:ascii="Arial" w:cs="Arial" w:eastAsia="Arial" w:hAnsi="Arial"/>
          <w:sz w:val="18"/>
          <w:szCs w:val="18"/>
          <w:color w:val="auto"/>
        </w:rPr>
        <w:t xml:space="preserve"> for additional information regarding the Company’s convertible senior notes.</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6. Stock-based Compensation Plans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The Company recognized stock-based compensation expense as follows for the periods indicated: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9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4"/>
          </w:tcPr>
          <w:p>
            <w:pPr>
              <w:jc w:val="right"/>
              <w:ind w:right="521"/>
              <w:spacing w:after="0"/>
              <w:rPr>
                <w:sz w:val="20"/>
                <w:szCs w:val="20"/>
                <w:color w:val="auto"/>
              </w:rPr>
            </w:pPr>
            <w:r>
              <w:rPr>
                <w:rFonts w:ascii="Arial" w:cs="Arial" w:eastAsia="Arial" w:hAnsi="Arial"/>
                <w:sz w:val="14"/>
                <w:szCs w:val="14"/>
                <w:b w:val="1"/>
                <w:bCs w:val="1"/>
                <w:color w:val="auto"/>
              </w:rPr>
              <w:t>THIRTEEN WEEKS ENDED</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4"/>
          </w:tcPr>
          <w:p>
            <w:pPr>
              <w:jc w:val="right"/>
              <w:ind w:right="461"/>
              <w:spacing w:after="0"/>
              <w:rPr>
                <w:sz w:val="20"/>
                <w:szCs w:val="20"/>
                <w:color w:val="auto"/>
              </w:rPr>
            </w:pPr>
            <w:r>
              <w:rPr>
                <w:rFonts w:ascii="Arial" w:cs="Arial" w:eastAsia="Arial" w:hAnsi="Arial"/>
                <w:sz w:val="14"/>
                <w:szCs w:val="14"/>
                <w:b w:val="1"/>
                <w:bCs w:val="1"/>
                <w:color w:val="auto"/>
              </w:rPr>
              <w:t>TWENTY-SIX WEEKS ENDED</w:t>
            </w:r>
          </w:p>
        </w:tc>
      </w:tr>
      <w:tr>
        <w:trPr>
          <w:trHeight w:val="210"/>
        </w:trPr>
        <w:tc>
          <w:tcPr>
            <w:tcW w:w="494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18"/>
                <w:szCs w:val="18"/>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28, 2020</w:t>
            </w:r>
          </w:p>
        </w:tc>
        <w:tc>
          <w:tcPr>
            <w:tcW w:w="200" w:type="dxa"/>
            <w:vAlign w:val="bottom"/>
          </w:tcPr>
          <w:p>
            <w:pPr>
              <w:spacing w:after="0"/>
              <w:rPr>
                <w:sz w:val="18"/>
                <w:szCs w:val="18"/>
                <w:color w:val="auto"/>
              </w:rPr>
            </w:pPr>
          </w:p>
        </w:tc>
        <w:tc>
          <w:tcPr>
            <w:tcW w:w="142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2019</w:t>
            </w:r>
          </w:p>
        </w:tc>
        <w:tc>
          <w:tcPr>
            <w:tcW w:w="200" w:type="dxa"/>
            <w:vAlign w:val="bottom"/>
          </w:tcPr>
          <w:p>
            <w:pPr>
              <w:spacing w:after="0"/>
              <w:rPr>
                <w:sz w:val="18"/>
                <w:szCs w:val="18"/>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28, 2020</w:t>
            </w:r>
          </w:p>
        </w:tc>
        <w:tc>
          <w:tcPr>
            <w:tcW w:w="200" w:type="dxa"/>
            <w:vAlign w:val="bottom"/>
          </w:tcPr>
          <w:p>
            <w:pPr>
              <w:spacing w:after="0"/>
              <w:rPr>
                <w:sz w:val="18"/>
                <w:szCs w:val="18"/>
                <w:color w:val="auto"/>
              </w:rPr>
            </w:pPr>
          </w:p>
        </w:tc>
        <w:tc>
          <w:tcPr>
            <w:tcW w:w="1300" w:type="dxa"/>
            <w:vAlign w:val="bottom"/>
          </w:tcPr>
          <w:p>
            <w:pPr>
              <w:jc w:val="right"/>
              <w:ind w:right="221"/>
              <w:spacing w:after="0"/>
              <w:rPr>
                <w:sz w:val="20"/>
                <w:szCs w:val="20"/>
                <w:color w:val="auto"/>
              </w:rPr>
            </w:pPr>
            <w:r>
              <w:rPr>
                <w:rFonts w:ascii="Arial" w:cs="Arial" w:eastAsia="Arial" w:hAnsi="Arial"/>
                <w:sz w:val="14"/>
                <w:szCs w:val="14"/>
                <w:b w:val="1"/>
                <w:bCs w:val="1"/>
                <w:color w:val="auto"/>
              </w:rPr>
              <w:t>JUNE 30, 2019</w:t>
            </w:r>
          </w:p>
        </w:tc>
      </w:tr>
      <w:tr>
        <w:trPr>
          <w:trHeight w:val="236"/>
        </w:trPr>
        <w:tc>
          <w:tcPr>
            <w:tcW w:w="4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 options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1,038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1,413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1,870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2,572</w:t>
            </w:r>
          </w:p>
        </w:tc>
      </w:tr>
      <w:tr>
        <w:trPr>
          <w:trHeight w:val="223"/>
        </w:trPr>
        <w:tc>
          <w:tcPr>
            <w:tcW w:w="4940" w:type="dxa"/>
            <w:vAlign w:val="bottom"/>
          </w:tcPr>
          <w:p>
            <w:pPr>
              <w:ind w:left="20"/>
              <w:spacing w:after="0"/>
              <w:rPr>
                <w:sz w:val="20"/>
                <w:szCs w:val="20"/>
                <w:color w:val="auto"/>
              </w:rPr>
            </w:pPr>
            <w:r>
              <w:rPr>
                <w:rFonts w:ascii="Arial" w:cs="Arial" w:eastAsia="Arial" w:hAnsi="Arial"/>
                <w:sz w:val="16"/>
                <w:szCs w:val="16"/>
                <w:color w:val="auto"/>
              </w:rPr>
              <w:t>Restricted stock units</w:t>
            </w:r>
          </w:p>
        </w:tc>
        <w:tc>
          <w:tcPr>
            <w:tcW w:w="180" w:type="dxa"/>
            <w:vAlign w:val="bottom"/>
          </w:tcPr>
          <w:p>
            <w:pPr>
              <w:spacing w:after="0"/>
              <w:rPr>
                <w:sz w:val="19"/>
                <w:szCs w:val="19"/>
                <w:color w:val="auto"/>
              </w:rPr>
            </w:pPr>
          </w:p>
        </w:tc>
        <w:tc>
          <w:tcPr>
            <w:tcW w:w="1300" w:type="dxa"/>
            <w:vAlign w:val="bottom"/>
          </w:tcPr>
          <w:p>
            <w:pPr>
              <w:jc w:val="right"/>
              <w:ind w:right="62"/>
              <w:spacing w:after="0"/>
              <w:rPr>
                <w:sz w:val="20"/>
                <w:szCs w:val="20"/>
                <w:color w:val="auto"/>
              </w:rPr>
            </w:pPr>
            <w:r>
              <w:rPr>
                <w:rFonts w:ascii="Arial" w:cs="Arial" w:eastAsia="Arial" w:hAnsi="Arial"/>
                <w:sz w:val="16"/>
                <w:szCs w:val="16"/>
                <w:color w:val="auto"/>
              </w:rPr>
              <w:t>2,340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ind w:right="61"/>
              <w:spacing w:after="0"/>
              <w:rPr>
                <w:sz w:val="20"/>
                <w:szCs w:val="20"/>
                <w:color w:val="auto"/>
              </w:rPr>
            </w:pPr>
            <w:r>
              <w:rPr>
                <w:rFonts w:ascii="Arial" w:cs="Arial" w:eastAsia="Arial" w:hAnsi="Arial"/>
                <w:sz w:val="16"/>
                <w:szCs w:val="16"/>
                <w:color w:val="auto"/>
              </w:rPr>
              <w:t>2,410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ind w:right="82"/>
              <w:spacing w:after="0"/>
              <w:rPr>
                <w:sz w:val="20"/>
                <w:szCs w:val="20"/>
                <w:color w:val="auto"/>
              </w:rPr>
            </w:pPr>
            <w:r>
              <w:rPr>
                <w:rFonts w:ascii="Arial" w:cs="Arial" w:eastAsia="Arial" w:hAnsi="Arial"/>
                <w:sz w:val="16"/>
                <w:szCs w:val="16"/>
                <w:color w:val="auto"/>
              </w:rPr>
              <w:t>4,023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ind w:right="61"/>
              <w:spacing w:after="0"/>
              <w:rPr>
                <w:sz w:val="20"/>
                <w:szCs w:val="20"/>
                <w:color w:val="auto"/>
              </w:rPr>
            </w:pPr>
            <w:r>
              <w:rPr>
                <w:rFonts w:ascii="Arial" w:cs="Arial" w:eastAsia="Arial" w:hAnsi="Arial"/>
                <w:sz w:val="16"/>
                <w:szCs w:val="16"/>
                <w:color w:val="auto"/>
              </w:rPr>
              <w:t>4,159</w:t>
            </w:r>
          </w:p>
        </w:tc>
      </w:tr>
      <w:tr>
        <w:trPr>
          <w:trHeight w:val="33"/>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Performance-based share units</w:t>
            </w:r>
          </w:p>
        </w:tc>
        <w:tc>
          <w:tcPr>
            <w:tcW w:w="1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1,693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1,254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2,392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2,257</w:t>
            </w:r>
          </w:p>
        </w:tc>
      </w:tr>
      <w:tr>
        <w:trPr>
          <w:trHeight w:val="223"/>
        </w:trPr>
        <w:tc>
          <w:tcPr>
            <w:tcW w:w="49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62"/>
              <w:spacing w:after="0"/>
              <w:rPr>
                <w:sz w:val="20"/>
                <w:szCs w:val="20"/>
                <w:color w:val="auto"/>
              </w:rPr>
            </w:pPr>
            <w:r>
              <w:rPr>
                <w:rFonts w:ascii="Arial" w:cs="Arial" w:eastAsia="Arial" w:hAnsi="Arial"/>
                <w:sz w:val="16"/>
                <w:szCs w:val="16"/>
                <w:color w:val="auto"/>
              </w:rPr>
              <w:t>5,071</w:t>
            </w:r>
          </w:p>
        </w:tc>
        <w:tc>
          <w:tcPr>
            <w:tcW w:w="10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61"/>
              <w:spacing w:after="0"/>
              <w:rPr>
                <w:sz w:val="20"/>
                <w:szCs w:val="20"/>
                <w:color w:val="auto"/>
              </w:rPr>
            </w:pPr>
            <w:r>
              <w:rPr>
                <w:rFonts w:ascii="Arial" w:cs="Arial" w:eastAsia="Arial" w:hAnsi="Arial"/>
                <w:sz w:val="16"/>
                <w:szCs w:val="16"/>
                <w:color w:val="auto"/>
              </w:rPr>
              <w:t>5,077</w:t>
            </w:r>
          </w:p>
        </w:tc>
        <w:tc>
          <w:tcPr>
            <w:tcW w:w="12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82"/>
              <w:spacing w:after="0"/>
              <w:rPr>
                <w:sz w:val="20"/>
                <w:szCs w:val="20"/>
                <w:color w:val="auto"/>
              </w:rPr>
            </w:pPr>
            <w:r>
              <w:rPr>
                <w:rFonts w:ascii="Arial" w:cs="Arial" w:eastAsia="Arial" w:hAnsi="Arial"/>
                <w:sz w:val="16"/>
                <w:szCs w:val="16"/>
                <w:color w:val="auto"/>
              </w:rPr>
              <w:t>8,285</w:t>
            </w:r>
          </w:p>
        </w:tc>
        <w:tc>
          <w:tcPr>
            <w:tcW w:w="10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61"/>
              <w:spacing w:after="0"/>
              <w:rPr>
                <w:sz w:val="20"/>
                <w:szCs w:val="20"/>
                <w:color w:val="auto"/>
              </w:rPr>
            </w:pPr>
            <w:r>
              <w:rPr>
                <w:rFonts w:ascii="Arial" w:cs="Arial" w:eastAsia="Arial" w:hAnsi="Arial"/>
                <w:sz w:val="16"/>
                <w:szCs w:val="16"/>
                <w:color w:val="auto"/>
              </w:rPr>
              <w:t>8,988</w:t>
            </w:r>
          </w:p>
        </w:tc>
      </w:tr>
      <w:tr>
        <w:trPr>
          <w:trHeight w:val="33"/>
        </w:trPr>
        <w:tc>
          <w:tcPr>
            <w:tcW w:w="49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4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During the twenty-six weeks ended June 28, 2020, the Company made grants of 0.1 million stock options, 0.4 million time-based restricted stock units and 0.5 million performance-based share units.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348"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Assumptions used in the Black-Scholes option pricing model and the weighted-average fair value of option awards granted were as follows for the periods indicated: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540" w:type="dxa"/>
            <w:vAlign w:val="bottom"/>
            <w:tcBorders>
              <w:bottom w:val="single" w:sz="8" w:color="auto"/>
            </w:tcBorders>
            <w:gridSpan w:val="5"/>
          </w:tcPr>
          <w:p>
            <w:pPr>
              <w:jc w:val="right"/>
              <w:ind w:right="741"/>
              <w:spacing w:after="0"/>
              <w:rPr>
                <w:sz w:val="20"/>
                <w:szCs w:val="20"/>
                <w:color w:val="auto"/>
              </w:rPr>
            </w:pPr>
            <w:r>
              <w:rPr>
                <w:rFonts w:ascii="Arial" w:cs="Arial" w:eastAsia="Arial" w:hAnsi="Arial"/>
                <w:sz w:val="14"/>
                <w:szCs w:val="14"/>
                <w:b w:val="1"/>
                <w:bCs w:val="1"/>
                <w:color w:val="auto"/>
              </w:rPr>
              <w:t>TWENTY-SIX WEEKS ENDED</w:t>
            </w:r>
          </w:p>
        </w:tc>
        <w:tc>
          <w:tcPr>
            <w:tcW w:w="200" w:type="dxa"/>
            <w:vAlign w:val="bottom"/>
            <w:tcBorders>
              <w:bottom w:val="single" w:sz="8" w:color="auto"/>
            </w:tcBorders>
          </w:tcPr>
          <w:p>
            <w:pPr>
              <w:spacing w:after="0"/>
              <w:rPr>
                <w:sz w:val="17"/>
                <w:szCs w:val="17"/>
                <w:color w:val="auto"/>
              </w:rPr>
            </w:pPr>
          </w:p>
        </w:tc>
      </w:tr>
      <w:tr>
        <w:trPr>
          <w:trHeight w:val="209"/>
        </w:trPr>
        <w:tc>
          <w:tcPr>
            <w:tcW w:w="71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JUNE 28, 2020</w:t>
            </w: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JUNE 30, 2019</w:t>
            </w:r>
          </w:p>
        </w:tc>
        <w:tc>
          <w:tcPr>
            <w:tcW w:w="200" w:type="dxa"/>
            <w:vAlign w:val="bottom"/>
            <w:tcBorders>
              <w:bottom w:val="single" w:sz="8" w:color="auto"/>
            </w:tcBorders>
          </w:tcPr>
          <w:p>
            <w:pPr>
              <w:spacing w:after="0"/>
              <w:rPr>
                <w:sz w:val="18"/>
                <w:szCs w:val="18"/>
                <w:color w:val="auto"/>
              </w:rPr>
            </w:pPr>
          </w:p>
        </w:tc>
      </w:tr>
      <w:tr>
        <w:trPr>
          <w:trHeight w:val="223"/>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Assumptions:</w:t>
            </w:r>
          </w:p>
        </w:tc>
        <w:tc>
          <w:tcPr>
            <w:tcW w:w="32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r>
      <w:tr>
        <w:trPr>
          <w:trHeight w:val="224"/>
        </w:trPr>
        <w:tc>
          <w:tcPr>
            <w:tcW w:w="7160" w:type="dxa"/>
            <w:vAlign w:val="bottom"/>
          </w:tcPr>
          <w:p>
            <w:pPr>
              <w:ind w:left="120"/>
              <w:spacing w:after="0"/>
              <w:rPr>
                <w:sz w:val="20"/>
                <w:szCs w:val="20"/>
                <w:color w:val="auto"/>
              </w:rPr>
            </w:pPr>
            <w:r>
              <w:rPr>
                <w:rFonts w:ascii="Arial" w:cs="Arial" w:eastAsia="Arial" w:hAnsi="Arial"/>
                <w:sz w:val="16"/>
                <w:szCs w:val="16"/>
                <w:color w:val="auto"/>
              </w:rPr>
              <w:t>Weighted-average risk-free interest rate (1)</w:t>
            </w:r>
          </w:p>
        </w:tc>
        <w:tc>
          <w:tcPr>
            <w:tcW w:w="3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0.90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2.39</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7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36"/>
        </w:trPr>
        <w:tc>
          <w:tcPr>
            <w:tcW w:w="7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Dividend yield (2)</w:t>
            </w:r>
          </w:p>
        </w:tc>
        <w:tc>
          <w:tcPr>
            <w:tcW w:w="3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4"/>
        </w:trPr>
        <w:tc>
          <w:tcPr>
            <w:tcW w:w="7160" w:type="dxa"/>
            <w:vAlign w:val="bottom"/>
          </w:tcPr>
          <w:p>
            <w:pPr>
              <w:ind w:left="120"/>
              <w:spacing w:after="0"/>
              <w:rPr>
                <w:sz w:val="20"/>
                <w:szCs w:val="20"/>
                <w:color w:val="auto"/>
              </w:rPr>
            </w:pPr>
            <w:r>
              <w:rPr>
                <w:rFonts w:ascii="Arial" w:cs="Arial" w:eastAsia="Arial" w:hAnsi="Arial"/>
                <w:sz w:val="16"/>
                <w:szCs w:val="16"/>
                <w:color w:val="auto"/>
              </w:rPr>
              <w:t>Expected term (3)</w:t>
            </w:r>
          </w:p>
        </w:tc>
        <w:tc>
          <w:tcPr>
            <w:tcW w:w="320" w:type="dxa"/>
            <w:vAlign w:val="bottom"/>
          </w:tcPr>
          <w:p>
            <w:pPr>
              <w:spacing w:after="0"/>
              <w:rPr>
                <w:sz w:val="19"/>
                <w:szCs w:val="19"/>
                <w:color w:val="auto"/>
              </w:rPr>
            </w:pPr>
          </w:p>
        </w:tc>
        <w:tc>
          <w:tcPr>
            <w:tcW w:w="2080" w:type="dxa"/>
            <w:vAlign w:val="bottom"/>
            <w:gridSpan w:val="4"/>
          </w:tcPr>
          <w:p>
            <w:pPr>
              <w:jc w:val="right"/>
              <w:ind w:right="440"/>
              <w:spacing w:after="0"/>
              <w:rPr>
                <w:sz w:val="20"/>
                <w:szCs w:val="20"/>
                <w:color w:val="auto"/>
              </w:rPr>
            </w:pPr>
            <w:r>
              <w:rPr>
                <w:rFonts w:ascii="Arial" w:cs="Arial" w:eastAsia="Arial" w:hAnsi="Arial"/>
                <w:sz w:val="16"/>
                <w:szCs w:val="16"/>
                <w:color w:val="auto"/>
              </w:rPr>
              <w:t>5.5 years</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4.7 years</w:t>
            </w:r>
          </w:p>
        </w:tc>
      </w:tr>
      <w:tr>
        <w:trPr>
          <w:trHeight w:val="33"/>
        </w:trPr>
        <w:tc>
          <w:tcPr>
            <w:tcW w:w="7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37"/>
        </w:trPr>
        <w:tc>
          <w:tcPr>
            <w:tcW w:w="7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Weighted-average volatility (4)</w:t>
            </w:r>
          </w:p>
        </w:tc>
        <w:tc>
          <w:tcPr>
            <w:tcW w:w="3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30.43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30.96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57"/>
        </w:trPr>
        <w:tc>
          <w:tcPr>
            <w:tcW w:w="7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0" w:type="dxa"/>
            <w:vAlign w:val="bottom"/>
          </w:tcPr>
          <w:p>
            <w:pPr>
              <w:spacing w:after="0"/>
              <w:rPr>
                <w:sz w:val="22"/>
                <w:szCs w:val="22"/>
                <w:color w:val="auto"/>
              </w:rPr>
            </w:pPr>
          </w:p>
        </w:tc>
      </w:tr>
      <w:tr>
        <w:trPr>
          <w:trHeight w:val="237"/>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Weighted-average grant date fair value per option</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3.12</w:t>
            </w:r>
          </w:p>
        </w:tc>
        <w:tc>
          <w:tcPr>
            <w:tcW w:w="6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5.11</w:t>
            </w:r>
          </w:p>
        </w:tc>
        <w:tc>
          <w:tcPr>
            <w:tcW w:w="200" w:type="dxa"/>
            <w:vAlign w:val="bottom"/>
            <w:tcBorders>
              <w:bottom w:val="single" w:sz="8" w:color="CCEEFF"/>
            </w:tcBorders>
            <w:shd w:val="clear" w:color="auto" w:fill="CCEEFF"/>
          </w:tcPr>
          <w:p>
            <w:pPr>
              <w:spacing w:after="0"/>
              <w:rPr>
                <w:sz w:val="20"/>
                <w:szCs w:val="20"/>
                <w:color w:val="auto"/>
              </w:rPr>
            </w:pPr>
          </w:p>
        </w:tc>
      </w:tr>
      <w:tr>
        <w:trPr>
          <w:trHeight w:val="274"/>
        </w:trPr>
        <w:tc>
          <w:tcPr>
            <w:tcW w:w="7160" w:type="dxa"/>
            <w:vAlign w:val="bottom"/>
          </w:tcPr>
          <w:p>
            <w:pPr>
              <w:spacing w:after="0"/>
              <w:rPr>
                <w:sz w:val="20"/>
                <w:szCs w:val="20"/>
                <w:color w:val="auto"/>
              </w:rPr>
            </w:pPr>
            <w:r>
              <w:rPr>
                <w:rFonts w:ascii="Arial" w:cs="Arial" w:eastAsia="Arial" w:hAnsi="Arial"/>
                <w:sz w:val="16"/>
                <w:szCs w:val="16"/>
                <w:color w:val="auto"/>
              </w:rPr>
              <w:t>________________</w:t>
            </w:r>
          </w:p>
        </w:tc>
        <w:tc>
          <w:tcPr>
            <w:tcW w:w="3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0" w:type="dxa"/>
            <w:vAlign w:val="bottom"/>
          </w:tcPr>
          <w:p>
            <w:pPr>
              <w:spacing w:after="0"/>
              <w:rPr>
                <w:sz w:val="23"/>
                <w:szCs w:val="23"/>
                <w:color w:val="auto"/>
              </w:rPr>
            </w:pPr>
          </w:p>
        </w:tc>
      </w:tr>
    </w:tbl>
    <w:p>
      <w:pPr>
        <w:ind w:left="660" w:hanging="652"/>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Risk-free interest rate is the U.S. Treasury yield curve in effect as of the grant date for periods within the expected term of the option.</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Dividend yield is the level of dividends expected to be paid on the Company’s common stock over the expected term of the option.</w:t>
      </w:r>
    </w:p>
    <w:p>
      <w:pPr>
        <w:spacing w:after="0" w:line="5" w:lineRule="exact"/>
        <w:rPr>
          <w:rFonts w:ascii="Arial" w:cs="Arial" w:eastAsia="Arial" w:hAnsi="Arial"/>
          <w:sz w:val="16"/>
          <w:szCs w:val="16"/>
          <w:color w:val="auto"/>
        </w:rPr>
      </w:pPr>
    </w:p>
    <w:p>
      <w:pPr>
        <w:ind w:left="660" w:hanging="652"/>
        <w:spacing w:after="0" w:line="246"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Expected term represents the period of time that the options are expected to be outstanding. The Company estimates the expected term based on historical exercise experience for its stock options.</w:t>
      </w:r>
    </w:p>
    <w:p>
      <w:pPr>
        <w:ind w:left="660" w:hanging="652"/>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the historical volatility of the Company’s stock.</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represents unrecognized stock compensation expense and the remaining weighted-average vesting period as of June 28, 2020:</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UNRECOGNIZED</w:t>
            </w:r>
          </w:p>
        </w:tc>
        <w:tc>
          <w:tcPr>
            <w:tcW w:w="18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REMAINING WEIGHTED-</w:t>
            </w:r>
          </w:p>
        </w:tc>
        <w:tc>
          <w:tcPr>
            <w:tcW w:w="0" w:type="dxa"/>
            <w:vAlign w:val="bottom"/>
          </w:tcPr>
          <w:p>
            <w:pPr>
              <w:spacing w:after="0"/>
              <w:rPr>
                <w:sz w:val="1"/>
                <w:szCs w:val="1"/>
                <w:color w:val="auto"/>
              </w:rPr>
            </w:pPr>
          </w:p>
        </w:tc>
      </w:tr>
      <w:tr>
        <w:trPr>
          <w:trHeight w:val="148"/>
        </w:trPr>
        <w:tc>
          <w:tcPr>
            <w:tcW w:w="7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COMPENSATION</w:t>
            </w:r>
          </w:p>
        </w:tc>
        <w:tc>
          <w:tcPr>
            <w:tcW w:w="1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9"/>
              </w:rPr>
              <w:t>EXPENSE</w:t>
            </w:r>
          </w:p>
        </w:tc>
        <w:tc>
          <w:tcPr>
            <w:tcW w:w="1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AVERAGE VESTING</w:t>
            </w:r>
          </w:p>
        </w:tc>
        <w:tc>
          <w:tcPr>
            <w:tcW w:w="0" w:type="dxa"/>
            <w:vAlign w:val="bottom"/>
          </w:tcPr>
          <w:p>
            <w:pPr>
              <w:spacing w:after="0"/>
              <w:rPr>
                <w:sz w:val="1"/>
                <w:szCs w:val="1"/>
                <w:color w:val="auto"/>
              </w:rPr>
            </w:pPr>
          </w:p>
        </w:tc>
      </w:tr>
      <w:tr>
        <w:trPr>
          <w:trHeight w:val="205"/>
        </w:trPr>
        <w:tc>
          <w:tcPr>
            <w:tcW w:w="7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(dollars in thousands)</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8"/>
              </w:rPr>
              <w:t>PERIOD (in years)</w:t>
            </w:r>
          </w:p>
        </w:tc>
        <w:tc>
          <w:tcPr>
            <w:tcW w:w="0" w:type="dxa"/>
            <w:vAlign w:val="bottom"/>
          </w:tcPr>
          <w:p>
            <w:pPr>
              <w:spacing w:after="0"/>
              <w:rPr>
                <w:sz w:val="1"/>
                <w:szCs w:val="1"/>
                <w:color w:val="auto"/>
              </w:rPr>
            </w:pPr>
          </w:p>
        </w:tc>
      </w:tr>
      <w:tr>
        <w:trPr>
          <w:trHeight w:val="237"/>
        </w:trPr>
        <w:tc>
          <w:tcPr>
            <w:tcW w:w="7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 options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bottom w:val="single" w:sz="8" w:color="CCEEFF"/>
            </w:tcBorders>
            <w:shd w:val="clear" w:color="auto" w:fill="CCEEFF"/>
          </w:tcPr>
          <w:p>
            <w:pPr>
              <w:jc w:val="right"/>
              <w:ind w:right="64"/>
              <w:spacing w:after="0"/>
              <w:rPr>
                <w:sz w:val="20"/>
                <w:szCs w:val="20"/>
                <w:color w:val="auto"/>
              </w:rPr>
            </w:pPr>
            <w:r>
              <w:rPr>
                <w:rFonts w:ascii="Arial" w:cs="Arial" w:eastAsia="Arial" w:hAnsi="Arial"/>
                <w:sz w:val="16"/>
                <w:szCs w:val="16"/>
                <w:color w:val="auto"/>
              </w:rPr>
              <w:t>5,085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23"/>
        </w:trPr>
        <w:tc>
          <w:tcPr>
            <w:tcW w:w="7400" w:type="dxa"/>
            <w:vAlign w:val="bottom"/>
          </w:tcPr>
          <w:p>
            <w:pPr>
              <w:ind w:left="20"/>
              <w:spacing w:after="0"/>
              <w:rPr>
                <w:sz w:val="20"/>
                <w:szCs w:val="20"/>
                <w:color w:val="auto"/>
              </w:rPr>
            </w:pPr>
            <w:r>
              <w:rPr>
                <w:rFonts w:ascii="Arial" w:cs="Arial" w:eastAsia="Arial" w:hAnsi="Arial"/>
                <w:sz w:val="16"/>
                <w:szCs w:val="16"/>
                <w:color w:val="auto"/>
              </w:rPr>
              <w:t>Restricted stock units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ind w:right="64"/>
              <w:spacing w:after="0"/>
              <w:rPr>
                <w:sz w:val="20"/>
                <w:szCs w:val="20"/>
                <w:color w:val="auto"/>
              </w:rPr>
            </w:pPr>
            <w:r>
              <w:rPr>
                <w:rFonts w:ascii="Arial" w:cs="Arial" w:eastAsia="Arial" w:hAnsi="Arial"/>
                <w:sz w:val="16"/>
                <w:szCs w:val="16"/>
                <w:color w:val="auto"/>
              </w:rPr>
              <w:t>15,568</w:t>
            </w: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Performance-based share units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ind w:right="64"/>
              <w:spacing w:after="0"/>
              <w:rPr>
                <w:sz w:val="20"/>
                <w:szCs w:val="20"/>
                <w:color w:val="auto"/>
              </w:rPr>
            </w:pPr>
            <w:r>
              <w:rPr>
                <w:rFonts w:ascii="Arial" w:cs="Arial" w:eastAsia="Arial" w:hAnsi="Arial"/>
                <w:sz w:val="16"/>
                <w:szCs w:val="16"/>
                <w:color w:val="auto"/>
              </w:rPr>
              <w:t>12,316</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33"/>
        </w:trPr>
        <w:tc>
          <w:tcPr>
            <w:tcW w:w="74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21" w:lineRule="exact"/>
        <w:rPr>
          <w:sz w:val="20"/>
          <w:szCs w:val="20"/>
          <w:color w:val="auto"/>
        </w:rPr>
      </w:pPr>
    </w:p>
    <w:p>
      <w:pPr>
        <w:spacing w:after="0"/>
        <w:rPr>
          <w:sz w:val="20"/>
          <w:szCs w:val="20"/>
          <w:color w:val="auto"/>
        </w:rPr>
      </w:pPr>
      <w:r>
        <w:rPr>
          <w:rFonts w:ascii="Arial" w:cs="Arial" w:eastAsia="Arial" w:hAnsi="Arial"/>
          <w:sz w:val="20"/>
          <w:szCs w:val="20"/>
          <w:color w:val="auto"/>
        </w:rPr>
        <w:t>7. Other Current Assets, Net</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Other current assets, net, consisted of the following as of the periods indicated: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18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20" w:type="dxa"/>
            <w:vAlign w:val="bottom"/>
          </w:tcPr>
          <w:p>
            <w:pPr>
              <w:spacing w:after="0"/>
              <w:rPr>
                <w:sz w:val="17"/>
                <w:szCs w:val="17"/>
                <w:color w:val="auto"/>
              </w:rPr>
            </w:pPr>
          </w:p>
        </w:tc>
        <w:tc>
          <w:tcPr>
            <w:tcW w:w="176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28, 2020</w:t>
            </w:r>
          </w:p>
        </w:tc>
        <w:tc>
          <w:tcPr>
            <w:tcW w:w="200" w:type="dxa"/>
            <w:vAlign w:val="bottom"/>
          </w:tcPr>
          <w:p>
            <w:pPr>
              <w:spacing w:after="0"/>
              <w:rPr>
                <w:sz w:val="17"/>
                <w:szCs w:val="17"/>
                <w:color w:val="auto"/>
              </w:rPr>
            </w:pPr>
          </w:p>
        </w:tc>
        <w:tc>
          <w:tcPr>
            <w:tcW w:w="1780" w:type="dxa"/>
            <w:vAlign w:val="bottom"/>
          </w:tcPr>
          <w:p>
            <w:pPr>
              <w:jc w:val="right"/>
              <w:ind w:right="220"/>
              <w:spacing w:after="0"/>
              <w:rPr>
                <w:sz w:val="20"/>
                <w:szCs w:val="20"/>
                <w:color w:val="auto"/>
              </w:rPr>
            </w:pPr>
            <w:r>
              <w:rPr>
                <w:rFonts w:ascii="Arial" w:cs="Arial" w:eastAsia="Arial" w:hAnsi="Arial"/>
                <w:sz w:val="14"/>
                <w:szCs w:val="14"/>
                <w:b w:val="1"/>
                <w:bCs w:val="1"/>
                <w:color w:val="auto"/>
              </w:rPr>
              <w:t>DECEMBER 29, 2019</w:t>
            </w:r>
          </w:p>
        </w:tc>
      </w:tr>
      <w:tr>
        <w:trPr>
          <w:trHeight w:val="236"/>
        </w:trPr>
        <w:tc>
          <w:tcPr>
            <w:tcW w:w="7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Prepaid expenses</w:t>
            </w:r>
          </w:p>
        </w:tc>
        <w:tc>
          <w:tcPr>
            <w:tcW w:w="320" w:type="dxa"/>
            <w:vAlign w:val="bottom"/>
            <w:tcBorders>
              <w:top w:val="single" w:sz="8" w:color="auto"/>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21,729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80" w:type="dxa"/>
            <w:vAlign w:val="bottom"/>
            <w:tcBorders>
              <w:top w:val="single" w:sz="8" w:color="auto"/>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20,218</w:t>
            </w:r>
          </w:p>
        </w:tc>
      </w:tr>
      <w:tr>
        <w:trPr>
          <w:trHeight w:val="223"/>
        </w:trPr>
        <w:tc>
          <w:tcPr>
            <w:tcW w:w="7180" w:type="dxa"/>
            <w:vAlign w:val="bottom"/>
          </w:tcPr>
          <w:p>
            <w:pPr>
              <w:ind w:left="20"/>
              <w:spacing w:after="0"/>
              <w:rPr>
                <w:sz w:val="20"/>
                <w:szCs w:val="20"/>
                <w:color w:val="auto"/>
              </w:rPr>
            </w:pPr>
            <w:r>
              <w:rPr>
                <w:rFonts w:ascii="Arial" w:cs="Arial" w:eastAsia="Arial" w:hAnsi="Arial"/>
                <w:sz w:val="16"/>
                <w:szCs w:val="16"/>
                <w:color w:val="auto"/>
              </w:rPr>
              <w:t>Accounts receivable - gift cards, net</w:t>
            </w:r>
          </w:p>
        </w:tc>
        <w:tc>
          <w:tcPr>
            <w:tcW w:w="320" w:type="dxa"/>
            <w:vAlign w:val="bottom"/>
          </w:tcPr>
          <w:p>
            <w:pPr>
              <w:spacing w:after="0"/>
              <w:rPr>
                <w:sz w:val="19"/>
                <w:szCs w:val="19"/>
                <w:color w:val="auto"/>
              </w:rPr>
            </w:pPr>
          </w:p>
        </w:tc>
        <w:tc>
          <w:tcPr>
            <w:tcW w:w="1660" w:type="dxa"/>
            <w:vAlign w:val="bottom"/>
          </w:tcPr>
          <w:p>
            <w:pPr>
              <w:jc w:val="right"/>
              <w:ind w:right="60"/>
              <w:spacing w:after="0"/>
              <w:rPr>
                <w:sz w:val="20"/>
                <w:szCs w:val="20"/>
                <w:color w:val="auto"/>
              </w:rPr>
            </w:pPr>
            <w:r>
              <w:rPr>
                <w:rFonts w:ascii="Arial" w:cs="Arial" w:eastAsia="Arial" w:hAnsi="Arial"/>
                <w:sz w:val="16"/>
                <w:szCs w:val="16"/>
                <w:color w:val="auto"/>
              </w:rPr>
              <w:t>13,100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ind w:right="60"/>
              <w:spacing w:after="0"/>
              <w:rPr>
                <w:sz w:val="20"/>
                <w:szCs w:val="20"/>
                <w:color w:val="auto"/>
              </w:rPr>
            </w:pPr>
            <w:r>
              <w:rPr>
                <w:rFonts w:ascii="Arial" w:cs="Arial" w:eastAsia="Arial" w:hAnsi="Arial"/>
                <w:sz w:val="16"/>
                <w:szCs w:val="16"/>
                <w:color w:val="auto"/>
              </w:rPr>
              <w:t>104,591</w:t>
            </w:r>
          </w:p>
        </w:tc>
      </w:tr>
      <w:tr>
        <w:trPr>
          <w:trHeight w:val="33"/>
        </w:trPr>
        <w:tc>
          <w:tcPr>
            <w:tcW w:w="7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36"/>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Accounts receivable - vendors, net</w:t>
            </w:r>
          </w:p>
        </w:tc>
        <w:tc>
          <w:tcPr>
            <w:tcW w:w="32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6,550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13,465</w:t>
            </w:r>
          </w:p>
        </w:tc>
      </w:tr>
      <w:tr>
        <w:trPr>
          <w:trHeight w:val="223"/>
        </w:trPr>
        <w:tc>
          <w:tcPr>
            <w:tcW w:w="7180" w:type="dxa"/>
            <w:vAlign w:val="bottom"/>
          </w:tcPr>
          <w:p>
            <w:pPr>
              <w:ind w:left="20"/>
              <w:spacing w:after="0"/>
              <w:rPr>
                <w:sz w:val="20"/>
                <w:szCs w:val="20"/>
                <w:color w:val="auto"/>
              </w:rPr>
            </w:pPr>
            <w:r>
              <w:rPr>
                <w:rFonts w:ascii="Arial" w:cs="Arial" w:eastAsia="Arial" w:hAnsi="Arial"/>
                <w:sz w:val="16"/>
                <w:szCs w:val="16"/>
                <w:color w:val="auto"/>
              </w:rPr>
              <w:t>Accounts receivable - franchisees, net</w:t>
            </w:r>
          </w:p>
        </w:tc>
        <w:tc>
          <w:tcPr>
            <w:tcW w:w="320" w:type="dxa"/>
            <w:vAlign w:val="bottom"/>
          </w:tcPr>
          <w:p>
            <w:pPr>
              <w:spacing w:after="0"/>
              <w:rPr>
                <w:sz w:val="19"/>
                <w:szCs w:val="19"/>
                <w:color w:val="auto"/>
              </w:rPr>
            </w:pPr>
          </w:p>
        </w:tc>
        <w:tc>
          <w:tcPr>
            <w:tcW w:w="1660" w:type="dxa"/>
            <w:vAlign w:val="bottom"/>
          </w:tcPr>
          <w:p>
            <w:pPr>
              <w:jc w:val="right"/>
              <w:ind w:right="60"/>
              <w:spacing w:after="0"/>
              <w:rPr>
                <w:sz w:val="20"/>
                <w:szCs w:val="20"/>
                <w:color w:val="auto"/>
              </w:rPr>
            </w:pPr>
            <w:r>
              <w:rPr>
                <w:rFonts w:ascii="Arial" w:cs="Arial" w:eastAsia="Arial" w:hAnsi="Arial"/>
                <w:sz w:val="16"/>
                <w:szCs w:val="16"/>
                <w:color w:val="auto"/>
              </w:rPr>
              <w:t>545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ind w:right="60"/>
              <w:spacing w:after="0"/>
              <w:rPr>
                <w:sz w:val="20"/>
                <w:szCs w:val="20"/>
                <w:color w:val="auto"/>
              </w:rPr>
            </w:pPr>
            <w:r>
              <w:rPr>
                <w:rFonts w:ascii="Arial" w:cs="Arial" w:eastAsia="Arial" w:hAnsi="Arial"/>
                <w:sz w:val="16"/>
                <w:szCs w:val="16"/>
                <w:color w:val="auto"/>
              </w:rPr>
              <w:t>1,322</w:t>
            </w:r>
          </w:p>
        </w:tc>
      </w:tr>
      <w:tr>
        <w:trPr>
          <w:trHeight w:val="33"/>
        </w:trPr>
        <w:tc>
          <w:tcPr>
            <w:tcW w:w="7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36"/>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Accounts receivable - other, net</w:t>
            </w:r>
          </w:p>
        </w:tc>
        <w:tc>
          <w:tcPr>
            <w:tcW w:w="32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13,699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21,734</w:t>
            </w:r>
          </w:p>
        </w:tc>
      </w:tr>
      <w:tr>
        <w:trPr>
          <w:trHeight w:val="223"/>
        </w:trPr>
        <w:tc>
          <w:tcPr>
            <w:tcW w:w="7180" w:type="dxa"/>
            <w:vAlign w:val="bottom"/>
          </w:tcPr>
          <w:p>
            <w:pPr>
              <w:ind w:left="20"/>
              <w:spacing w:after="0"/>
              <w:rPr>
                <w:sz w:val="20"/>
                <w:szCs w:val="20"/>
                <w:color w:val="auto"/>
              </w:rPr>
            </w:pPr>
            <w:r>
              <w:rPr>
                <w:rFonts w:ascii="Arial" w:cs="Arial" w:eastAsia="Arial" w:hAnsi="Arial"/>
                <w:sz w:val="16"/>
                <w:szCs w:val="16"/>
                <w:color w:val="auto"/>
              </w:rPr>
              <w:t>Deferred gift card sales commissions</w:t>
            </w:r>
          </w:p>
        </w:tc>
        <w:tc>
          <w:tcPr>
            <w:tcW w:w="320" w:type="dxa"/>
            <w:vAlign w:val="bottom"/>
          </w:tcPr>
          <w:p>
            <w:pPr>
              <w:spacing w:after="0"/>
              <w:rPr>
                <w:sz w:val="19"/>
                <w:szCs w:val="19"/>
                <w:color w:val="auto"/>
              </w:rPr>
            </w:pPr>
          </w:p>
        </w:tc>
        <w:tc>
          <w:tcPr>
            <w:tcW w:w="1660" w:type="dxa"/>
            <w:vAlign w:val="bottom"/>
          </w:tcPr>
          <w:p>
            <w:pPr>
              <w:jc w:val="right"/>
              <w:ind w:right="60"/>
              <w:spacing w:after="0"/>
              <w:rPr>
                <w:sz w:val="20"/>
                <w:szCs w:val="20"/>
                <w:color w:val="auto"/>
              </w:rPr>
            </w:pPr>
            <w:r>
              <w:rPr>
                <w:rFonts w:ascii="Arial" w:cs="Arial" w:eastAsia="Arial" w:hAnsi="Arial"/>
                <w:sz w:val="16"/>
                <w:szCs w:val="16"/>
                <w:color w:val="auto"/>
              </w:rPr>
              <w:t>13,624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ind w:right="60"/>
              <w:spacing w:after="0"/>
              <w:rPr>
                <w:sz w:val="20"/>
                <w:szCs w:val="20"/>
                <w:color w:val="auto"/>
              </w:rPr>
            </w:pPr>
            <w:r>
              <w:rPr>
                <w:rFonts w:ascii="Arial" w:cs="Arial" w:eastAsia="Arial" w:hAnsi="Arial"/>
                <w:sz w:val="16"/>
                <w:szCs w:val="16"/>
                <w:color w:val="auto"/>
              </w:rPr>
              <w:t>18,554</w:t>
            </w:r>
          </w:p>
        </w:tc>
      </w:tr>
      <w:tr>
        <w:trPr>
          <w:trHeight w:val="33"/>
        </w:trPr>
        <w:tc>
          <w:tcPr>
            <w:tcW w:w="7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36"/>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 held for sale</w:t>
            </w:r>
          </w:p>
        </w:tc>
        <w:tc>
          <w:tcPr>
            <w:tcW w:w="32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3,786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3,317</w:t>
            </w:r>
          </w:p>
        </w:tc>
      </w:tr>
      <w:tr>
        <w:trPr>
          <w:trHeight w:val="270"/>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current assets, net (1)</w:t>
            </w:r>
          </w:p>
        </w:tc>
        <w:tc>
          <w:tcPr>
            <w:tcW w:w="32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8,456</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7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3,261</w:t>
            </w:r>
          </w:p>
        </w:tc>
      </w:tr>
      <w:tr>
        <w:trPr>
          <w:trHeight w:val="275"/>
        </w:trPr>
        <w:tc>
          <w:tcPr>
            <w:tcW w:w="71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81,489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186,462</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19" w:lineRule="exact"/>
        <w:rPr>
          <w:sz w:val="20"/>
          <w:szCs w:val="20"/>
          <w:color w:val="auto"/>
        </w:rPr>
      </w:pPr>
    </w:p>
    <w:p>
      <w:pPr>
        <w:ind w:left="660" w:hanging="652"/>
        <w:spacing w:after="0" w:line="257"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Includes $3.7 million of Company-owned life insurance policies as of June 28, 2020 transferred to Other current assets, net during the twenty-six weeks ended June 28, 2020 for planned payment of deferred compensation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348" w:lineRule="exact"/>
        <w:rPr>
          <w:sz w:val="20"/>
          <w:szCs w:val="20"/>
          <w:color w:val="auto"/>
        </w:rPr>
      </w:pPr>
    </w:p>
    <w:p>
      <w:pPr>
        <w:spacing w:after="0"/>
        <w:rPr>
          <w:sz w:val="20"/>
          <w:szCs w:val="20"/>
          <w:color w:val="auto"/>
        </w:rPr>
      </w:pPr>
      <w:r>
        <w:rPr>
          <w:rFonts w:ascii="Arial" w:cs="Arial" w:eastAsia="Arial" w:hAnsi="Arial"/>
          <w:sz w:val="20"/>
          <w:szCs w:val="20"/>
          <w:color w:val="auto"/>
        </w:rPr>
        <w:t>8. Property, Fixtures and Equipment, Net</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Property, fixtures and equipment, net, consisted of the following as of the periods indicated: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18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20" w:type="dxa"/>
            <w:vAlign w:val="bottom"/>
          </w:tcPr>
          <w:p>
            <w:pPr>
              <w:spacing w:after="0"/>
              <w:rPr>
                <w:sz w:val="17"/>
                <w:szCs w:val="17"/>
                <w:color w:val="auto"/>
              </w:rPr>
            </w:pPr>
          </w:p>
        </w:tc>
        <w:tc>
          <w:tcPr>
            <w:tcW w:w="176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28, 2020</w:t>
            </w:r>
          </w:p>
        </w:tc>
        <w:tc>
          <w:tcPr>
            <w:tcW w:w="200" w:type="dxa"/>
            <w:vAlign w:val="bottom"/>
          </w:tcPr>
          <w:p>
            <w:pPr>
              <w:spacing w:after="0"/>
              <w:rPr>
                <w:sz w:val="17"/>
                <w:szCs w:val="17"/>
                <w:color w:val="auto"/>
              </w:rPr>
            </w:pPr>
          </w:p>
        </w:tc>
        <w:tc>
          <w:tcPr>
            <w:tcW w:w="1780" w:type="dxa"/>
            <w:vAlign w:val="bottom"/>
          </w:tcPr>
          <w:p>
            <w:pPr>
              <w:jc w:val="right"/>
              <w:ind w:right="220"/>
              <w:spacing w:after="0"/>
              <w:rPr>
                <w:sz w:val="20"/>
                <w:szCs w:val="20"/>
                <w:color w:val="auto"/>
              </w:rPr>
            </w:pPr>
            <w:r>
              <w:rPr>
                <w:rFonts w:ascii="Arial" w:cs="Arial" w:eastAsia="Arial" w:hAnsi="Arial"/>
                <w:sz w:val="14"/>
                <w:szCs w:val="14"/>
                <w:b w:val="1"/>
                <w:bCs w:val="1"/>
                <w:color w:val="auto"/>
              </w:rPr>
              <w:t>DECEMBER 29, 2019</w:t>
            </w:r>
          </w:p>
        </w:tc>
      </w:tr>
      <w:tr>
        <w:trPr>
          <w:trHeight w:val="236"/>
        </w:trPr>
        <w:tc>
          <w:tcPr>
            <w:tcW w:w="7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Land</w:t>
            </w:r>
          </w:p>
        </w:tc>
        <w:tc>
          <w:tcPr>
            <w:tcW w:w="320" w:type="dxa"/>
            <w:vAlign w:val="bottom"/>
            <w:tcBorders>
              <w:top w:val="single" w:sz="8" w:color="auto"/>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41,298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80" w:type="dxa"/>
            <w:vAlign w:val="bottom"/>
            <w:tcBorders>
              <w:top w:val="single" w:sz="8" w:color="auto"/>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42,570</w:t>
            </w:r>
          </w:p>
        </w:tc>
      </w:tr>
      <w:tr>
        <w:trPr>
          <w:trHeight w:val="224"/>
        </w:trPr>
        <w:tc>
          <w:tcPr>
            <w:tcW w:w="7180" w:type="dxa"/>
            <w:vAlign w:val="bottom"/>
          </w:tcPr>
          <w:p>
            <w:pPr>
              <w:ind w:left="20"/>
              <w:spacing w:after="0"/>
              <w:rPr>
                <w:sz w:val="20"/>
                <w:szCs w:val="20"/>
                <w:color w:val="auto"/>
              </w:rPr>
            </w:pPr>
            <w:r>
              <w:rPr>
                <w:rFonts w:ascii="Arial" w:cs="Arial" w:eastAsia="Arial" w:hAnsi="Arial"/>
                <w:sz w:val="16"/>
                <w:szCs w:val="16"/>
                <w:color w:val="auto"/>
              </w:rPr>
              <w:t>Buildings</w:t>
            </w:r>
          </w:p>
        </w:tc>
        <w:tc>
          <w:tcPr>
            <w:tcW w:w="320" w:type="dxa"/>
            <w:vAlign w:val="bottom"/>
          </w:tcPr>
          <w:p>
            <w:pPr>
              <w:spacing w:after="0"/>
              <w:rPr>
                <w:sz w:val="19"/>
                <w:szCs w:val="19"/>
                <w:color w:val="auto"/>
              </w:rPr>
            </w:pPr>
          </w:p>
        </w:tc>
        <w:tc>
          <w:tcPr>
            <w:tcW w:w="1660" w:type="dxa"/>
            <w:vAlign w:val="bottom"/>
          </w:tcPr>
          <w:p>
            <w:pPr>
              <w:jc w:val="right"/>
              <w:ind w:right="60"/>
              <w:spacing w:after="0"/>
              <w:rPr>
                <w:sz w:val="20"/>
                <w:szCs w:val="20"/>
                <w:color w:val="auto"/>
              </w:rPr>
            </w:pPr>
            <w:r>
              <w:rPr>
                <w:rFonts w:ascii="Arial" w:cs="Arial" w:eastAsia="Arial" w:hAnsi="Arial"/>
                <w:sz w:val="16"/>
                <w:szCs w:val="16"/>
                <w:color w:val="auto"/>
              </w:rPr>
              <w:t>1,153,329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ind w:right="60"/>
              <w:spacing w:after="0"/>
              <w:rPr>
                <w:sz w:val="20"/>
                <w:szCs w:val="20"/>
                <w:color w:val="auto"/>
              </w:rPr>
            </w:pPr>
            <w:r>
              <w:rPr>
                <w:rFonts w:ascii="Arial" w:cs="Arial" w:eastAsia="Arial" w:hAnsi="Arial"/>
                <w:sz w:val="16"/>
                <w:szCs w:val="16"/>
                <w:color w:val="auto"/>
              </w:rPr>
              <w:t>1,202,434</w:t>
            </w:r>
          </w:p>
        </w:tc>
      </w:tr>
      <w:tr>
        <w:trPr>
          <w:trHeight w:val="33"/>
        </w:trPr>
        <w:tc>
          <w:tcPr>
            <w:tcW w:w="7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37"/>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Furniture and fixtures</w:t>
            </w:r>
          </w:p>
        </w:tc>
        <w:tc>
          <w:tcPr>
            <w:tcW w:w="32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447,195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458,169</w:t>
            </w:r>
          </w:p>
        </w:tc>
      </w:tr>
      <w:tr>
        <w:trPr>
          <w:trHeight w:val="224"/>
        </w:trPr>
        <w:tc>
          <w:tcPr>
            <w:tcW w:w="7180" w:type="dxa"/>
            <w:vAlign w:val="bottom"/>
          </w:tcPr>
          <w:p>
            <w:pPr>
              <w:ind w:left="20"/>
              <w:spacing w:after="0"/>
              <w:rPr>
                <w:sz w:val="20"/>
                <w:szCs w:val="20"/>
                <w:color w:val="auto"/>
              </w:rPr>
            </w:pPr>
            <w:r>
              <w:rPr>
                <w:rFonts w:ascii="Arial" w:cs="Arial" w:eastAsia="Arial" w:hAnsi="Arial"/>
                <w:sz w:val="16"/>
                <w:szCs w:val="16"/>
                <w:color w:val="auto"/>
              </w:rPr>
              <w:t>Equipment</w:t>
            </w:r>
          </w:p>
        </w:tc>
        <w:tc>
          <w:tcPr>
            <w:tcW w:w="320" w:type="dxa"/>
            <w:vAlign w:val="bottom"/>
          </w:tcPr>
          <w:p>
            <w:pPr>
              <w:spacing w:after="0"/>
              <w:rPr>
                <w:sz w:val="19"/>
                <w:szCs w:val="19"/>
                <w:color w:val="auto"/>
              </w:rPr>
            </w:pPr>
          </w:p>
        </w:tc>
        <w:tc>
          <w:tcPr>
            <w:tcW w:w="1660" w:type="dxa"/>
            <w:vAlign w:val="bottom"/>
          </w:tcPr>
          <w:p>
            <w:pPr>
              <w:jc w:val="right"/>
              <w:ind w:right="60"/>
              <w:spacing w:after="0"/>
              <w:rPr>
                <w:sz w:val="20"/>
                <w:szCs w:val="20"/>
                <w:color w:val="auto"/>
              </w:rPr>
            </w:pPr>
            <w:r>
              <w:rPr>
                <w:rFonts w:ascii="Arial" w:cs="Arial" w:eastAsia="Arial" w:hAnsi="Arial"/>
                <w:sz w:val="16"/>
                <w:szCs w:val="16"/>
                <w:color w:val="auto"/>
              </w:rPr>
              <w:t>617,961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ind w:right="60"/>
              <w:spacing w:after="0"/>
              <w:rPr>
                <w:sz w:val="20"/>
                <w:szCs w:val="20"/>
                <w:color w:val="auto"/>
              </w:rPr>
            </w:pPr>
            <w:r>
              <w:rPr>
                <w:rFonts w:ascii="Arial" w:cs="Arial" w:eastAsia="Arial" w:hAnsi="Arial"/>
                <w:sz w:val="16"/>
                <w:szCs w:val="16"/>
                <w:color w:val="auto"/>
              </w:rPr>
              <w:t>665,815</w:t>
            </w:r>
          </w:p>
        </w:tc>
      </w:tr>
      <w:tr>
        <w:trPr>
          <w:trHeight w:val="33"/>
        </w:trPr>
        <w:tc>
          <w:tcPr>
            <w:tcW w:w="7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36"/>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Construction in progress</w:t>
            </w:r>
          </w:p>
        </w:tc>
        <w:tc>
          <w:tcPr>
            <w:tcW w:w="32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21,543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24,477</w:t>
            </w:r>
          </w:p>
        </w:tc>
      </w:tr>
      <w:tr>
        <w:trPr>
          <w:trHeight w:val="224"/>
        </w:trPr>
        <w:tc>
          <w:tcPr>
            <w:tcW w:w="7180" w:type="dxa"/>
            <w:vAlign w:val="bottom"/>
          </w:tcPr>
          <w:p>
            <w:pPr>
              <w:ind w:left="20"/>
              <w:spacing w:after="0"/>
              <w:rPr>
                <w:sz w:val="20"/>
                <w:szCs w:val="20"/>
                <w:color w:val="auto"/>
              </w:rPr>
            </w:pPr>
            <w:r>
              <w:rPr>
                <w:rFonts w:ascii="Arial" w:cs="Arial" w:eastAsia="Arial" w:hAnsi="Arial"/>
                <w:sz w:val="16"/>
                <w:szCs w:val="16"/>
                <w:color w:val="auto"/>
              </w:rPr>
              <w:t>Less: accumulated depreciation</w:t>
            </w:r>
          </w:p>
        </w:tc>
        <w:tc>
          <w:tcPr>
            <w:tcW w:w="320" w:type="dxa"/>
            <w:vAlign w:val="bottom"/>
          </w:tcPr>
          <w:p>
            <w:pPr>
              <w:spacing w:after="0"/>
              <w:rPr>
                <w:sz w:val="19"/>
                <w:szCs w:val="19"/>
                <w:color w:val="auto"/>
              </w:rPr>
            </w:pPr>
          </w:p>
        </w:tc>
        <w:tc>
          <w:tcPr>
            <w:tcW w:w="1660" w:type="dxa"/>
            <w:vAlign w:val="bottom"/>
          </w:tcPr>
          <w:p>
            <w:pPr>
              <w:jc w:val="right"/>
              <w:ind w:right="20"/>
              <w:spacing w:after="0"/>
              <w:rPr>
                <w:sz w:val="20"/>
                <w:szCs w:val="20"/>
                <w:color w:val="auto"/>
              </w:rPr>
            </w:pPr>
            <w:r>
              <w:rPr>
                <w:rFonts w:ascii="Arial" w:cs="Arial" w:eastAsia="Arial" w:hAnsi="Arial"/>
                <w:sz w:val="16"/>
                <w:szCs w:val="16"/>
                <w:color w:val="auto"/>
              </w:rPr>
              <w:t>(1,351,294)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ind w:right="20"/>
              <w:spacing w:after="0"/>
              <w:rPr>
                <w:sz w:val="20"/>
                <w:szCs w:val="20"/>
                <w:color w:val="auto"/>
              </w:rPr>
            </w:pPr>
            <w:r>
              <w:rPr>
                <w:rFonts w:ascii="Arial" w:cs="Arial" w:eastAsia="Arial" w:hAnsi="Arial"/>
                <w:sz w:val="16"/>
                <w:szCs w:val="16"/>
                <w:color w:val="auto"/>
              </w:rPr>
              <w:t>(1,357,388)</w:t>
            </w:r>
          </w:p>
        </w:tc>
      </w:tr>
      <w:tr>
        <w:trPr>
          <w:trHeight w:val="40"/>
        </w:trPr>
        <w:tc>
          <w:tcPr>
            <w:tcW w:w="71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r>
      <w:tr>
        <w:trPr>
          <w:trHeight w:val="281"/>
        </w:trPr>
        <w:tc>
          <w:tcPr>
            <w:tcW w:w="71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930,032</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1,036,077</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9. Goodwill and Intangible Assets, Net</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 xml:space="preserve">Goodwill - </w:t>
      </w:r>
      <w:r>
        <w:rPr>
          <w:rFonts w:ascii="Arial" w:cs="Arial" w:eastAsia="Arial" w:hAnsi="Arial"/>
          <w:sz w:val="20"/>
          <w:szCs w:val="20"/>
          <w:color w:val="auto"/>
        </w:rPr>
        <w:t>The following table is a rollforward of goodwill:</w:t>
      </w:r>
    </w:p>
    <w:p>
      <w:pPr>
        <w:spacing w:after="0" w:line="142" w:lineRule="exact"/>
        <w:rPr>
          <w:sz w:val="20"/>
          <w:szCs w:val="20"/>
          <w:color w:val="auto"/>
        </w:rPr>
      </w:pPr>
    </w:p>
    <w:tbl>
      <w:tblPr>
        <w:tblLayout w:type="fixed"/>
        <w:tblInd w:w="40" w:type="dxa"/>
        <w:tblCellMar>
          <w:top w:w="0" w:type="dxa"/>
          <w:left w:w="0" w:type="dxa"/>
          <w:bottom w:w="0" w:type="dxa"/>
          <w:right w:w="0" w:type="dxa"/>
        </w:tblCellMar>
      </w:tblPr>
      <w:tr>
        <w:trPr>
          <w:trHeight w:val="205"/>
        </w:trPr>
        <w:tc>
          <w:tcPr>
            <w:tcW w:w="6060" w:type="dxa"/>
            <w:vAlign w:val="bottom"/>
          </w:tcPr>
          <w:p>
            <w:pPr>
              <w:spacing w:after="0"/>
              <w:rPr>
                <w:sz w:val="20"/>
                <w:szCs w:val="20"/>
                <w:color w:val="auto"/>
              </w:rPr>
            </w:pPr>
            <w:r>
              <w:rPr>
                <w:rFonts w:ascii="Arial" w:cs="Arial" w:eastAsia="Arial" w:hAnsi="Arial"/>
                <w:sz w:val="14"/>
                <w:szCs w:val="14"/>
                <w:b w:val="1"/>
                <w:bCs w:val="1"/>
                <w:color w:val="auto"/>
              </w:rPr>
              <w:t>(dollars in thousands)</w:t>
            </w:r>
          </w:p>
        </w:tc>
        <w:tc>
          <w:tcPr>
            <w:tcW w:w="400" w:type="dxa"/>
            <w:vAlign w:val="bottom"/>
          </w:tcPr>
          <w:p>
            <w:pPr>
              <w:spacing w:after="0"/>
              <w:rPr>
                <w:sz w:val="17"/>
                <w:szCs w:val="17"/>
                <w:color w:val="auto"/>
              </w:rPr>
            </w:pPr>
          </w:p>
        </w:tc>
        <w:tc>
          <w:tcPr>
            <w:tcW w:w="1360" w:type="dxa"/>
            <w:vAlign w:val="bottom"/>
            <w:gridSpan w:val="2"/>
          </w:tcPr>
          <w:p>
            <w:pPr>
              <w:ind w:left="300"/>
              <w:spacing w:after="0"/>
              <w:rPr>
                <w:sz w:val="20"/>
                <w:szCs w:val="20"/>
                <w:color w:val="auto"/>
              </w:rPr>
            </w:pPr>
            <w:r>
              <w:rPr>
                <w:rFonts w:ascii="Arial" w:cs="Arial" w:eastAsia="Arial" w:hAnsi="Arial"/>
                <w:sz w:val="14"/>
                <w:szCs w:val="14"/>
                <w:b w:val="1"/>
                <w:bCs w:val="1"/>
                <w:color w:val="auto"/>
              </w:rPr>
              <w:t>U.S.</w:t>
            </w:r>
          </w:p>
        </w:tc>
        <w:tc>
          <w:tcPr>
            <w:tcW w:w="140" w:type="dxa"/>
            <w:vAlign w:val="bottom"/>
          </w:tcPr>
          <w:p>
            <w:pPr>
              <w:spacing w:after="0"/>
              <w:rPr>
                <w:sz w:val="17"/>
                <w:szCs w:val="17"/>
                <w:color w:val="auto"/>
              </w:rPr>
            </w:pPr>
          </w:p>
        </w:tc>
        <w:tc>
          <w:tcPr>
            <w:tcW w:w="1600" w:type="dxa"/>
            <w:vAlign w:val="bottom"/>
            <w:gridSpan w:val="2"/>
          </w:tcPr>
          <w:p>
            <w:pPr>
              <w:ind w:left="60"/>
              <w:spacing w:after="0"/>
              <w:rPr>
                <w:sz w:val="20"/>
                <w:szCs w:val="20"/>
                <w:color w:val="auto"/>
              </w:rPr>
            </w:pPr>
            <w:r>
              <w:rPr>
                <w:rFonts w:ascii="Arial" w:cs="Arial" w:eastAsia="Arial" w:hAnsi="Arial"/>
                <w:sz w:val="14"/>
                <w:szCs w:val="14"/>
                <w:b w:val="1"/>
                <w:bCs w:val="1"/>
                <w:color w:val="auto"/>
              </w:rPr>
              <w:t>INTERNATIONAL</w:t>
            </w:r>
          </w:p>
        </w:tc>
        <w:tc>
          <w:tcPr>
            <w:tcW w:w="160" w:type="dxa"/>
            <w:vAlign w:val="bottom"/>
          </w:tcPr>
          <w:p>
            <w:pPr>
              <w:spacing w:after="0"/>
              <w:rPr>
                <w:sz w:val="17"/>
                <w:szCs w:val="17"/>
                <w:color w:val="auto"/>
              </w:rPr>
            </w:pPr>
          </w:p>
        </w:tc>
        <w:tc>
          <w:tcPr>
            <w:tcW w:w="1460" w:type="dxa"/>
            <w:vAlign w:val="bottom"/>
          </w:tcPr>
          <w:p>
            <w:pPr>
              <w:jc w:val="right"/>
              <w:ind w:right="161"/>
              <w:spacing w:after="0"/>
              <w:rPr>
                <w:sz w:val="20"/>
                <w:szCs w:val="20"/>
                <w:color w:val="auto"/>
              </w:rPr>
            </w:pPr>
            <w:r>
              <w:rPr>
                <w:rFonts w:ascii="Arial" w:cs="Arial" w:eastAsia="Arial" w:hAnsi="Arial"/>
                <w:sz w:val="14"/>
                <w:szCs w:val="14"/>
                <w:b w:val="1"/>
                <w:bCs w:val="1"/>
                <w:color w:val="auto"/>
              </w:rPr>
              <w:t>CONSOLIDATED</w:t>
            </w:r>
          </w:p>
        </w:tc>
      </w:tr>
      <w:tr>
        <w:trPr>
          <w:trHeight w:val="237"/>
        </w:trPr>
        <w:tc>
          <w:tcPr>
            <w:tcW w:w="6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as of December 29, 2019</w:t>
            </w:r>
          </w:p>
        </w:tc>
        <w:tc>
          <w:tcPr>
            <w:tcW w:w="400" w:type="dxa"/>
            <w:vAlign w:val="bottom"/>
            <w:tcBorders>
              <w:top w:val="single" w:sz="8" w:color="auto"/>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170,657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117,782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288,439</w:t>
            </w:r>
          </w:p>
        </w:tc>
      </w:tr>
      <w:tr>
        <w:trPr>
          <w:trHeight w:val="223"/>
        </w:trPr>
        <w:tc>
          <w:tcPr>
            <w:tcW w:w="6060" w:type="dxa"/>
            <w:vAlign w:val="bottom"/>
          </w:tcPr>
          <w:p>
            <w:pPr>
              <w:ind w:left="100"/>
              <w:spacing w:after="0"/>
              <w:rPr>
                <w:sz w:val="20"/>
                <w:szCs w:val="20"/>
                <w:color w:val="auto"/>
              </w:rPr>
            </w:pPr>
            <w:r>
              <w:rPr>
                <w:rFonts w:ascii="Arial" w:cs="Arial" w:eastAsia="Arial" w:hAnsi="Arial"/>
                <w:sz w:val="16"/>
                <w:szCs w:val="16"/>
                <w:color w:val="auto"/>
              </w:rPr>
              <w:t>Translation adjustments</w:t>
            </w:r>
          </w:p>
        </w:tc>
        <w:tc>
          <w:tcPr>
            <w:tcW w:w="400" w:type="dxa"/>
            <w:vAlign w:val="bottom"/>
          </w:tcPr>
          <w:p>
            <w:pPr>
              <w:spacing w:after="0"/>
              <w:rPr>
                <w:sz w:val="19"/>
                <w:szCs w:val="19"/>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480" w:type="dxa"/>
            <w:vAlign w:val="bottom"/>
          </w:tcPr>
          <w:p>
            <w:pPr>
              <w:jc w:val="right"/>
              <w:ind w:right="21"/>
              <w:spacing w:after="0"/>
              <w:rPr>
                <w:sz w:val="20"/>
                <w:szCs w:val="20"/>
                <w:color w:val="auto"/>
              </w:rPr>
            </w:pPr>
            <w:r>
              <w:rPr>
                <w:rFonts w:ascii="Arial" w:cs="Arial" w:eastAsia="Arial" w:hAnsi="Arial"/>
                <w:sz w:val="16"/>
                <w:szCs w:val="16"/>
                <w:color w:val="auto"/>
              </w:rPr>
              <w:t>(15,071)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ind w:right="21"/>
              <w:spacing w:after="0"/>
              <w:rPr>
                <w:sz w:val="20"/>
                <w:szCs w:val="20"/>
                <w:color w:val="auto"/>
              </w:rPr>
            </w:pPr>
            <w:r>
              <w:rPr>
                <w:rFonts w:ascii="Arial" w:cs="Arial" w:eastAsia="Arial" w:hAnsi="Arial"/>
                <w:sz w:val="16"/>
                <w:szCs w:val="16"/>
                <w:color w:val="auto"/>
              </w:rPr>
              <w:t>(15,071)</w:t>
            </w:r>
          </w:p>
        </w:tc>
      </w:tr>
      <w:tr>
        <w:trPr>
          <w:trHeight w:val="33"/>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60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Impairment charges</w:t>
            </w:r>
          </w:p>
        </w:tc>
        <w:tc>
          <w:tcPr>
            <w:tcW w:w="40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(1,973)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(1,973)</w:t>
            </w:r>
          </w:p>
        </w:tc>
      </w:tr>
      <w:tr>
        <w:trPr>
          <w:trHeight w:val="254"/>
        </w:trPr>
        <w:tc>
          <w:tcPr>
            <w:tcW w:w="6060" w:type="dxa"/>
            <w:vAlign w:val="bottom"/>
            <w:tcBorders>
              <w:top w:val="single" w:sz="8" w:color="CCEEFF"/>
            </w:tcBorders>
          </w:tcPr>
          <w:p>
            <w:pPr>
              <w:spacing w:after="0"/>
              <w:rPr>
                <w:sz w:val="20"/>
                <w:szCs w:val="20"/>
                <w:color w:val="auto"/>
              </w:rPr>
            </w:pPr>
            <w:r>
              <w:rPr>
                <w:rFonts w:ascii="Arial" w:cs="Arial" w:eastAsia="Arial" w:hAnsi="Arial"/>
                <w:sz w:val="16"/>
                <w:szCs w:val="16"/>
                <w:color w:val="auto"/>
              </w:rPr>
              <w:t>Balance as of June 28, 2020</w:t>
            </w: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rPr>
              <w:t>170,657</w:t>
            </w:r>
          </w:p>
        </w:tc>
        <w:tc>
          <w:tcPr>
            <w:tcW w:w="120" w:type="dxa"/>
            <w:vAlign w:val="bottom"/>
            <w:tcBorders>
              <w:top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rPr>
              <w:t>100,738</w:t>
            </w:r>
          </w:p>
        </w:tc>
        <w:tc>
          <w:tcPr>
            <w:tcW w:w="120" w:type="dxa"/>
            <w:vAlign w:val="bottom"/>
            <w:tcBorders>
              <w:top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rPr>
              <w:t>271,395</w:t>
            </w:r>
          </w:p>
        </w:tc>
      </w:tr>
      <w:tr>
        <w:trPr>
          <w:trHeight w:val="23"/>
        </w:trPr>
        <w:tc>
          <w:tcPr>
            <w:tcW w:w="60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bl>
    <w:p>
      <w:pPr>
        <w:spacing w:after="0" w:line="51"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T</w:t>
      </w:r>
      <w:r>
        <w:rPr>
          <w:rFonts w:ascii="Arial" w:cs="Arial" w:eastAsia="Arial" w:hAnsi="Arial"/>
          <w:sz w:val="18"/>
          <w:szCs w:val="18"/>
          <w:color w:val="auto"/>
        </w:rPr>
        <w:t>he COVID-19 outbreak was considered a triggering event in the thirteen weeks ended March 29, 2020, indicating that the carrying amount</w:t>
      </w:r>
      <w:r>
        <w:rPr>
          <w:rFonts w:ascii="Arial" w:cs="Arial" w:eastAsia="Arial" w:hAnsi="Arial"/>
          <w:sz w:val="17"/>
          <w:szCs w:val="17"/>
          <w:color w:val="auto"/>
        </w:rPr>
        <w:t xml:space="preserve"> </w:t>
      </w:r>
      <w:r>
        <w:rPr>
          <w:rFonts w:ascii="Arial" w:cs="Arial" w:eastAsia="Arial" w:hAnsi="Arial"/>
          <w:sz w:val="18"/>
          <w:szCs w:val="18"/>
          <w:color w:val="auto"/>
        </w:rPr>
        <w:t>of goodwill may not be recoverable. As a result, the Company performed a quantitative assessment for all reporting units to determine whether a reporting unit was impaired. Based on this assessment, which utilized a discounted cash flow analysis, the Company recorded full impairment of goodwill related to its Hong Kong reporting unit of $2.0 million, within the international segment, during the thirteen weeks ended March 29, 2020. Impairment was not recorded for any of the Company’s other reporting units as a result the quantitative assessment.</w:t>
      </w:r>
    </w:p>
    <w:p>
      <w:pPr>
        <w:spacing w:after="0" w:line="192" w:lineRule="exact"/>
        <w:rPr>
          <w:sz w:val="20"/>
          <w:szCs w:val="20"/>
          <w:color w:val="auto"/>
        </w:rPr>
      </w:pPr>
    </w:p>
    <w:p>
      <w:pPr>
        <w:jc w:val="both"/>
        <w:spacing w:after="0" w:line="278" w:lineRule="auto"/>
        <w:rPr>
          <w:sz w:val="20"/>
          <w:szCs w:val="20"/>
          <w:color w:val="auto"/>
        </w:rPr>
      </w:pPr>
      <w:r>
        <w:rPr>
          <w:rFonts w:ascii="Arial" w:cs="Arial" w:eastAsia="Arial" w:hAnsi="Arial"/>
          <w:sz w:val="18"/>
          <w:szCs w:val="18"/>
          <w:i w:val="1"/>
          <w:iCs w:val="1"/>
          <w:color w:val="auto"/>
        </w:rPr>
        <w:t xml:space="preserve">Annual Goodwill and Intangible Asset Impairment Assessment </w:t>
      </w:r>
      <w:r>
        <w:rPr>
          <w:rFonts w:ascii="Arial" w:cs="Arial" w:eastAsia="Arial" w:hAnsi="Arial"/>
          <w:sz w:val="18"/>
          <w:szCs w:val="18"/>
          <w:color w:val="auto"/>
        </w:rPr>
        <w:t>- The Company performs its annual assessment for impairment of goodwill</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indefinite-lived intangible assets as of the first day of its second fiscal quarter. Since the Company performed a quantitative assessment on the last day of the first fiscal quarter in 2020, as described above, the Company utilized the same assumptions and analysis in performing a quantitative annual assessment in its second fiscal quarter and concluded that no additional impairment was required. In 2019, the Company performed a qualitative assessment and did not record any impairment charges.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348" w:lineRule="exact"/>
        <w:rPr>
          <w:sz w:val="20"/>
          <w:szCs w:val="20"/>
          <w:color w:val="auto"/>
        </w:rPr>
      </w:pPr>
    </w:p>
    <w:p>
      <w:pPr>
        <w:spacing w:after="0"/>
        <w:rPr>
          <w:sz w:val="20"/>
          <w:szCs w:val="20"/>
          <w:color w:val="auto"/>
        </w:rPr>
      </w:pPr>
      <w:r>
        <w:rPr>
          <w:rFonts w:ascii="Arial" w:cs="Arial" w:eastAsia="Arial" w:hAnsi="Arial"/>
          <w:sz w:val="20"/>
          <w:szCs w:val="20"/>
          <w:color w:val="auto"/>
        </w:rPr>
        <w:t>10. Other Assets, Net</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Other assets, net, consisted of the following as of the periods indicated: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28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7"/>
                <w:szCs w:val="17"/>
                <w:color w:val="auto"/>
              </w:rPr>
            </w:pPr>
          </w:p>
        </w:tc>
        <w:tc>
          <w:tcPr>
            <w:tcW w:w="172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28, 2020</w:t>
            </w:r>
          </w:p>
        </w:tc>
        <w:tc>
          <w:tcPr>
            <w:tcW w:w="180" w:type="dxa"/>
            <w:vAlign w:val="bottom"/>
          </w:tcPr>
          <w:p>
            <w:pPr>
              <w:spacing w:after="0"/>
              <w:rPr>
                <w:sz w:val="17"/>
                <w:szCs w:val="17"/>
                <w:color w:val="auto"/>
              </w:rPr>
            </w:pPr>
          </w:p>
        </w:tc>
        <w:tc>
          <w:tcPr>
            <w:tcW w:w="1740" w:type="dxa"/>
            <w:vAlign w:val="bottom"/>
          </w:tcPr>
          <w:p>
            <w:pPr>
              <w:jc w:val="right"/>
              <w:ind w:right="201"/>
              <w:spacing w:after="0"/>
              <w:rPr>
                <w:sz w:val="20"/>
                <w:szCs w:val="20"/>
                <w:color w:val="auto"/>
              </w:rPr>
            </w:pPr>
            <w:r>
              <w:rPr>
                <w:rFonts w:ascii="Arial" w:cs="Arial" w:eastAsia="Arial" w:hAnsi="Arial"/>
                <w:sz w:val="14"/>
                <w:szCs w:val="14"/>
                <w:b w:val="1"/>
                <w:bCs w:val="1"/>
                <w:color w:val="auto"/>
              </w:rPr>
              <w:t>DECEMBER 29, 2019</w:t>
            </w:r>
          </w:p>
        </w:tc>
        <w:tc>
          <w:tcPr>
            <w:tcW w:w="0" w:type="dxa"/>
            <w:vAlign w:val="bottom"/>
          </w:tcPr>
          <w:p>
            <w:pPr>
              <w:spacing w:after="0"/>
              <w:rPr>
                <w:sz w:val="1"/>
                <w:szCs w:val="1"/>
                <w:color w:val="auto"/>
              </w:rPr>
            </w:pPr>
          </w:p>
        </w:tc>
      </w:tr>
      <w:tr>
        <w:trPr>
          <w:trHeight w:val="236"/>
        </w:trPr>
        <w:tc>
          <w:tcPr>
            <w:tcW w:w="7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Company-owned life insurance (1)</w:t>
            </w:r>
          </w:p>
        </w:tc>
        <w:tc>
          <w:tcPr>
            <w:tcW w:w="30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49,908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60,126</w:t>
            </w:r>
          </w:p>
        </w:tc>
        <w:tc>
          <w:tcPr>
            <w:tcW w:w="0" w:type="dxa"/>
            <w:vAlign w:val="bottom"/>
          </w:tcPr>
          <w:p>
            <w:pPr>
              <w:spacing w:after="0"/>
              <w:rPr>
                <w:sz w:val="1"/>
                <w:szCs w:val="1"/>
                <w:color w:val="auto"/>
              </w:rPr>
            </w:pPr>
          </w:p>
        </w:tc>
      </w:tr>
      <w:tr>
        <w:trPr>
          <w:trHeight w:val="224"/>
        </w:trPr>
        <w:tc>
          <w:tcPr>
            <w:tcW w:w="7280" w:type="dxa"/>
            <w:vAlign w:val="bottom"/>
          </w:tcPr>
          <w:p>
            <w:pPr>
              <w:ind w:left="20"/>
              <w:spacing w:after="0"/>
              <w:rPr>
                <w:sz w:val="20"/>
                <w:szCs w:val="20"/>
                <w:color w:val="auto"/>
              </w:rPr>
            </w:pPr>
            <w:r>
              <w:rPr>
                <w:rFonts w:ascii="Arial" w:cs="Arial" w:eastAsia="Arial" w:hAnsi="Arial"/>
                <w:sz w:val="16"/>
                <w:szCs w:val="16"/>
                <w:color w:val="auto"/>
              </w:rPr>
              <w:t>Deferred financing fees (2)</w:t>
            </w:r>
          </w:p>
        </w:tc>
        <w:tc>
          <w:tcPr>
            <w:tcW w:w="300" w:type="dxa"/>
            <w:vAlign w:val="bottom"/>
          </w:tcPr>
          <w:p>
            <w:pPr>
              <w:spacing w:after="0"/>
              <w:rPr>
                <w:sz w:val="19"/>
                <w:szCs w:val="19"/>
                <w:color w:val="auto"/>
              </w:rPr>
            </w:pPr>
          </w:p>
        </w:tc>
        <w:tc>
          <w:tcPr>
            <w:tcW w:w="1600" w:type="dxa"/>
            <w:vAlign w:val="bottom"/>
          </w:tcPr>
          <w:p>
            <w:pPr>
              <w:jc w:val="right"/>
              <w:ind w:right="61"/>
              <w:spacing w:after="0"/>
              <w:rPr>
                <w:sz w:val="20"/>
                <w:szCs w:val="20"/>
                <w:color w:val="auto"/>
              </w:rPr>
            </w:pPr>
            <w:r>
              <w:rPr>
                <w:rFonts w:ascii="Arial" w:cs="Arial" w:eastAsia="Arial" w:hAnsi="Arial"/>
                <w:sz w:val="16"/>
                <w:szCs w:val="16"/>
                <w:color w:val="auto"/>
              </w:rPr>
              <w:t>5,909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jc w:val="right"/>
              <w:ind w:right="81"/>
              <w:spacing w:after="0"/>
              <w:rPr>
                <w:sz w:val="20"/>
                <w:szCs w:val="20"/>
                <w:color w:val="auto"/>
              </w:rPr>
            </w:pPr>
            <w:r>
              <w:rPr>
                <w:rFonts w:ascii="Arial" w:cs="Arial" w:eastAsia="Arial" w:hAnsi="Arial"/>
                <w:sz w:val="16"/>
                <w:szCs w:val="16"/>
                <w:color w:val="auto"/>
              </w:rPr>
              <w:t>4,893</w:t>
            </w:r>
          </w:p>
        </w:tc>
        <w:tc>
          <w:tcPr>
            <w:tcW w:w="0" w:type="dxa"/>
            <w:vAlign w:val="bottom"/>
          </w:tcPr>
          <w:p>
            <w:pPr>
              <w:spacing w:after="0"/>
              <w:rPr>
                <w:sz w:val="1"/>
                <w:szCs w:val="1"/>
                <w:color w:val="auto"/>
              </w:rPr>
            </w:pPr>
          </w:p>
        </w:tc>
      </w:tr>
      <w:tr>
        <w:trPr>
          <w:trHeight w:val="33"/>
        </w:trPr>
        <w:tc>
          <w:tcPr>
            <w:tcW w:w="7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Liquor licenses</w:t>
            </w:r>
          </w:p>
        </w:tc>
        <w:tc>
          <w:tcPr>
            <w:tcW w:w="3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24,250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24,289</w:t>
            </w:r>
          </w:p>
        </w:tc>
        <w:tc>
          <w:tcPr>
            <w:tcW w:w="0" w:type="dxa"/>
            <w:vAlign w:val="bottom"/>
          </w:tcPr>
          <w:p>
            <w:pPr>
              <w:spacing w:after="0"/>
              <w:rPr>
                <w:sz w:val="1"/>
                <w:szCs w:val="1"/>
                <w:color w:val="auto"/>
              </w:rPr>
            </w:pPr>
          </w:p>
        </w:tc>
      </w:tr>
      <w:tr>
        <w:trPr>
          <w:trHeight w:val="224"/>
        </w:trPr>
        <w:tc>
          <w:tcPr>
            <w:tcW w:w="728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300" w:type="dxa"/>
            <w:vAlign w:val="bottom"/>
          </w:tcPr>
          <w:p>
            <w:pPr>
              <w:spacing w:after="0"/>
              <w:rPr>
                <w:sz w:val="19"/>
                <w:szCs w:val="19"/>
                <w:color w:val="auto"/>
              </w:rPr>
            </w:pPr>
          </w:p>
        </w:tc>
        <w:tc>
          <w:tcPr>
            <w:tcW w:w="1600" w:type="dxa"/>
            <w:vAlign w:val="bottom"/>
          </w:tcPr>
          <w:p>
            <w:pPr>
              <w:jc w:val="right"/>
              <w:ind w:right="61"/>
              <w:spacing w:after="0"/>
              <w:rPr>
                <w:sz w:val="20"/>
                <w:szCs w:val="20"/>
                <w:color w:val="auto"/>
              </w:rPr>
            </w:pPr>
            <w:r>
              <w:rPr>
                <w:rFonts w:ascii="Arial" w:cs="Arial" w:eastAsia="Arial" w:hAnsi="Arial"/>
                <w:sz w:val="16"/>
                <w:szCs w:val="16"/>
                <w:color w:val="auto"/>
              </w:rPr>
              <w:t>19,039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jc w:val="right"/>
              <w:ind w:right="81"/>
              <w:spacing w:after="0"/>
              <w:rPr>
                <w:sz w:val="20"/>
                <w:szCs w:val="20"/>
                <w:color w:val="auto"/>
              </w:rPr>
            </w:pPr>
            <w:r>
              <w:rPr>
                <w:rFonts w:ascii="Arial" w:cs="Arial" w:eastAsia="Arial" w:hAnsi="Arial"/>
                <w:sz w:val="16"/>
                <w:szCs w:val="16"/>
                <w:color w:val="auto"/>
              </w:rPr>
              <w:t>27,802</w:t>
            </w:r>
          </w:p>
        </w:tc>
        <w:tc>
          <w:tcPr>
            <w:tcW w:w="0" w:type="dxa"/>
            <w:vAlign w:val="bottom"/>
          </w:tcPr>
          <w:p>
            <w:pPr>
              <w:spacing w:after="0"/>
              <w:rPr>
                <w:sz w:val="1"/>
                <w:szCs w:val="1"/>
                <w:color w:val="auto"/>
              </w:rPr>
            </w:pPr>
          </w:p>
        </w:tc>
      </w:tr>
      <w:tr>
        <w:trPr>
          <w:trHeight w:val="40"/>
        </w:trPr>
        <w:tc>
          <w:tcPr>
            <w:tcW w:w="72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2"/>
        </w:trPr>
        <w:tc>
          <w:tcPr>
            <w:tcW w:w="72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99,106</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117,110</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________________</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28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660" w:right="20" w:hanging="652"/>
        <w:spacing w:after="0" w:line="237"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During the twenty-six weeks ended June 28, 2020, the Company reclassified $9.1 million of Company-owned life insurance policies to current assets in anticipation of settlement of such policies to pay deferred compensation obligations.</w:t>
      </w:r>
    </w:p>
    <w:p>
      <w:pPr>
        <w:spacing w:after="0" w:line="1" w:lineRule="exact"/>
        <w:rPr>
          <w:rFonts w:ascii="Arial" w:cs="Arial" w:eastAsia="Arial" w:hAnsi="Arial"/>
          <w:sz w:val="16"/>
          <w:szCs w:val="16"/>
          <w:color w:val="auto"/>
        </w:rPr>
      </w:pPr>
    </w:p>
    <w:p>
      <w:pPr>
        <w:ind w:left="660" w:hanging="652"/>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Net of accumulated amortization of $7.7 million and $6.8 million as of June 28, 2020 and December 29, 2019, respectively.</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11. Long-term Debt, Net</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Following is a summary of outstanding long-term debt, as of the periods indicated: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40" w:type="dxa"/>
            <w:vAlign w:val="bottom"/>
            <w:gridSpan w:val="4"/>
          </w:tcPr>
          <w:p>
            <w:pPr>
              <w:ind w:left="980"/>
              <w:spacing w:after="0"/>
              <w:rPr>
                <w:sz w:val="20"/>
                <w:szCs w:val="20"/>
                <w:color w:val="auto"/>
              </w:rPr>
            </w:pPr>
            <w:r>
              <w:rPr>
                <w:rFonts w:ascii="Arial" w:cs="Arial" w:eastAsia="Arial" w:hAnsi="Arial"/>
                <w:sz w:val="14"/>
                <w:szCs w:val="14"/>
                <w:b w:val="1"/>
                <w:bCs w:val="1"/>
                <w:color w:val="auto"/>
              </w:rPr>
              <w:t>JUNE 28, 2020</w:t>
            </w:r>
          </w:p>
        </w:tc>
        <w:tc>
          <w:tcPr>
            <w:tcW w:w="160" w:type="dxa"/>
            <w:vAlign w:val="bottom"/>
          </w:tcPr>
          <w:p>
            <w:pPr>
              <w:spacing w:after="0"/>
              <w:rPr>
                <w:sz w:val="17"/>
                <w:szCs w:val="17"/>
                <w:color w:val="auto"/>
              </w:rPr>
            </w:pPr>
          </w:p>
        </w:tc>
        <w:tc>
          <w:tcPr>
            <w:tcW w:w="3040" w:type="dxa"/>
            <w:vAlign w:val="bottom"/>
            <w:gridSpan w:val="3"/>
          </w:tcPr>
          <w:p>
            <w:pPr>
              <w:jc w:val="right"/>
              <w:ind w:right="848"/>
              <w:spacing w:after="0"/>
              <w:rPr>
                <w:sz w:val="20"/>
                <w:szCs w:val="20"/>
                <w:color w:val="auto"/>
              </w:rPr>
            </w:pPr>
            <w:r>
              <w:rPr>
                <w:rFonts w:ascii="Arial" w:cs="Arial" w:eastAsia="Arial" w:hAnsi="Arial"/>
                <w:sz w:val="14"/>
                <w:szCs w:val="14"/>
                <w:b w:val="1"/>
                <w:bCs w:val="1"/>
                <w:color w:val="auto"/>
              </w:rPr>
              <w:t>DECEMBER 29, 2019</w:t>
            </w: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jc w:val="right"/>
              <w:ind w:right="161"/>
              <w:spacing w:after="0" w:line="153" w:lineRule="exact"/>
              <w:rPr>
                <w:sz w:val="20"/>
                <w:szCs w:val="20"/>
                <w:color w:val="auto"/>
              </w:rPr>
            </w:pPr>
            <w:r>
              <w:rPr>
                <w:rFonts w:ascii="Arial" w:cs="Arial" w:eastAsia="Arial" w:hAnsi="Arial"/>
                <w:sz w:val="14"/>
                <w:szCs w:val="14"/>
                <w:b w:val="1"/>
                <w:bCs w:val="1"/>
                <w:color w:val="auto"/>
              </w:rPr>
              <w:t>OUTSTANDING</w:t>
            </w:r>
          </w:p>
        </w:tc>
        <w:tc>
          <w:tcPr>
            <w:tcW w:w="12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jc w:val="right"/>
              <w:ind w:right="161"/>
              <w:spacing w:after="0" w:line="153" w:lineRule="exact"/>
              <w:rPr>
                <w:sz w:val="20"/>
                <w:szCs w:val="20"/>
                <w:color w:val="auto"/>
              </w:rPr>
            </w:pPr>
            <w:r>
              <w:rPr>
                <w:rFonts w:ascii="Arial" w:cs="Arial" w:eastAsia="Arial" w:hAnsi="Arial"/>
                <w:sz w:val="14"/>
                <w:szCs w:val="14"/>
                <w:b w:val="1"/>
                <w:bCs w:val="1"/>
                <w:color w:val="auto"/>
              </w:rPr>
              <w:t>OUTSTANDING</w:t>
            </w:r>
          </w:p>
        </w:tc>
        <w:tc>
          <w:tcPr>
            <w:tcW w:w="10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4680" w:type="dxa"/>
            <w:vAlign w:val="bottom"/>
          </w:tcPr>
          <w:p>
            <w:pPr>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7"/>
                <w:szCs w:val="17"/>
                <w:color w:val="auto"/>
              </w:rPr>
            </w:pPr>
          </w:p>
        </w:tc>
        <w:tc>
          <w:tcPr>
            <w:tcW w:w="1360" w:type="dxa"/>
            <w:vAlign w:val="bottom"/>
          </w:tcPr>
          <w:p>
            <w:pPr>
              <w:jc w:val="right"/>
              <w:ind w:right="341"/>
              <w:spacing w:after="0"/>
              <w:rPr>
                <w:sz w:val="20"/>
                <w:szCs w:val="20"/>
                <w:color w:val="auto"/>
              </w:rPr>
            </w:pPr>
            <w:r>
              <w:rPr>
                <w:rFonts w:ascii="Arial" w:cs="Arial" w:eastAsia="Arial" w:hAnsi="Arial"/>
                <w:sz w:val="14"/>
                <w:szCs w:val="14"/>
                <w:b w:val="1"/>
                <w:bCs w:val="1"/>
                <w:color w:val="auto"/>
              </w:rPr>
              <w:t>BALANCE</w:t>
            </w:r>
          </w:p>
        </w:tc>
        <w:tc>
          <w:tcPr>
            <w:tcW w:w="120" w:type="dxa"/>
            <w:vAlign w:val="bottom"/>
          </w:tcPr>
          <w:p>
            <w:pPr>
              <w:spacing w:after="0"/>
              <w:rPr>
                <w:sz w:val="17"/>
                <w:szCs w:val="17"/>
                <w:color w:val="auto"/>
              </w:rPr>
            </w:pPr>
          </w:p>
        </w:tc>
        <w:tc>
          <w:tcPr>
            <w:tcW w:w="1660" w:type="dxa"/>
            <w:vAlign w:val="bottom"/>
            <w:gridSpan w:val="2"/>
          </w:tcPr>
          <w:p>
            <w:pPr>
              <w:ind w:left="200"/>
              <w:spacing w:after="0"/>
              <w:rPr>
                <w:sz w:val="20"/>
                <w:szCs w:val="20"/>
                <w:color w:val="auto"/>
              </w:rPr>
            </w:pPr>
            <w:r>
              <w:rPr>
                <w:rFonts w:ascii="Arial" w:cs="Arial" w:eastAsia="Arial" w:hAnsi="Arial"/>
                <w:sz w:val="14"/>
                <w:szCs w:val="14"/>
                <w:b w:val="1"/>
                <w:bCs w:val="1"/>
                <w:color w:val="auto"/>
              </w:rPr>
              <w:t>INTEREST RATE</w:t>
            </w:r>
          </w:p>
        </w:tc>
        <w:tc>
          <w:tcPr>
            <w:tcW w:w="160" w:type="dxa"/>
            <w:vAlign w:val="bottom"/>
          </w:tcPr>
          <w:p>
            <w:pPr>
              <w:spacing w:after="0"/>
              <w:rPr>
                <w:sz w:val="17"/>
                <w:szCs w:val="17"/>
                <w:color w:val="auto"/>
              </w:rPr>
            </w:pPr>
          </w:p>
        </w:tc>
        <w:tc>
          <w:tcPr>
            <w:tcW w:w="1380" w:type="dxa"/>
            <w:vAlign w:val="bottom"/>
          </w:tcPr>
          <w:p>
            <w:pPr>
              <w:jc w:val="right"/>
              <w:ind w:right="341"/>
              <w:spacing w:after="0"/>
              <w:rPr>
                <w:sz w:val="20"/>
                <w:szCs w:val="20"/>
                <w:color w:val="auto"/>
              </w:rPr>
            </w:pPr>
            <w:r>
              <w:rPr>
                <w:rFonts w:ascii="Arial" w:cs="Arial" w:eastAsia="Arial" w:hAnsi="Arial"/>
                <w:sz w:val="14"/>
                <w:szCs w:val="14"/>
                <w:b w:val="1"/>
                <w:bCs w:val="1"/>
                <w:color w:val="auto"/>
              </w:rPr>
              <w:t>BALANCE</w:t>
            </w:r>
          </w:p>
        </w:tc>
        <w:tc>
          <w:tcPr>
            <w:tcW w:w="100" w:type="dxa"/>
            <w:vAlign w:val="bottom"/>
          </w:tcPr>
          <w:p>
            <w:pPr>
              <w:spacing w:after="0"/>
              <w:rPr>
                <w:sz w:val="17"/>
                <w:szCs w:val="17"/>
                <w:color w:val="auto"/>
              </w:rPr>
            </w:pPr>
          </w:p>
        </w:tc>
        <w:tc>
          <w:tcPr>
            <w:tcW w:w="1560" w:type="dxa"/>
            <w:vAlign w:val="bottom"/>
          </w:tcPr>
          <w:p>
            <w:pPr>
              <w:jc w:val="right"/>
              <w:ind w:right="128"/>
              <w:spacing w:after="0"/>
              <w:rPr>
                <w:sz w:val="20"/>
                <w:szCs w:val="20"/>
                <w:color w:val="auto"/>
              </w:rPr>
            </w:pPr>
            <w:r>
              <w:rPr>
                <w:rFonts w:ascii="Arial" w:cs="Arial" w:eastAsia="Arial" w:hAnsi="Arial"/>
                <w:sz w:val="14"/>
                <w:szCs w:val="14"/>
                <w:b w:val="1"/>
                <w:bCs w:val="1"/>
                <w:color w:val="auto"/>
              </w:rPr>
              <w:t>INTEREST RATE</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Senior Secured Credit Facility:</w:t>
            </w:r>
          </w:p>
        </w:tc>
        <w:tc>
          <w:tcPr>
            <w:tcW w:w="160" w:type="dxa"/>
            <w:vAlign w:val="bottom"/>
            <w:tcBorders>
              <w:top w:val="single" w:sz="8" w:color="auto"/>
              <w:bottom w:val="single" w:sz="8" w:color="CCEEFF"/>
            </w:tcBorders>
            <w:shd w:val="clear" w:color="auto" w:fill="CCEEFF"/>
          </w:tcPr>
          <w:p>
            <w:pPr>
              <w:spacing w:after="0"/>
              <w:rPr>
                <w:sz w:val="19"/>
                <w:szCs w:val="19"/>
                <w:color w:val="auto"/>
              </w:rPr>
            </w:pPr>
          </w:p>
        </w:tc>
        <w:tc>
          <w:tcPr>
            <w:tcW w:w="136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56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CCEEFF"/>
            </w:tcBorders>
            <w:shd w:val="clear" w:color="auto" w:fill="CCEEFF"/>
          </w:tcPr>
          <w:p>
            <w:pPr>
              <w:spacing w:after="0"/>
              <w:rPr>
                <w:sz w:val="19"/>
                <w:szCs w:val="19"/>
                <w:color w:val="auto"/>
              </w:rPr>
            </w:pPr>
          </w:p>
        </w:tc>
        <w:tc>
          <w:tcPr>
            <w:tcW w:w="138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560" w:type="dxa"/>
            <w:vAlign w:val="bottom"/>
            <w:tcBorders>
              <w:top w:val="single" w:sz="8" w:color="auto"/>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680" w:type="dxa"/>
            <w:vAlign w:val="bottom"/>
          </w:tcPr>
          <w:p>
            <w:pPr>
              <w:ind w:left="480"/>
              <w:spacing w:after="0"/>
              <w:rPr>
                <w:sz w:val="20"/>
                <w:szCs w:val="20"/>
                <w:color w:val="auto"/>
              </w:rPr>
            </w:pPr>
            <w:r>
              <w:rPr>
                <w:rFonts w:ascii="Arial" w:cs="Arial" w:eastAsia="Arial" w:hAnsi="Arial"/>
                <w:sz w:val="16"/>
                <w:szCs w:val="16"/>
                <w:color w:val="auto"/>
              </w:rPr>
              <w:t>Term loan A (1)</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81"/>
              <w:spacing w:after="0"/>
              <w:rPr>
                <w:sz w:val="20"/>
                <w:szCs w:val="20"/>
                <w:color w:val="auto"/>
              </w:rPr>
            </w:pPr>
            <w:r>
              <w:rPr>
                <w:rFonts w:ascii="Arial" w:cs="Arial" w:eastAsia="Arial" w:hAnsi="Arial"/>
                <w:sz w:val="16"/>
                <w:szCs w:val="16"/>
                <w:color w:val="auto"/>
              </w:rPr>
              <w:t>437,500</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2.90 %</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81"/>
              <w:spacing w:after="0"/>
              <w:rPr>
                <w:sz w:val="20"/>
                <w:szCs w:val="20"/>
                <w:color w:val="auto"/>
              </w:rPr>
            </w:pPr>
            <w:r>
              <w:rPr>
                <w:rFonts w:ascii="Arial" w:cs="Arial" w:eastAsia="Arial" w:hAnsi="Arial"/>
                <w:sz w:val="16"/>
                <w:szCs w:val="16"/>
                <w:color w:val="auto"/>
              </w:rPr>
              <w:t>450,000</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3.40 %</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46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Revolving credit facility (1)</w:t>
            </w:r>
          </w:p>
        </w:tc>
        <w:tc>
          <w:tcPr>
            <w:tcW w:w="16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615,000</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2.89 %</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599,000</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3.44 %</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680" w:type="dxa"/>
            <w:vAlign w:val="bottom"/>
            <w:tcBorders>
              <w:bottom w:val="single" w:sz="8" w:color="CCEEFF"/>
            </w:tcBorders>
          </w:tcPr>
          <w:p>
            <w:pPr>
              <w:ind w:left="640"/>
              <w:spacing w:after="0"/>
              <w:rPr>
                <w:sz w:val="20"/>
                <w:szCs w:val="20"/>
                <w:color w:val="auto"/>
              </w:rPr>
            </w:pPr>
            <w:r>
              <w:rPr>
                <w:rFonts w:ascii="Arial" w:cs="Arial" w:eastAsia="Arial" w:hAnsi="Arial"/>
                <w:sz w:val="16"/>
                <w:szCs w:val="16"/>
                <w:color w:val="auto"/>
              </w:rPr>
              <w:t>Total Senior Secured Credit Facility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1,052,500</w:t>
            </w:r>
          </w:p>
        </w:tc>
        <w:tc>
          <w:tcPr>
            <w:tcW w:w="120" w:type="dxa"/>
            <w:vAlign w:val="bottom"/>
            <w:tcBorders>
              <w:bottom w:val="single" w:sz="8" w:color="CCEEFF"/>
            </w:tcBorders>
          </w:tcPr>
          <w:p>
            <w:pPr>
              <w:spacing w:after="0"/>
              <w:rPr>
                <w:sz w:val="23"/>
                <w:szCs w:val="23"/>
                <w:color w:val="auto"/>
              </w:rPr>
            </w:pPr>
          </w:p>
        </w:tc>
        <w:tc>
          <w:tcPr>
            <w:tcW w:w="156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1,049,000</w:t>
            </w:r>
          </w:p>
        </w:tc>
        <w:tc>
          <w:tcPr>
            <w:tcW w:w="100" w:type="dxa"/>
            <w:vAlign w:val="bottom"/>
            <w:tcBorders>
              <w:bottom w:val="single" w:sz="8" w:color="CCEEFF"/>
            </w:tcBorders>
          </w:tcPr>
          <w:p>
            <w:pPr>
              <w:spacing w:after="0"/>
              <w:rPr>
                <w:sz w:val="23"/>
                <w:szCs w:val="23"/>
                <w:color w:val="auto"/>
              </w:rPr>
            </w:pPr>
          </w:p>
        </w:tc>
        <w:tc>
          <w:tcPr>
            <w:tcW w:w="156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Convertible Senior Notes (2)</w:t>
            </w:r>
          </w:p>
        </w:tc>
        <w:tc>
          <w:tcPr>
            <w:tcW w:w="1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230,000</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5.00 %</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6"/>
                <w:szCs w:val="16"/>
                <w:color w:val="auto"/>
              </w:rPr>
              <w:t>Finance lease liabilities</w:t>
            </w:r>
          </w:p>
        </w:tc>
        <w:tc>
          <w:tcPr>
            <w:tcW w:w="160" w:type="dxa"/>
            <w:vAlign w:val="bottom"/>
          </w:tcPr>
          <w:p>
            <w:pPr>
              <w:spacing w:after="0"/>
              <w:rPr>
                <w:sz w:val="19"/>
                <w:szCs w:val="19"/>
                <w:color w:val="auto"/>
              </w:rPr>
            </w:pPr>
          </w:p>
        </w:tc>
        <w:tc>
          <w:tcPr>
            <w:tcW w:w="1360" w:type="dxa"/>
            <w:vAlign w:val="bottom"/>
          </w:tcPr>
          <w:p>
            <w:pPr>
              <w:jc w:val="right"/>
              <w:ind w:right="81"/>
              <w:spacing w:after="0"/>
              <w:rPr>
                <w:sz w:val="20"/>
                <w:szCs w:val="20"/>
                <w:color w:val="auto"/>
              </w:rPr>
            </w:pPr>
            <w:r>
              <w:rPr>
                <w:rFonts w:ascii="Arial" w:cs="Arial" w:eastAsia="Arial" w:hAnsi="Arial"/>
                <w:sz w:val="16"/>
                <w:szCs w:val="16"/>
                <w:color w:val="auto"/>
              </w:rPr>
              <w:t>1,957</w:t>
            </w: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ind w:right="81"/>
              <w:spacing w:after="0"/>
              <w:rPr>
                <w:sz w:val="20"/>
                <w:szCs w:val="20"/>
                <w:color w:val="auto"/>
              </w:rPr>
            </w:pPr>
            <w:r>
              <w:rPr>
                <w:rFonts w:ascii="Arial" w:cs="Arial" w:eastAsia="Arial" w:hAnsi="Arial"/>
                <w:sz w:val="16"/>
                <w:szCs w:val="16"/>
                <w:color w:val="auto"/>
              </w:rPr>
              <w:t>2,308</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50</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2.18 %</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6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Less: unamortized debt discount and issuance costs</w:t>
            </w:r>
          </w:p>
        </w:tc>
        <w:tc>
          <w:tcPr>
            <w:tcW w:w="16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(73,665)</w:t>
            </w:r>
          </w:p>
        </w:tc>
        <w:tc>
          <w:tcPr>
            <w:tcW w:w="120" w:type="dxa"/>
            <w:vAlign w:val="bottom"/>
            <w:tcBorders>
              <w:bottom w:val="single" w:sz="8" w:color="CCEEFF"/>
            </w:tcBorders>
          </w:tcPr>
          <w:p>
            <w:pPr>
              <w:spacing w:after="0"/>
              <w:rPr>
                <w:sz w:val="23"/>
                <w:szCs w:val="23"/>
                <w:color w:val="auto"/>
              </w:rPr>
            </w:pPr>
          </w:p>
        </w:tc>
        <w:tc>
          <w:tcPr>
            <w:tcW w:w="156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(2,654)</w:t>
            </w:r>
          </w:p>
        </w:tc>
        <w:tc>
          <w:tcPr>
            <w:tcW w:w="100" w:type="dxa"/>
            <w:vAlign w:val="bottom"/>
            <w:tcBorders>
              <w:bottom w:val="single" w:sz="8" w:color="CCEEFF"/>
            </w:tcBorders>
          </w:tcPr>
          <w:p>
            <w:pPr>
              <w:spacing w:after="0"/>
              <w:rPr>
                <w:sz w:val="23"/>
                <w:szCs w:val="23"/>
                <w:color w:val="auto"/>
              </w:rPr>
            </w:pPr>
          </w:p>
        </w:tc>
        <w:tc>
          <w:tcPr>
            <w:tcW w:w="156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debt,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1,210,792</w:t>
            </w:r>
          </w:p>
        </w:tc>
        <w:tc>
          <w:tcPr>
            <w:tcW w:w="1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1,048,704</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6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Less: current portion of long-term debt</w:t>
            </w:r>
          </w:p>
        </w:tc>
        <w:tc>
          <w:tcPr>
            <w:tcW w:w="16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(32,354)</w:t>
            </w:r>
          </w:p>
        </w:tc>
        <w:tc>
          <w:tcPr>
            <w:tcW w:w="120" w:type="dxa"/>
            <w:vAlign w:val="bottom"/>
            <w:tcBorders>
              <w:bottom w:val="single" w:sz="8" w:color="CCEEFF"/>
            </w:tcBorders>
          </w:tcPr>
          <w:p>
            <w:pPr>
              <w:spacing w:after="0"/>
              <w:rPr>
                <w:sz w:val="23"/>
                <w:szCs w:val="23"/>
                <w:color w:val="auto"/>
              </w:rPr>
            </w:pPr>
          </w:p>
        </w:tc>
        <w:tc>
          <w:tcPr>
            <w:tcW w:w="156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(26,411)</w:t>
            </w:r>
          </w:p>
        </w:tc>
        <w:tc>
          <w:tcPr>
            <w:tcW w:w="100" w:type="dxa"/>
            <w:vAlign w:val="bottom"/>
            <w:tcBorders>
              <w:bottom w:val="single" w:sz="8" w:color="CCEEFF"/>
            </w:tcBorders>
          </w:tcPr>
          <w:p>
            <w:pPr>
              <w:spacing w:after="0"/>
              <w:rPr>
                <w:sz w:val="23"/>
                <w:szCs w:val="23"/>
                <w:color w:val="auto"/>
              </w:rPr>
            </w:pPr>
          </w:p>
        </w:tc>
        <w:tc>
          <w:tcPr>
            <w:tcW w:w="156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4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Long-term debt,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1,178,438</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1,022,293</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720" w:type="dxa"/>
            <w:vAlign w:val="bottom"/>
            <w:gridSpan w:val="2"/>
            <w:vMerge w:val="restart"/>
          </w:tcPr>
          <w:p>
            <w:pPr>
              <w:jc w:val="right"/>
              <w:ind w:right="3340"/>
              <w:spacing w:after="0"/>
              <w:rPr>
                <w:sz w:val="20"/>
                <w:szCs w:val="20"/>
                <w:color w:val="auto"/>
              </w:rPr>
            </w:pPr>
            <w:r>
              <w:rPr>
                <w:rFonts w:ascii="Arial" w:cs="Arial" w:eastAsia="Arial" w:hAnsi="Arial"/>
                <w:sz w:val="16"/>
                <w:szCs w:val="16"/>
                <w:color w:val="auto"/>
                <w:w w:val="89"/>
              </w:rPr>
              <w:t>________________</w:t>
            </w: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472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Interest rate represents the weighted-average interest rate for the respective periods.</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See Note 12 - </w:t>
      </w:r>
      <w:r>
        <w:rPr>
          <w:rFonts w:ascii="Arial" w:cs="Arial" w:eastAsia="Arial" w:hAnsi="Arial"/>
          <w:sz w:val="16"/>
          <w:szCs w:val="16"/>
          <w:i w:val="1"/>
          <w:iCs w:val="1"/>
          <w:color w:val="auto"/>
        </w:rPr>
        <w:t>Convertible Senior Notes</w:t>
      </w:r>
      <w:r>
        <w:rPr>
          <w:rFonts w:ascii="Arial" w:cs="Arial" w:eastAsia="Arial" w:hAnsi="Arial"/>
          <w:sz w:val="16"/>
          <w:szCs w:val="16"/>
          <w:color w:val="auto"/>
        </w:rPr>
        <w:t xml:space="preserve"> for details regarding the convertible senior notes and related hedge and warrant transactions.</w:t>
      </w:r>
    </w:p>
    <w:p>
      <w:pPr>
        <w:spacing w:after="0" w:line="227" w:lineRule="exact"/>
        <w:rPr>
          <w:sz w:val="20"/>
          <w:szCs w:val="20"/>
          <w:color w:val="auto"/>
        </w:rPr>
      </w:pPr>
    </w:p>
    <w:p>
      <w:pPr>
        <w:jc w:val="both"/>
        <w:spacing w:after="0" w:line="276" w:lineRule="auto"/>
        <w:rPr>
          <w:sz w:val="20"/>
          <w:szCs w:val="20"/>
          <w:color w:val="auto"/>
        </w:rPr>
      </w:pPr>
      <w:r>
        <w:rPr>
          <w:rFonts w:ascii="Arial" w:cs="Arial" w:eastAsia="Arial" w:hAnsi="Arial"/>
          <w:sz w:val="18"/>
          <w:szCs w:val="18"/>
          <w:i w:val="1"/>
          <w:iCs w:val="1"/>
          <w:color w:val="auto"/>
        </w:rPr>
        <w:t xml:space="preserve">Amended Credit Agreement </w:t>
      </w:r>
      <w:r>
        <w:rPr>
          <w:rFonts w:ascii="Arial" w:cs="Arial" w:eastAsia="Arial" w:hAnsi="Arial"/>
          <w:sz w:val="18"/>
          <w:szCs w:val="18"/>
          <w:color w:val="auto"/>
        </w:rPr>
        <w:t>- On May 4, 2020, the Company and its wholly-owned subsidiary OSI Restaurant Partners, LLC (“OSI”), as co-borrowers, entered into an amendment to the existing credit agreement, dated November 30, 2017 (the “Amended Credit Agreement”), which provides relief for the financial covenant to maintain a specified quarterly Total Net Leverage Ratio (“TNLR”). Without such amendment, violation of financial covenants under the original credit agreement could have resulted in default. TNLR is the ratio of Consolidated Total Debt (Current portion of long-term debt and Long-term debt, net of cash, excluding the convertible senior notes) to Consolidated EBITDA (earnings before interest, taxes, depreciation and amortization and certain other adjustments as defined in the Amended Credit Agreement).</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348"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The Amended Credit Agreement waives the TNLR requirement for the remainder of fiscal year 2020 and requires a TNLR based on a seasonally annualized calculation of Consolidated EBITDA not to exceed the following thresholds for the periods indicated:</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QUARTERLY PERIOD ENDED</w:t>
            </w:r>
          </w:p>
        </w:tc>
        <w:tc>
          <w:tcPr>
            <w:tcW w:w="120" w:type="dxa"/>
            <w:vAlign w:val="bottom"/>
            <w:tcBorders>
              <w:bottom w:val="single" w:sz="8" w:color="CCEEFF"/>
            </w:tcBorders>
          </w:tcPr>
          <w:p>
            <w:pPr>
              <w:spacing w:after="0"/>
              <w:rPr>
                <w:sz w:val="17"/>
                <w:szCs w:val="17"/>
                <w:color w:val="auto"/>
              </w:rPr>
            </w:pPr>
          </w:p>
        </w:tc>
        <w:tc>
          <w:tcPr>
            <w:tcW w:w="184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MAXIMUM RATIO</w:t>
            </w:r>
          </w:p>
        </w:tc>
      </w:tr>
      <w:tr>
        <w:trPr>
          <w:trHeight w:val="250"/>
        </w:trPr>
        <w:tc>
          <w:tcPr>
            <w:tcW w:w="9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March 28, 2021 (1)</w:t>
            </w:r>
          </w:p>
        </w:tc>
        <w:tc>
          <w:tcPr>
            <w:tcW w:w="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5.50</w:t>
            </w:r>
          </w:p>
        </w:tc>
        <w:tc>
          <w:tcPr>
            <w:tcW w:w="3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to</w:t>
            </w:r>
          </w:p>
        </w:tc>
        <w:tc>
          <w:tcPr>
            <w:tcW w:w="8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1.00</w:t>
            </w:r>
          </w:p>
        </w:tc>
      </w:tr>
      <w:tr>
        <w:trPr>
          <w:trHeight w:val="243"/>
        </w:trPr>
        <w:tc>
          <w:tcPr>
            <w:tcW w:w="9400" w:type="dxa"/>
            <w:vAlign w:val="bottom"/>
            <w:gridSpan w:val="2"/>
          </w:tcPr>
          <w:p>
            <w:pPr>
              <w:ind w:left="20"/>
              <w:spacing w:after="0"/>
              <w:rPr>
                <w:sz w:val="20"/>
                <w:szCs w:val="20"/>
                <w:color w:val="auto"/>
              </w:rPr>
            </w:pPr>
            <w:r>
              <w:rPr>
                <w:rFonts w:ascii="Arial" w:cs="Arial" w:eastAsia="Arial" w:hAnsi="Arial"/>
                <w:sz w:val="18"/>
                <w:szCs w:val="18"/>
                <w:color w:val="auto"/>
              </w:rPr>
              <w:t>June 27, 2021 (2)</w:t>
            </w:r>
          </w:p>
        </w:tc>
        <w:tc>
          <w:tcPr>
            <w:tcW w:w="680" w:type="dxa"/>
            <w:vAlign w:val="bottom"/>
          </w:tcPr>
          <w:p>
            <w:pPr>
              <w:ind w:left="280"/>
              <w:spacing w:after="0"/>
              <w:rPr>
                <w:sz w:val="20"/>
                <w:szCs w:val="20"/>
                <w:color w:val="auto"/>
              </w:rPr>
            </w:pPr>
            <w:r>
              <w:rPr>
                <w:rFonts w:ascii="Arial" w:cs="Arial" w:eastAsia="Arial" w:hAnsi="Arial"/>
                <w:sz w:val="18"/>
                <w:szCs w:val="18"/>
                <w:color w:val="auto"/>
              </w:rPr>
              <w:t>5.00</w:t>
            </w:r>
          </w:p>
        </w:tc>
        <w:tc>
          <w:tcPr>
            <w:tcW w:w="320" w:type="dxa"/>
            <w:vAlign w:val="bottom"/>
          </w:tcPr>
          <w:p>
            <w:pPr>
              <w:ind w:left="80"/>
              <w:spacing w:after="0"/>
              <w:rPr>
                <w:sz w:val="20"/>
                <w:szCs w:val="20"/>
                <w:color w:val="auto"/>
              </w:rPr>
            </w:pPr>
            <w:r>
              <w:rPr>
                <w:rFonts w:ascii="Arial" w:cs="Arial" w:eastAsia="Arial" w:hAnsi="Arial"/>
                <w:sz w:val="18"/>
                <w:szCs w:val="18"/>
                <w:color w:val="auto"/>
              </w:rPr>
              <w:t>to</w:t>
            </w:r>
          </w:p>
        </w:tc>
        <w:tc>
          <w:tcPr>
            <w:tcW w:w="840" w:type="dxa"/>
            <w:vAlign w:val="bottom"/>
          </w:tcPr>
          <w:p>
            <w:pPr>
              <w:jc w:val="right"/>
              <w:ind w:right="330"/>
              <w:spacing w:after="0"/>
              <w:rPr>
                <w:sz w:val="20"/>
                <w:szCs w:val="20"/>
                <w:color w:val="auto"/>
              </w:rPr>
            </w:pPr>
            <w:r>
              <w:rPr>
                <w:rFonts w:ascii="Arial" w:cs="Arial" w:eastAsia="Arial" w:hAnsi="Arial"/>
                <w:sz w:val="18"/>
                <w:szCs w:val="18"/>
                <w:color w:val="auto"/>
              </w:rPr>
              <w:t>1.00</w:t>
            </w:r>
          </w:p>
        </w:tc>
      </w:tr>
      <w:tr>
        <w:trPr>
          <w:trHeight w:val="27"/>
        </w:trPr>
        <w:tc>
          <w:tcPr>
            <w:tcW w:w="9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3"/>
        </w:trPr>
        <w:tc>
          <w:tcPr>
            <w:tcW w:w="9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September 26, 2021 and thereafter (3)</w:t>
            </w:r>
          </w:p>
        </w:tc>
        <w:tc>
          <w:tcPr>
            <w:tcW w:w="6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4.50</w:t>
            </w:r>
          </w:p>
        </w:tc>
        <w:tc>
          <w:tcPr>
            <w:tcW w:w="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to</w:t>
            </w:r>
          </w:p>
        </w:tc>
        <w:tc>
          <w:tcPr>
            <w:tcW w:w="8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1.00</w:t>
            </w:r>
          </w:p>
        </w:tc>
      </w:tr>
      <w:tr>
        <w:trPr>
          <w:trHeight w:val="27"/>
        </w:trPr>
        <w:tc>
          <w:tcPr>
            <w:tcW w:w="9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19"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Seasonally annualized Consolidated EBITDA calculated as Consolidated EBITDA for the fiscal quarter ending March 28, 2021 divided by 34.1%.</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Seasonally annualized Consolidated EBITDA calculated as Consolidated EBITDA for the two consecutive quarters ending June 27, 2021 divided by 58.5%.</w:t>
      </w:r>
    </w:p>
    <w:p>
      <w:pPr>
        <w:spacing w:after="0" w:line="16" w:lineRule="exact"/>
        <w:rPr>
          <w:rFonts w:ascii="Arial" w:cs="Arial" w:eastAsia="Arial" w:hAnsi="Arial"/>
          <w:sz w:val="15"/>
          <w:szCs w:val="15"/>
          <w:color w:val="auto"/>
        </w:rPr>
      </w:pPr>
    </w:p>
    <w:p>
      <w:pPr>
        <w:ind w:left="660" w:right="20" w:hanging="652"/>
        <w:spacing w:after="0" w:line="257"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Seasonally annualized Consolidated EBITDA calculated as Consolidated EBITDA for the three consecutive quarters ending September 26, 2021 divided by 77.0%.</w:t>
      </w:r>
    </w:p>
    <w:p>
      <w:pPr>
        <w:spacing w:after="0" w:line="20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 xml:space="preserve">The Company is also </w:t>
      </w:r>
      <w:r>
        <w:rPr>
          <w:rFonts w:ascii="Arial" w:cs="Arial" w:eastAsia="Arial" w:hAnsi="Arial"/>
          <w:sz w:val="17"/>
          <w:szCs w:val="17"/>
          <w:color w:val="auto"/>
        </w:rPr>
        <w:t>required</w:t>
      </w:r>
      <w:r>
        <w:rPr>
          <w:rFonts w:ascii="Arial" w:cs="Arial" w:eastAsia="Arial" w:hAnsi="Arial"/>
          <w:sz w:val="20"/>
          <w:szCs w:val="20"/>
          <w:color w:val="auto"/>
        </w:rPr>
        <w:t xml:space="preserve"> to meet a minimum monthly liquidity threshold of $125.0 million through March 28, 2021, calculated as the sum of available capacity under the Company’s revolving credit facility, unrestricted domestic cash on hand and up to $25.0 million of unrestricted cash held by foreign subsidiaries.</w:t>
      </w:r>
    </w:p>
    <w:p>
      <w:pPr>
        <w:spacing w:after="0" w:line="213"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Under the Amended Credit Agreement, the Company is limited to $100.0 million of aggregate capital expenditures for the four fiscal quarters through March 28, 2021. The Company is also prohibited from making certain restricted payments, investments or acquisitions until after September 26, 2021, with an exception for investments in the Company’s foreign subsidiaries which are capped at $27.5 million. Repurchasing shares of the Company’s outstanding common stock and paying dividends are also restricted until after September 26, 2021 and the Company is compliant with its financial covenants under the terms of the Amended Credit Agreement.</w:t>
      </w:r>
    </w:p>
    <w:p>
      <w:pPr>
        <w:spacing w:after="0" w:line="19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Interest rates under the Amended Credit Agreement are 275 and 175 basis points above the Eurocurrency Rate and Base Rate, respectively, and letter of credit fees and fees for the daily unused availability under the revolving credit facility are 2.75% and 0.40%, respectively, subject to reversion to rates under the original credit agreement when the Company is in compliance with the TNLR covenant for the test period ending September 26, 2021. The Company is also subject to a 0% Eurocurrency floor under the Amended Credit Agreement.</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9"/>
          <w:szCs w:val="19"/>
          <w:i w:val="1"/>
          <w:iCs w:val="1"/>
          <w:color w:val="auto"/>
        </w:rPr>
        <w:t xml:space="preserve">Deferred Financing Fees - </w:t>
      </w:r>
      <w:r>
        <w:rPr>
          <w:rFonts w:ascii="Arial" w:cs="Arial" w:eastAsia="Arial" w:hAnsi="Arial"/>
          <w:sz w:val="19"/>
          <w:szCs w:val="19"/>
          <w:color w:val="auto"/>
        </w:rPr>
        <w:t>The Company deferred $2.9 million of financing costs incurred in connection with the Amended Credit</w:t>
      </w:r>
      <w:r>
        <w:rPr>
          <w:rFonts w:ascii="Arial" w:cs="Arial" w:eastAsia="Arial" w:hAnsi="Arial"/>
          <w:sz w:val="19"/>
          <w:szCs w:val="19"/>
          <w:i w:val="1"/>
          <w:iCs w:val="1"/>
          <w:color w:val="auto"/>
        </w:rPr>
        <w:t xml:space="preserve"> </w:t>
      </w:r>
      <w:r>
        <w:rPr>
          <w:rFonts w:ascii="Arial" w:cs="Arial" w:eastAsia="Arial" w:hAnsi="Arial"/>
          <w:sz w:val="19"/>
          <w:szCs w:val="19"/>
          <w:color w:val="auto"/>
        </w:rPr>
        <w:t>Agreement. Deferred financing fees of $2.0 million associated with the revolving credit facility portion of the Amended Credit Agreement were recorded in Other assets, net and all other deferred financing fees were recorded in Long-term debt, net.</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color w:val="auto"/>
        </w:rPr>
        <w:t>As of June 28, 2020 and December 29, 2019, the Company was in compliance with its debt covenants.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12. Convertible Senior Notes</w:t>
      </w:r>
    </w:p>
    <w:p>
      <w:pPr>
        <w:spacing w:after="0" w:line="243" w:lineRule="exact"/>
        <w:rPr>
          <w:sz w:val="20"/>
          <w:szCs w:val="20"/>
          <w:color w:val="auto"/>
        </w:rPr>
      </w:pPr>
    </w:p>
    <w:p>
      <w:pPr>
        <w:jc w:val="both"/>
        <w:spacing w:after="0" w:line="259" w:lineRule="auto"/>
        <w:rPr>
          <w:sz w:val="20"/>
          <w:szCs w:val="20"/>
          <w:color w:val="auto"/>
        </w:rPr>
      </w:pPr>
      <w:r>
        <w:rPr>
          <w:rFonts w:ascii="Arial" w:cs="Arial" w:eastAsia="Arial" w:hAnsi="Arial"/>
          <w:sz w:val="19"/>
          <w:szCs w:val="19"/>
          <w:i w:val="1"/>
          <w:iCs w:val="1"/>
          <w:color w:val="auto"/>
        </w:rPr>
        <w:t xml:space="preserve">Convertible Senior Notes </w:t>
      </w:r>
      <w:r>
        <w:rPr>
          <w:rFonts w:ascii="Arial" w:cs="Arial" w:eastAsia="Arial" w:hAnsi="Arial"/>
          <w:sz w:val="19"/>
          <w:szCs w:val="19"/>
          <w:color w:val="auto"/>
        </w:rPr>
        <w:t>- On May 8, 2020, the Company completed a $200.0 million principal amount private offering of 5.00%</w:t>
      </w:r>
      <w:r>
        <w:rPr>
          <w:rFonts w:ascii="Arial" w:cs="Arial" w:eastAsia="Arial" w:hAnsi="Arial"/>
          <w:sz w:val="19"/>
          <w:szCs w:val="19"/>
          <w:i w:val="1"/>
          <w:iCs w:val="1"/>
          <w:color w:val="auto"/>
        </w:rPr>
        <w:t xml:space="preserve"> </w:t>
      </w:r>
      <w:r>
        <w:rPr>
          <w:rFonts w:ascii="Arial" w:cs="Arial" w:eastAsia="Arial" w:hAnsi="Arial"/>
          <w:sz w:val="19"/>
          <w:szCs w:val="19"/>
          <w:color w:val="auto"/>
        </w:rPr>
        <w:t>convertible senior notes due 2025 and on May 12, 2020, issued an additional $30.0 million principal amount in connection with the option granted to the initial purchasers as part of the offering (collectively, the “2025 Notes”). The 2025 Notes are governed by the terms of an indenture between the Company and Wells Fargo Bank, National Association, as the Trustee. The 2025 Notes will mature on May 1, 2025, unless earlier converted, redeemed or purchased by the Company. The 2025 Notes bear cash interest at an annual rate of 5.00%, payable semi-annually in arrears on May 1 and November 1 of each year, beginning on November 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348"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2025 Notes are unsecured obligations and do not contain any financial covenants or restrictions on incurring additional indebtedness, paying dividends or issuing or repurchasing any securities. Events of default under the indenture for the 2025 Notes include, among other things, a default in the payment when due of the principal of, or the redemption price for, any note and a default for 30 days in the payment when due of interest on any note. If an event of default, the principal amount of, and all accrued and unpaid interest on, all of the notes then outstanding will immediately become due and payable.</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The initial conversion rate applicable to the 2025 Notes is 84.122 shares of common stock per $1,000 principal amount of 2025 Notes, or a total of approximately 19.348 million shares for the total $230.0 million principal amount. This initial conversion rate is equivalent to an initial conversion price of approximately $11.89 per share. The conversion rate will be subject to adjustment upon the occurrence of certain specified events. Noteholders may convert their notes at their option only in the circumstances described in the indenture.</w:t>
      </w:r>
    </w:p>
    <w:p>
      <w:pPr>
        <w:spacing w:after="0" w:line="188"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 Company will settle conversions by paying or delivering, as applicable, cash, shares of its common stock or a combination of cash and shares of its common stock, at the Company’s election, based on the applicable conversion rate.</w:t>
      </w:r>
    </w:p>
    <w:p>
      <w:pPr>
        <w:spacing w:after="0" w:line="20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Net proceeds from the 2025 Notes offering were approximately $221.6 million, after deducting the initial purchaser’s discounts and commissions and the Company’s offering expenses. Upon issuance, the principal amount was separated into a liability and an equity component, such that interest expense reflects the Company’s nonconvertible debt interest rate.</w:t>
      </w:r>
    </w:p>
    <w:p>
      <w:pPr>
        <w:spacing w:after="0" w:line="21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 xml:space="preserve">The initial carrying value of the 2025 Notes, excluding the discounts upon original issuance and third party offering costs allocated to the liability, and recorded </w:t>
      </w:r>
      <w:r>
        <w:rPr>
          <w:rFonts w:ascii="Arial" w:cs="Arial" w:eastAsia="Arial" w:hAnsi="Arial"/>
          <w:sz w:val="20"/>
          <w:szCs w:val="20"/>
          <w:color w:val="252525"/>
        </w:rPr>
        <w:t>during the thirteen weeks ended June 28, 2020,</w:t>
      </w:r>
      <w:r>
        <w:rPr>
          <w:rFonts w:ascii="Arial" w:cs="Arial" w:eastAsia="Arial" w:hAnsi="Arial"/>
          <w:sz w:val="20"/>
          <w:szCs w:val="20"/>
          <w:color w:val="auto"/>
        </w:rPr>
        <w:t xml:space="preserve"> is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1631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96" w:lineRule="exact"/>
        <w:rPr>
          <w:sz w:val="20"/>
          <w:szCs w:val="20"/>
          <w:color w:val="auto"/>
        </w:rPr>
      </w:pPr>
    </w:p>
    <w:p>
      <w:pPr>
        <w:ind w:left="20"/>
        <w:spacing w:after="0"/>
        <w:rPr>
          <w:sz w:val="20"/>
          <w:szCs w:val="20"/>
          <w:color w:val="auto"/>
        </w:rPr>
      </w:pPr>
      <w:r>
        <w:rPr>
          <w:rFonts w:ascii="Arial" w:cs="Arial" w:eastAsia="Arial" w:hAnsi="Arial"/>
          <w:sz w:val="16"/>
          <w:szCs w:val="16"/>
          <w:color w:val="auto"/>
        </w:rPr>
        <w:t>Liability component</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9160" w:type="dxa"/>
            <w:vAlign w:val="bottom"/>
          </w:tcPr>
          <w:p>
            <w:pPr>
              <w:ind w:left="120"/>
              <w:spacing w:after="0"/>
              <w:rPr>
                <w:sz w:val="20"/>
                <w:szCs w:val="20"/>
                <w:color w:val="auto"/>
              </w:rPr>
            </w:pPr>
            <w:r>
              <w:rPr>
                <w:rFonts w:ascii="Arial" w:cs="Arial" w:eastAsia="Arial" w:hAnsi="Arial"/>
                <w:sz w:val="16"/>
                <w:szCs w:val="16"/>
                <w:color w:val="auto"/>
              </w:rPr>
              <w:t>Principal</w:t>
            </w:r>
          </w:p>
        </w:tc>
        <w:tc>
          <w:tcPr>
            <w:tcW w:w="760" w:type="dxa"/>
            <w:vAlign w:val="bottom"/>
          </w:tcPr>
          <w:p>
            <w:pPr>
              <w:jc w:val="right"/>
              <w:ind w:right="57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230,000</w:t>
            </w:r>
          </w:p>
        </w:tc>
        <w:tc>
          <w:tcPr>
            <w:tcW w:w="0" w:type="dxa"/>
            <w:vAlign w:val="bottom"/>
          </w:tcPr>
          <w:p>
            <w:pPr>
              <w:spacing w:after="0"/>
              <w:rPr>
                <w:sz w:val="1"/>
                <w:szCs w:val="1"/>
                <w:color w:val="auto"/>
              </w:rPr>
            </w:pPr>
          </w:p>
        </w:tc>
      </w:tr>
      <w:tr>
        <w:trPr>
          <w:trHeight w:val="33"/>
        </w:trPr>
        <w:tc>
          <w:tcPr>
            <w:tcW w:w="9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9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Less: Debt discount (1)</w:t>
            </w:r>
          </w:p>
        </w:tc>
        <w:tc>
          <w:tcPr>
            <w:tcW w:w="7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(66,137)</w:t>
            </w:r>
          </w:p>
        </w:tc>
        <w:tc>
          <w:tcPr>
            <w:tcW w:w="0" w:type="dxa"/>
            <w:vAlign w:val="bottom"/>
          </w:tcPr>
          <w:p>
            <w:pPr>
              <w:spacing w:after="0"/>
              <w:rPr>
                <w:sz w:val="1"/>
                <w:szCs w:val="1"/>
                <w:color w:val="auto"/>
              </w:rPr>
            </w:pPr>
          </w:p>
        </w:tc>
      </w:tr>
      <w:tr>
        <w:trPr>
          <w:trHeight w:val="270"/>
        </w:trPr>
        <w:tc>
          <w:tcPr>
            <w:tcW w:w="916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Less: Debt issuance costs (1)</w:t>
            </w:r>
          </w:p>
        </w:tc>
        <w:tc>
          <w:tcPr>
            <w:tcW w:w="7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(5,996)</w:t>
            </w:r>
          </w:p>
        </w:tc>
        <w:tc>
          <w:tcPr>
            <w:tcW w:w="0" w:type="dxa"/>
            <w:vAlign w:val="bottom"/>
          </w:tcPr>
          <w:p>
            <w:pPr>
              <w:spacing w:after="0"/>
              <w:rPr>
                <w:sz w:val="1"/>
                <w:szCs w:val="1"/>
                <w:color w:val="auto"/>
              </w:rPr>
            </w:pPr>
          </w:p>
        </w:tc>
      </w:tr>
      <w:tr>
        <w:trPr>
          <w:trHeight w:val="257"/>
        </w:trPr>
        <w:tc>
          <w:tcPr>
            <w:tcW w:w="9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Net carrying amount</w:t>
            </w:r>
          </w:p>
        </w:tc>
        <w:tc>
          <w:tcPr>
            <w:tcW w:w="760" w:type="dxa"/>
            <w:vAlign w:val="bottom"/>
            <w:tcBorders>
              <w:bottom w:val="single" w:sz="8" w:color="auto"/>
            </w:tcBorders>
            <w:shd w:val="clear" w:color="auto" w:fill="CCEEFF"/>
          </w:tcPr>
          <w:p>
            <w:pPr>
              <w:jc w:val="right"/>
              <w:ind w:right="57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157,867</w:t>
            </w:r>
          </w:p>
        </w:tc>
        <w:tc>
          <w:tcPr>
            <w:tcW w:w="0" w:type="dxa"/>
            <w:vAlign w:val="bottom"/>
          </w:tcPr>
          <w:p>
            <w:pPr>
              <w:spacing w:after="0"/>
              <w:rPr>
                <w:sz w:val="1"/>
                <w:szCs w:val="1"/>
                <w:color w:val="auto"/>
              </w:rPr>
            </w:pPr>
          </w:p>
        </w:tc>
      </w:tr>
      <w:tr>
        <w:trPr>
          <w:trHeight w:val="250"/>
        </w:trPr>
        <w:tc>
          <w:tcPr>
            <w:tcW w:w="9160" w:type="dxa"/>
            <w:vAlign w:val="bottom"/>
          </w:tcPr>
          <w:p>
            <w:pPr>
              <w:ind w:left="20"/>
              <w:spacing w:after="0"/>
              <w:rPr>
                <w:sz w:val="20"/>
                <w:szCs w:val="20"/>
                <w:color w:val="auto"/>
              </w:rPr>
            </w:pPr>
            <w:r>
              <w:rPr>
                <w:rFonts w:ascii="Arial" w:cs="Arial" w:eastAsia="Arial" w:hAnsi="Arial"/>
                <w:sz w:val="16"/>
                <w:szCs w:val="16"/>
                <w:color w:val="auto"/>
              </w:rPr>
              <w:t>Equity component (2)</w:t>
            </w:r>
          </w:p>
        </w:tc>
        <w:tc>
          <w:tcPr>
            <w:tcW w:w="7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64,367</w:t>
            </w:r>
          </w:p>
        </w:tc>
        <w:tc>
          <w:tcPr>
            <w:tcW w:w="0" w:type="dxa"/>
            <w:vAlign w:val="bottom"/>
          </w:tcPr>
          <w:p>
            <w:pPr>
              <w:spacing w:after="0"/>
              <w:rPr>
                <w:sz w:val="1"/>
                <w:szCs w:val="1"/>
                <w:color w:val="auto"/>
              </w:rPr>
            </w:pPr>
          </w:p>
        </w:tc>
      </w:tr>
      <w:tr>
        <w:trPr>
          <w:trHeight w:val="27"/>
        </w:trPr>
        <w:tc>
          <w:tcPr>
            <w:tcW w:w="9160" w:type="dxa"/>
            <w:vAlign w:val="bottom"/>
            <w:vMerge w:val="restart"/>
          </w:tcPr>
          <w:p>
            <w:pPr>
              <w:spacing w:after="0"/>
              <w:rPr>
                <w:sz w:val="20"/>
                <w:szCs w:val="20"/>
                <w:color w:val="auto"/>
              </w:rPr>
            </w:pPr>
            <w:r>
              <w:rPr>
                <w:rFonts w:ascii="Arial" w:cs="Arial" w:eastAsia="Arial" w:hAnsi="Arial"/>
                <w:sz w:val="16"/>
                <w:szCs w:val="16"/>
                <w:color w:val="auto"/>
              </w:rPr>
              <w:t>________________</w:t>
            </w:r>
          </w:p>
        </w:tc>
        <w:tc>
          <w:tcPr>
            <w:tcW w:w="7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9160" w:type="dxa"/>
            <w:vAlign w:val="bottom"/>
            <w:vMerge w:val="continue"/>
          </w:tcPr>
          <w:p>
            <w:pPr>
              <w:spacing w:after="0"/>
              <w:rPr>
                <w:sz w:val="23"/>
                <w:szCs w:val="23"/>
                <w:color w:val="auto"/>
              </w:rPr>
            </w:pPr>
          </w:p>
        </w:tc>
        <w:tc>
          <w:tcPr>
            <w:tcW w:w="7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Debt discount and issuance costs are amortized to interest expense using the effective interest method over the expected life of the 2025 Notes.</w:t>
      </w:r>
    </w:p>
    <w:p>
      <w:pPr>
        <w:spacing w:after="0" w:line="5" w:lineRule="exact"/>
        <w:rPr>
          <w:rFonts w:ascii="Arial" w:cs="Arial" w:eastAsia="Arial" w:hAnsi="Arial"/>
          <w:sz w:val="16"/>
          <w:szCs w:val="16"/>
          <w:color w:val="auto"/>
        </w:rPr>
      </w:pPr>
    </w:p>
    <w:p>
      <w:pPr>
        <w:ind w:left="660" w:hanging="652"/>
        <w:spacing w:after="0" w:line="257" w:lineRule="auto"/>
        <w:tabs>
          <w:tab w:leader="none" w:pos="660" w:val="left"/>
        </w:tabs>
        <w:numPr>
          <w:ilvl w:val="0"/>
          <w:numId w:val="16"/>
        </w:numPr>
        <w:rPr>
          <w:rFonts w:ascii="Arial" w:cs="Arial" w:eastAsia="Arial" w:hAnsi="Arial"/>
          <w:sz w:val="16"/>
          <w:szCs w:val="16"/>
          <w:color w:val="252525"/>
        </w:rPr>
      </w:pPr>
      <w:r>
        <w:rPr>
          <w:rFonts w:ascii="Arial" w:cs="Arial" w:eastAsia="Arial" w:hAnsi="Arial"/>
          <w:sz w:val="16"/>
          <w:szCs w:val="16"/>
          <w:color w:val="auto"/>
        </w:rPr>
        <w:t>Recorded in Additional paid-in capital on the Consolidated Balance Sheet. Includes $2.4 million of equity issuance costs and net deferred tax assets of $0.6 million.</w:t>
      </w:r>
    </w:p>
    <w:p>
      <w:pPr>
        <w:spacing w:after="0" w:line="20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i w:val="1"/>
          <w:iCs w:val="1"/>
          <w:color w:val="auto"/>
        </w:rPr>
        <w:t xml:space="preserve">Convertible Note Hedge and Warrant Transactions </w:t>
      </w:r>
      <w:r>
        <w:rPr>
          <w:rFonts w:ascii="Arial" w:cs="Arial" w:eastAsia="Arial" w:hAnsi="Arial"/>
          <w:sz w:val="20"/>
          <w:szCs w:val="20"/>
          <w:color w:val="252525"/>
        </w:rPr>
        <w:t>- In connection with the offering of the</w:t>
      </w:r>
      <w:r>
        <w:rPr>
          <w:rFonts w:ascii="Arial" w:cs="Arial" w:eastAsia="Arial" w:hAnsi="Arial"/>
          <w:sz w:val="20"/>
          <w:szCs w:val="20"/>
          <w:i w:val="1"/>
          <w:iCs w:val="1"/>
          <w:color w:val="auto"/>
        </w:rPr>
        <w:t xml:space="preserve"> </w:t>
      </w:r>
      <w:r>
        <w:rPr>
          <w:rFonts w:ascii="Arial" w:cs="Arial" w:eastAsia="Arial" w:hAnsi="Arial"/>
          <w:sz w:val="20"/>
          <w:szCs w:val="20"/>
          <w:color w:val="auto"/>
        </w:rPr>
        <w:t>2025 Notes</w:t>
      </w:r>
      <w:r>
        <w:rPr>
          <w:rFonts w:ascii="Arial" w:cs="Arial" w:eastAsia="Arial" w:hAnsi="Arial"/>
          <w:sz w:val="20"/>
          <w:szCs w:val="20"/>
          <w:color w:val="252525"/>
        </w:rPr>
        <w:t>, the Company entered into convertible</w:t>
      </w:r>
      <w:r>
        <w:rPr>
          <w:rFonts w:ascii="Arial" w:cs="Arial" w:eastAsia="Arial" w:hAnsi="Arial"/>
          <w:sz w:val="20"/>
          <w:szCs w:val="20"/>
          <w:i w:val="1"/>
          <w:iCs w:val="1"/>
          <w:color w:val="auto"/>
        </w:rPr>
        <w:t xml:space="preserve"> </w:t>
      </w:r>
      <w:r>
        <w:rPr>
          <w:rFonts w:ascii="Arial" w:cs="Arial" w:eastAsia="Arial" w:hAnsi="Arial"/>
          <w:sz w:val="20"/>
          <w:szCs w:val="20"/>
          <w:color w:val="252525"/>
        </w:rPr>
        <w:t xml:space="preserve">note hedge transactions (the “Convertible Note Hedge Transactions”) with certain of the initial purchasers of the </w:t>
      </w:r>
      <w:r>
        <w:rPr>
          <w:rFonts w:ascii="Arial" w:cs="Arial" w:eastAsia="Arial" w:hAnsi="Arial"/>
          <w:sz w:val="20"/>
          <w:szCs w:val="20"/>
          <w:color w:val="000000"/>
        </w:rPr>
        <w:t>2025 Notes</w:t>
      </w:r>
      <w:r>
        <w:rPr>
          <w:rFonts w:ascii="Arial" w:cs="Arial" w:eastAsia="Arial" w:hAnsi="Arial"/>
          <w:sz w:val="20"/>
          <w:szCs w:val="20"/>
          <w:color w:val="252525"/>
        </w:rPr>
        <w:t xml:space="preserve"> and/or their respective affiliates and other financial institutions (in this capacity, the “Hedge Counterparties”). Concurrently with the Company’s entry into the Convertible Note Hedge Transactions, the Company also entered into separate, warrant transactions with the Hedge Counterparties collectively relating to the same number of shares of the Company’s common stock, subject to customary anti-dilution adjustments, and for which the Company received proceeds that partially offset the cost of entering into the Convertible Note Hedge Transactions (the “Warrant Transactions”).</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252525"/>
        </w:rPr>
        <w:t xml:space="preserve">The Convertible Note Hedge Transactions cover, subject to customary anti-dilution adjustments, the number of shares of the Company’s common stock that initially underlie the </w:t>
      </w:r>
      <w:r>
        <w:rPr>
          <w:rFonts w:ascii="Arial" w:cs="Arial" w:eastAsia="Arial" w:hAnsi="Arial"/>
          <w:sz w:val="20"/>
          <w:szCs w:val="20"/>
          <w:color w:val="000000"/>
        </w:rPr>
        <w:t>2025 Notes</w:t>
      </w:r>
      <w:r>
        <w:rPr>
          <w:rFonts w:ascii="Arial" w:cs="Arial" w:eastAsia="Arial" w:hAnsi="Arial"/>
          <w:sz w:val="20"/>
          <w:szCs w:val="20"/>
          <w:color w:val="252525"/>
        </w:rPr>
        <w:t xml:space="preserve">, and are expected generally to reduce the potential equity dilution, and/or offset any cash payments in excess of the principal amount due, as the case may be, upon conversion of the </w:t>
      </w:r>
      <w:r>
        <w:rPr>
          <w:rFonts w:ascii="Arial" w:cs="Arial" w:eastAsia="Arial" w:hAnsi="Arial"/>
          <w:sz w:val="20"/>
          <w:szCs w:val="20"/>
          <w:color w:val="000000"/>
        </w:rPr>
        <w:t>2025 Notes</w:t>
      </w:r>
      <w:r>
        <w:rPr>
          <w:rFonts w:ascii="Arial" w:cs="Arial" w:eastAsia="Arial" w:hAnsi="Arial"/>
          <w:sz w:val="20"/>
          <w:szCs w:val="20"/>
          <w:color w:val="252525"/>
        </w:rPr>
        <w:t>. The Warrant Transactions could have a dilutive effect on the Company’s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34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252525"/>
        </w:rPr>
        <w:t>common stock to the extent that the price of its common stock exceeds the strike price of the Warrant Transactions. The strike price will initially be $16.64 per share and is subject to certain adjustments under the terms of the Warrant Transactions.</w:t>
      </w:r>
    </w:p>
    <w:p>
      <w:pPr>
        <w:spacing w:after="0" w:line="20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252525"/>
        </w:rPr>
        <w:t xml:space="preserve">The portion of the net proceeds to the Company from the offering of the </w:t>
      </w:r>
      <w:r>
        <w:rPr>
          <w:rFonts w:ascii="Arial" w:cs="Arial" w:eastAsia="Arial" w:hAnsi="Arial"/>
          <w:sz w:val="18"/>
          <w:szCs w:val="18"/>
          <w:color w:val="000000"/>
        </w:rPr>
        <w:t>2025 Notes</w:t>
      </w:r>
      <w:r>
        <w:rPr>
          <w:rFonts w:ascii="Arial" w:cs="Arial" w:eastAsia="Arial" w:hAnsi="Arial"/>
          <w:sz w:val="18"/>
          <w:szCs w:val="18"/>
          <w:color w:val="252525"/>
        </w:rPr>
        <w:t xml:space="preserve"> that was used to pay the premium on the Convertible Note Hedge Transactions, net of the proceeds to the Company from the Warrant Transactions, was approximately $19.6 million. The net costs incurred in connection with the Convertible Note Hedge Transactions and Warrant Transactions were recorded as a reduction to Additional paid-in capital on the Company’s Consolidated Balance Sheet during the thirteen weeks ended June 28, 2020.</w:t>
      </w:r>
    </w:p>
    <w:p>
      <w:pPr>
        <w:spacing w:after="0" w:line="188"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252525"/>
        </w:rPr>
        <w:t>As these transactions meet certain accounting criteria, the Convertible Note Hedge Transactions and Warrant Transactions were recorded in stockholders’ equity, not accounted for as derivatives and are not remeasured each reporting period.</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13. Other Long-term Liabilities, Net</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Other long-term liabilities, net, consisted of the following, as of the periods indicated: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18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20" w:type="dxa"/>
            <w:vAlign w:val="bottom"/>
          </w:tcPr>
          <w:p>
            <w:pPr>
              <w:spacing w:after="0"/>
              <w:rPr>
                <w:sz w:val="17"/>
                <w:szCs w:val="17"/>
                <w:color w:val="auto"/>
              </w:rPr>
            </w:pPr>
          </w:p>
        </w:tc>
        <w:tc>
          <w:tcPr>
            <w:tcW w:w="176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28, 2020</w:t>
            </w:r>
          </w:p>
        </w:tc>
        <w:tc>
          <w:tcPr>
            <w:tcW w:w="200" w:type="dxa"/>
            <w:vAlign w:val="bottom"/>
          </w:tcPr>
          <w:p>
            <w:pPr>
              <w:spacing w:after="0"/>
              <w:rPr>
                <w:sz w:val="17"/>
                <w:szCs w:val="17"/>
                <w:color w:val="auto"/>
              </w:rPr>
            </w:pPr>
          </w:p>
        </w:tc>
        <w:tc>
          <w:tcPr>
            <w:tcW w:w="1780" w:type="dxa"/>
            <w:vAlign w:val="bottom"/>
          </w:tcPr>
          <w:p>
            <w:pPr>
              <w:jc w:val="right"/>
              <w:ind w:right="221"/>
              <w:spacing w:after="0"/>
              <w:rPr>
                <w:sz w:val="20"/>
                <w:szCs w:val="20"/>
                <w:color w:val="auto"/>
              </w:rPr>
            </w:pPr>
            <w:r>
              <w:rPr>
                <w:rFonts w:ascii="Arial" w:cs="Arial" w:eastAsia="Arial" w:hAnsi="Arial"/>
                <w:sz w:val="14"/>
                <w:szCs w:val="14"/>
                <w:b w:val="1"/>
                <w:bCs w:val="1"/>
                <w:color w:val="auto"/>
              </w:rPr>
              <w:t>DECEMBER 29, 2019</w:t>
            </w:r>
          </w:p>
        </w:tc>
        <w:tc>
          <w:tcPr>
            <w:tcW w:w="0" w:type="dxa"/>
            <w:vAlign w:val="bottom"/>
          </w:tcPr>
          <w:p>
            <w:pPr>
              <w:spacing w:after="0"/>
              <w:rPr>
                <w:sz w:val="1"/>
                <w:szCs w:val="1"/>
                <w:color w:val="auto"/>
              </w:rPr>
            </w:pPr>
          </w:p>
        </w:tc>
      </w:tr>
      <w:tr>
        <w:trPr>
          <w:trHeight w:val="237"/>
        </w:trPr>
        <w:tc>
          <w:tcPr>
            <w:tcW w:w="7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Accrued insurance liability</w:t>
            </w:r>
          </w:p>
        </w:tc>
        <w:tc>
          <w:tcPr>
            <w:tcW w:w="320" w:type="dxa"/>
            <w:vAlign w:val="bottom"/>
            <w:tcBorders>
              <w:top w:val="single" w:sz="8" w:color="auto"/>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32,740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80" w:type="dxa"/>
            <w:vAlign w:val="bottom"/>
            <w:tcBorders>
              <w:top w:val="single" w:sz="8" w:color="auto"/>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33,818</w:t>
            </w:r>
          </w:p>
        </w:tc>
        <w:tc>
          <w:tcPr>
            <w:tcW w:w="0" w:type="dxa"/>
            <w:vAlign w:val="bottom"/>
          </w:tcPr>
          <w:p>
            <w:pPr>
              <w:spacing w:after="0"/>
              <w:rPr>
                <w:sz w:val="1"/>
                <w:szCs w:val="1"/>
                <w:color w:val="auto"/>
              </w:rPr>
            </w:pPr>
          </w:p>
        </w:tc>
      </w:tr>
      <w:tr>
        <w:trPr>
          <w:trHeight w:val="224"/>
        </w:trPr>
        <w:tc>
          <w:tcPr>
            <w:tcW w:w="7180" w:type="dxa"/>
            <w:vAlign w:val="bottom"/>
          </w:tcPr>
          <w:p>
            <w:pPr>
              <w:ind w:left="20"/>
              <w:spacing w:after="0"/>
              <w:rPr>
                <w:sz w:val="20"/>
                <w:szCs w:val="20"/>
                <w:color w:val="auto"/>
              </w:rPr>
            </w:pPr>
            <w:r>
              <w:rPr>
                <w:rFonts w:ascii="Arial" w:cs="Arial" w:eastAsia="Arial" w:hAnsi="Arial"/>
                <w:sz w:val="16"/>
                <w:szCs w:val="16"/>
                <w:color w:val="auto"/>
              </w:rPr>
              <w:t>Chef and Restaurant Managing Partner deferred compensation obligations</w:t>
            </w:r>
          </w:p>
        </w:tc>
        <w:tc>
          <w:tcPr>
            <w:tcW w:w="320" w:type="dxa"/>
            <w:vAlign w:val="bottom"/>
          </w:tcPr>
          <w:p>
            <w:pPr>
              <w:spacing w:after="0"/>
              <w:rPr>
                <w:sz w:val="19"/>
                <w:szCs w:val="19"/>
                <w:color w:val="auto"/>
              </w:rPr>
            </w:pPr>
          </w:p>
        </w:tc>
        <w:tc>
          <w:tcPr>
            <w:tcW w:w="1660" w:type="dxa"/>
            <w:vAlign w:val="bottom"/>
          </w:tcPr>
          <w:p>
            <w:pPr>
              <w:jc w:val="right"/>
              <w:ind w:right="61"/>
              <w:spacing w:after="0"/>
              <w:rPr>
                <w:sz w:val="20"/>
                <w:szCs w:val="20"/>
                <w:color w:val="auto"/>
              </w:rPr>
            </w:pPr>
            <w:r>
              <w:rPr>
                <w:rFonts w:ascii="Arial" w:cs="Arial" w:eastAsia="Arial" w:hAnsi="Arial"/>
                <w:sz w:val="16"/>
                <w:szCs w:val="16"/>
                <w:color w:val="auto"/>
              </w:rPr>
              <w:t>38,187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ind w:right="61"/>
              <w:spacing w:after="0"/>
              <w:rPr>
                <w:sz w:val="20"/>
                <w:szCs w:val="20"/>
                <w:color w:val="auto"/>
              </w:rPr>
            </w:pPr>
            <w:r>
              <w:rPr>
                <w:rFonts w:ascii="Arial" w:cs="Arial" w:eastAsia="Arial" w:hAnsi="Arial"/>
                <w:sz w:val="16"/>
                <w:szCs w:val="16"/>
                <w:color w:val="auto"/>
              </w:rPr>
              <w:t>47,831</w:t>
            </w:r>
          </w:p>
        </w:tc>
        <w:tc>
          <w:tcPr>
            <w:tcW w:w="0" w:type="dxa"/>
            <w:vAlign w:val="bottom"/>
          </w:tcPr>
          <w:p>
            <w:pPr>
              <w:spacing w:after="0"/>
              <w:rPr>
                <w:sz w:val="1"/>
                <w:szCs w:val="1"/>
                <w:color w:val="auto"/>
              </w:rPr>
            </w:pPr>
          </w:p>
        </w:tc>
      </w:tr>
      <w:tr>
        <w:trPr>
          <w:trHeight w:val="33"/>
        </w:trPr>
        <w:tc>
          <w:tcPr>
            <w:tcW w:w="7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long-term liabilities (1)</w:t>
            </w:r>
          </w:p>
        </w:tc>
        <w:tc>
          <w:tcPr>
            <w:tcW w:w="32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91,971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56,411</w:t>
            </w:r>
          </w:p>
        </w:tc>
        <w:tc>
          <w:tcPr>
            <w:tcW w:w="0" w:type="dxa"/>
            <w:vAlign w:val="bottom"/>
          </w:tcPr>
          <w:p>
            <w:pPr>
              <w:spacing w:after="0"/>
              <w:rPr>
                <w:sz w:val="1"/>
                <w:szCs w:val="1"/>
                <w:color w:val="auto"/>
              </w:rPr>
            </w:pPr>
          </w:p>
        </w:tc>
      </w:tr>
      <w:tr>
        <w:trPr>
          <w:trHeight w:val="224"/>
        </w:trPr>
        <w:tc>
          <w:tcPr>
            <w:tcW w:w="7180" w:type="dxa"/>
            <w:vAlign w:val="bottom"/>
            <w:tcBorders>
              <w:top w:val="single" w:sz="8" w:color="CCEEFF"/>
            </w:tcBorders>
          </w:tcPr>
          <w:p>
            <w:pPr>
              <w:spacing w:after="0"/>
              <w:rPr>
                <w:sz w:val="19"/>
                <w:szCs w:val="19"/>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162,898</w:t>
            </w:r>
          </w:p>
        </w:tc>
        <w:tc>
          <w:tcPr>
            <w:tcW w:w="100" w:type="dxa"/>
            <w:vAlign w:val="bottom"/>
            <w:tcBorders>
              <w:top w:val="single" w:sz="8" w:color="CCEEFF"/>
            </w:tcBorders>
          </w:tcPr>
          <w:p>
            <w:pPr>
              <w:spacing w:after="0"/>
              <w:rPr>
                <w:sz w:val="19"/>
                <w:szCs w:val="19"/>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78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138,060</w:t>
            </w:r>
          </w:p>
        </w:tc>
        <w:tc>
          <w:tcPr>
            <w:tcW w:w="0" w:type="dxa"/>
            <w:vAlign w:val="bottom"/>
          </w:tcPr>
          <w:p>
            <w:pPr>
              <w:spacing w:after="0"/>
              <w:rPr>
                <w:sz w:val="1"/>
                <w:szCs w:val="1"/>
                <w:color w:val="auto"/>
              </w:rPr>
            </w:pPr>
          </w:p>
        </w:tc>
      </w:tr>
      <w:tr>
        <w:trPr>
          <w:trHeight w:val="33"/>
        </w:trPr>
        <w:tc>
          <w:tcPr>
            <w:tcW w:w="7180" w:type="dxa"/>
            <w:vAlign w:val="bottom"/>
            <w:vMerge w:val="restart"/>
          </w:tcPr>
          <w:p>
            <w:pPr>
              <w:spacing w:after="0"/>
              <w:rPr>
                <w:sz w:val="20"/>
                <w:szCs w:val="20"/>
                <w:color w:val="auto"/>
              </w:rPr>
            </w:pPr>
            <w:r>
              <w:rPr>
                <w:rFonts w:ascii="Arial" w:cs="Arial" w:eastAsia="Arial" w:hAnsi="Arial"/>
                <w:sz w:val="16"/>
                <w:szCs w:val="16"/>
                <w:color w:val="auto"/>
              </w:rPr>
              <w:t>________________</w:t>
            </w:r>
          </w:p>
        </w:tc>
        <w:tc>
          <w:tcPr>
            <w:tcW w:w="3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7180" w:type="dxa"/>
            <w:vAlign w:val="bottom"/>
            <w:vMerge w:val="continue"/>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7"/>
        </w:trPr>
        <w:tc>
          <w:tcPr>
            <w:tcW w:w="718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jc w:val="both"/>
        <w:ind w:left="660" w:hanging="652"/>
        <w:spacing w:after="0" w:line="234"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 xml:space="preserve">The increase in Other long-term liabilities during the twenty-six weeks ended June 28, 2020, primarily relates to $16.9 million related to deferred payroll tax liabilities (as allowed for in the Coronavirus, Aid, Relief and Economic Security Act), $8.6 million of additional contingent lease liabilities subsequent to the adoption of ASU No. 2016-13 and $7.3 million of additional interest rate swap liabilities. See Note 19 -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Note 20 -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xml:space="preserve"> and Note 15 - </w:t>
      </w:r>
      <w:r>
        <w:rPr>
          <w:rFonts w:ascii="Arial" w:cs="Arial" w:eastAsia="Arial" w:hAnsi="Arial"/>
          <w:sz w:val="16"/>
          <w:szCs w:val="16"/>
          <w:i w:val="1"/>
          <w:iCs w:val="1"/>
          <w:color w:val="auto"/>
        </w:rPr>
        <w:t>Derivative Instruments and Hedging Activities</w:t>
      </w:r>
      <w:r>
        <w:rPr>
          <w:rFonts w:ascii="Arial" w:cs="Arial" w:eastAsia="Arial" w:hAnsi="Arial"/>
          <w:sz w:val="16"/>
          <w:szCs w:val="16"/>
          <w:color w:val="auto"/>
        </w:rPr>
        <w:t>, respectively, for details regarding these increases.</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color w:val="auto"/>
        </w:rPr>
        <w:t>14. Stockholders’ Equity</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 xml:space="preserve">Dividends - </w:t>
      </w:r>
      <w:r>
        <w:rPr>
          <w:rFonts w:ascii="Arial" w:cs="Arial" w:eastAsia="Arial" w:hAnsi="Arial"/>
          <w:sz w:val="20"/>
          <w:szCs w:val="20"/>
          <w:color w:val="auto"/>
        </w:rPr>
        <w:t>The Company declared and paid dividends per share during fiscal year 2020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DIVIDENDS PER</w:t>
            </w:r>
          </w:p>
        </w:tc>
        <w:tc>
          <w:tcPr>
            <w:tcW w:w="34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205"/>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12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SHARE</w:t>
            </w:r>
          </w:p>
        </w:tc>
        <w:tc>
          <w:tcPr>
            <w:tcW w:w="340" w:type="dxa"/>
            <w:vAlign w:val="bottom"/>
          </w:tcPr>
          <w:p>
            <w:pPr>
              <w:spacing w:after="0"/>
              <w:rPr>
                <w:sz w:val="17"/>
                <w:szCs w:val="17"/>
                <w:color w:val="auto"/>
              </w:rPr>
            </w:pPr>
          </w:p>
        </w:tc>
        <w:tc>
          <w:tcPr>
            <w:tcW w:w="1500" w:type="dxa"/>
            <w:vAlign w:val="bottom"/>
          </w:tcPr>
          <w:p>
            <w:pPr>
              <w:jc w:val="right"/>
              <w:ind w:right="524"/>
              <w:spacing w:after="0"/>
              <w:rPr>
                <w:sz w:val="20"/>
                <w:szCs w:val="20"/>
                <w:color w:val="auto"/>
              </w:rPr>
            </w:pPr>
            <w:r>
              <w:rPr>
                <w:rFonts w:ascii="Arial" w:cs="Arial" w:eastAsia="Arial" w:hAnsi="Arial"/>
                <w:sz w:val="14"/>
                <w:szCs w:val="14"/>
                <w:b w:val="1"/>
                <w:bCs w:val="1"/>
                <w:color w:val="auto"/>
              </w:rPr>
              <w:t>AMOUNT</w:t>
            </w:r>
          </w:p>
        </w:tc>
      </w:tr>
      <w:tr>
        <w:trPr>
          <w:trHeight w:val="223"/>
        </w:trPr>
        <w:tc>
          <w:tcPr>
            <w:tcW w:w="7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First fiscal quarter</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6"/>
                <w:szCs w:val="16"/>
                <w:color w:val="auto"/>
              </w:rPr>
              <w:t>0.20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6"/>
                <w:szCs w:val="16"/>
                <w:color w:val="auto"/>
              </w:rPr>
              <w:t>17,480</w:t>
            </w:r>
          </w:p>
        </w:tc>
      </w:tr>
      <w:tr>
        <w:trPr>
          <w:trHeight w:val="33"/>
        </w:trPr>
        <w:tc>
          <w:tcPr>
            <w:tcW w:w="7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r>
    </w:tbl>
    <w:p>
      <w:pPr>
        <w:spacing w:after="0" w:line="32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 xml:space="preserve">Redeemable Preferred Stock </w:t>
      </w:r>
      <w:r>
        <w:rPr>
          <w:rFonts w:ascii="Arial" w:cs="Arial" w:eastAsia="Arial" w:hAnsi="Arial"/>
          <w:sz w:val="20"/>
          <w:szCs w:val="20"/>
          <w:color w:val="auto"/>
        </w:rPr>
        <w:t>- In connection with the development of its Abbraccio Cucina Italiana (“Abbraccio”) concept in 2015, the</w:t>
      </w:r>
      <w:r>
        <w:rPr>
          <w:rFonts w:ascii="Arial" w:cs="Arial" w:eastAsia="Arial" w:hAnsi="Arial"/>
          <w:sz w:val="20"/>
          <w:szCs w:val="20"/>
          <w:i w:val="1"/>
          <w:iCs w:val="1"/>
          <w:color w:val="auto"/>
        </w:rPr>
        <w:t xml:space="preserve"> </w:t>
      </w:r>
      <w:r>
        <w:rPr>
          <w:rFonts w:ascii="Arial" w:cs="Arial" w:eastAsia="Arial" w:hAnsi="Arial"/>
          <w:sz w:val="20"/>
          <w:szCs w:val="20"/>
          <w:color w:val="auto"/>
        </w:rPr>
        <w:t>Company entered into an investment agreement (the “Abbraccio Investment Agreement”) to sell preferred shares of its Abbraccio subsidiary (“Abbraccio Shares”) to certain investors. The Abbraccio Investment Agreement included a call option for the purchase of the Abbraccio Shares (the “Abbraccio Call Option”).</w:t>
      </w:r>
    </w:p>
    <w:p>
      <w:pPr>
        <w:spacing w:after="0" w:line="21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During the thirteen weeks ended March 29, 2020, the Company exercised the Abbraccio Call Option to purchase all outstanding Abbraccio Shares for $1.0 million and recorded a reduction to Accumulated deficit and an increase in Net loss applicable to common stockholders of $3.5 million for the consideration paid in excess of the Abbraccio Shares’ carrying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34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 xml:space="preserve">Accumulated Other Comprehensive Loss (“AOCL”) - </w:t>
      </w:r>
      <w:r>
        <w:rPr>
          <w:rFonts w:ascii="Arial" w:cs="Arial" w:eastAsia="Arial" w:hAnsi="Arial"/>
          <w:sz w:val="20"/>
          <w:szCs w:val="20"/>
          <w:color w:val="auto"/>
        </w:rPr>
        <w:t>Following are the components of</w:t>
      </w:r>
      <w:r>
        <w:rPr>
          <w:rFonts w:ascii="Arial" w:cs="Arial" w:eastAsia="Arial" w:hAnsi="Arial"/>
          <w:sz w:val="20"/>
          <w:szCs w:val="20"/>
          <w:i w:val="1"/>
          <w:iCs w:val="1"/>
          <w:color w:val="auto"/>
        </w:rPr>
        <w:t xml:space="preserve"> AOCL </w:t>
      </w:r>
      <w:r>
        <w:rPr>
          <w:rFonts w:ascii="Arial" w:cs="Arial" w:eastAsia="Arial" w:hAnsi="Arial"/>
          <w:sz w:val="20"/>
          <w:szCs w:val="20"/>
          <w:color w:val="auto"/>
        </w:rPr>
        <w:t>as of the periods indicated: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94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80" w:type="dxa"/>
            <w:vAlign w:val="bottom"/>
          </w:tcPr>
          <w:p>
            <w:pPr>
              <w:spacing w:after="0"/>
              <w:rPr>
                <w:sz w:val="17"/>
                <w:szCs w:val="17"/>
                <w:color w:val="auto"/>
              </w:rPr>
            </w:pPr>
          </w:p>
        </w:tc>
        <w:tc>
          <w:tcPr>
            <w:tcW w:w="1940" w:type="dxa"/>
            <w:vAlign w:val="bottom"/>
            <w:gridSpan w:val="2"/>
          </w:tcPr>
          <w:p>
            <w:pPr>
              <w:ind w:left="260"/>
              <w:spacing w:after="0"/>
              <w:rPr>
                <w:sz w:val="20"/>
                <w:szCs w:val="20"/>
                <w:color w:val="auto"/>
              </w:rPr>
            </w:pPr>
            <w:r>
              <w:rPr>
                <w:rFonts w:ascii="Arial" w:cs="Arial" w:eastAsia="Arial" w:hAnsi="Arial"/>
                <w:sz w:val="14"/>
                <w:szCs w:val="14"/>
                <w:b w:val="1"/>
                <w:bCs w:val="1"/>
                <w:color w:val="auto"/>
              </w:rPr>
              <w:t>JUNE 28, 2020</w:t>
            </w:r>
          </w:p>
        </w:tc>
        <w:tc>
          <w:tcPr>
            <w:tcW w:w="200" w:type="dxa"/>
            <w:vAlign w:val="bottom"/>
          </w:tcPr>
          <w:p>
            <w:pPr>
              <w:spacing w:after="0"/>
              <w:rPr>
                <w:sz w:val="17"/>
                <w:szCs w:val="17"/>
                <w:color w:val="auto"/>
              </w:rPr>
            </w:pPr>
          </w:p>
        </w:tc>
        <w:tc>
          <w:tcPr>
            <w:tcW w:w="1780" w:type="dxa"/>
            <w:vAlign w:val="bottom"/>
          </w:tcPr>
          <w:p>
            <w:pPr>
              <w:jc w:val="right"/>
              <w:ind w:right="221"/>
              <w:spacing w:after="0"/>
              <w:rPr>
                <w:sz w:val="20"/>
                <w:szCs w:val="20"/>
                <w:color w:val="auto"/>
              </w:rPr>
            </w:pPr>
            <w:r>
              <w:rPr>
                <w:rFonts w:ascii="Arial" w:cs="Arial" w:eastAsia="Arial" w:hAnsi="Arial"/>
                <w:sz w:val="14"/>
                <w:szCs w:val="14"/>
                <w:b w:val="1"/>
                <w:bCs w:val="1"/>
                <w:color w:val="auto"/>
              </w:rPr>
              <w:t>DECEMBER 29, 2019</w:t>
            </w:r>
          </w:p>
        </w:tc>
      </w:tr>
      <w:tr>
        <w:trPr>
          <w:trHeight w:val="237"/>
        </w:trPr>
        <w:tc>
          <w:tcPr>
            <w:tcW w:w="6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Foreign currency translation adjustment</w:t>
            </w:r>
          </w:p>
        </w:tc>
        <w:tc>
          <w:tcPr>
            <w:tcW w:w="380" w:type="dxa"/>
            <w:vAlign w:val="bottom"/>
            <w:tcBorders>
              <w:top w:val="single" w:sz="8" w:color="auto"/>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84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(188,474)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8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(152,031)</w:t>
            </w:r>
          </w:p>
        </w:tc>
      </w:tr>
      <w:tr>
        <w:trPr>
          <w:trHeight w:val="270"/>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Unrealized loss on derivatives, net of tax</w:t>
            </w:r>
          </w:p>
        </w:tc>
        <w:tc>
          <w:tcPr>
            <w:tcW w:w="380" w:type="dxa"/>
            <w:vAlign w:val="bottom"/>
            <w:tcBorders>
              <w:bottom w:val="single" w:sz="8" w:color="auto"/>
            </w:tcBorders>
          </w:tcPr>
          <w:p>
            <w:pPr>
              <w:spacing w:after="0"/>
              <w:rPr>
                <w:sz w:val="23"/>
                <w:szCs w:val="23"/>
                <w:color w:val="auto"/>
              </w:rPr>
            </w:pPr>
          </w:p>
        </w:tc>
        <w:tc>
          <w:tcPr>
            <w:tcW w:w="18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(28,656)</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7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(17,745)</w:t>
            </w:r>
          </w:p>
        </w:tc>
      </w:tr>
      <w:tr>
        <w:trPr>
          <w:trHeight w:val="272"/>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Accumulated other comprehensive loss</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8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(217,130)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(169,776)</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37" w:lineRule="exact"/>
        <w:rPr>
          <w:sz w:val="20"/>
          <w:szCs w:val="20"/>
          <w:color w:val="auto"/>
        </w:rPr>
      </w:pPr>
    </w:p>
    <w:p>
      <w:pPr>
        <w:spacing w:after="0"/>
        <w:rPr>
          <w:sz w:val="20"/>
          <w:szCs w:val="20"/>
          <w:color w:val="auto"/>
        </w:rPr>
      </w:pPr>
      <w:r>
        <w:rPr>
          <w:rFonts w:ascii="Arial" w:cs="Arial" w:eastAsia="Arial" w:hAnsi="Arial"/>
          <w:sz w:val="20"/>
          <w:szCs w:val="20"/>
          <w:color w:val="auto"/>
        </w:rPr>
        <w:t>Following are the components of Other comprehensive loss attributable to Bloomin’ Brands for the periods indicated: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9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4"/>
          </w:tcPr>
          <w:p>
            <w:pPr>
              <w:jc w:val="right"/>
              <w:ind w:right="541"/>
              <w:spacing w:after="0"/>
              <w:rPr>
                <w:sz w:val="20"/>
                <w:szCs w:val="20"/>
                <w:color w:val="auto"/>
              </w:rPr>
            </w:pPr>
            <w:r>
              <w:rPr>
                <w:rFonts w:ascii="Arial" w:cs="Arial" w:eastAsia="Arial" w:hAnsi="Arial"/>
                <w:sz w:val="14"/>
                <w:szCs w:val="14"/>
                <w:b w:val="1"/>
                <w:bCs w:val="1"/>
                <w:color w:val="auto"/>
              </w:rPr>
              <w:t>THIRTEEN WEEKS ENDED</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4"/>
          </w:tcPr>
          <w:p>
            <w:pPr>
              <w:jc w:val="right"/>
              <w:ind w:right="461"/>
              <w:spacing w:after="0"/>
              <w:rPr>
                <w:sz w:val="20"/>
                <w:szCs w:val="20"/>
                <w:color w:val="auto"/>
              </w:rPr>
            </w:pPr>
            <w:r>
              <w:rPr>
                <w:rFonts w:ascii="Arial" w:cs="Arial" w:eastAsia="Arial" w:hAnsi="Arial"/>
                <w:sz w:val="14"/>
                <w:szCs w:val="14"/>
                <w:b w:val="1"/>
                <w:bCs w:val="1"/>
                <w:color w:val="auto"/>
              </w:rPr>
              <w:t>TWENTY-SIX WEEKS ENDED</w:t>
            </w:r>
          </w:p>
        </w:tc>
        <w:tc>
          <w:tcPr>
            <w:tcW w:w="0" w:type="dxa"/>
            <w:vAlign w:val="bottom"/>
          </w:tcPr>
          <w:p>
            <w:pPr>
              <w:spacing w:after="0"/>
              <w:rPr>
                <w:sz w:val="1"/>
                <w:szCs w:val="1"/>
                <w:color w:val="auto"/>
              </w:rPr>
            </w:pPr>
          </w:p>
        </w:tc>
      </w:tr>
      <w:tr>
        <w:trPr>
          <w:trHeight w:val="209"/>
        </w:trPr>
        <w:tc>
          <w:tcPr>
            <w:tcW w:w="492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Pr>
          <w:p>
            <w:pPr>
              <w:spacing w:after="0"/>
              <w:rPr>
                <w:sz w:val="18"/>
                <w:szCs w:val="18"/>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28, 2020</w:t>
            </w:r>
          </w:p>
        </w:tc>
        <w:tc>
          <w:tcPr>
            <w:tcW w:w="200" w:type="dxa"/>
            <w:vAlign w:val="bottom"/>
          </w:tcPr>
          <w:p>
            <w:pPr>
              <w:spacing w:after="0"/>
              <w:rPr>
                <w:sz w:val="18"/>
                <w:szCs w:val="18"/>
                <w:color w:val="auto"/>
              </w:rPr>
            </w:pPr>
          </w:p>
        </w:tc>
        <w:tc>
          <w:tcPr>
            <w:tcW w:w="142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2019</w:t>
            </w:r>
          </w:p>
        </w:tc>
        <w:tc>
          <w:tcPr>
            <w:tcW w:w="200" w:type="dxa"/>
            <w:vAlign w:val="bottom"/>
          </w:tcPr>
          <w:p>
            <w:pPr>
              <w:spacing w:after="0"/>
              <w:rPr>
                <w:sz w:val="18"/>
                <w:szCs w:val="18"/>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28, 2020</w:t>
            </w:r>
          </w:p>
        </w:tc>
        <w:tc>
          <w:tcPr>
            <w:tcW w:w="200" w:type="dxa"/>
            <w:vAlign w:val="bottom"/>
          </w:tcPr>
          <w:p>
            <w:pPr>
              <w:spacing w:after="0"/>
              <w:rPr>
                <w:sz w:val="18"/>
                <w:szCs w:val="18"/>
                <w:color w:val="auto"/>
              </w:rPr>
            </w:pPr>
          </w:p>
        </w:tc>
        <w:tc>
          <w:tcPr>
            <w:tcW w:w="1300" w:type="dxa"/>
            <w:vAlign w:val="bottom"/>
          </w:tcPr>
          <w:p>
            <w:pPr>
              <w:jc w:val="right"/>
              <w:ind w:right="221"/>
              <w:spacing w:after="0"/>
              <w:rPr>
                <w:sz w:val="20"/>
                <w:szCs w:val="20"/>
                <w:color w:val="auto"/>
              </w:rPr>
            </w:pPr>
            <w:r>
              <w:rPr>
                <w:rFonts w:ascii="Arial" w:cs="Arial" w:eastAsia="Arial" w:hAnsi="Arial"/>
                <w:sz w:val="14"/>
                <w:szCs w:val="14"/>
                <w:b w:val="1"/>
                <w:bCs w:val="1"/>
                <w:color w:val="auto"/>
              </w:rPr>
              <w:t>JUNE 30, 2019</w:t>
            </w:r>
          </w:p>
        </w:tc>
        <w:tc>
          <w:tcPr>
            <w:tcW w:w="0" w:type="dxa"/>
            <w:vAlign w:val="bottom"/>
          </w:tcPr>
          <w:p>
            <w:pPr>
              <w:spacing w:after="0"/>
              <w:rPr>
                <w:sz w:val="1"/>
                <w:szCs w:val="1"/>
                <w:color w:val="auto"/>
              </w:rPr>
            </w:pPr>
          </w:p>
        </w:tc>
      </w:tr>
      <w:tr>
        <w:trPr>
          <w:trHeight w:val="237"/>
        </w:trPr>
        <w:tc>
          <w:tcPr>
            <w:tcW w:w="4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Foreign currency translation adjustment</w:t>
            </w: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(29,146)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(8,584)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(36,443)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(2,737)</w:t>
            </w:r>
          </w:p>
        </w:tc>
        <w:tc>
          <w:tcPr>
            <w:tcW w:w="0" w:type="dxa"/>
            <w:vAlign w:val="bottom"/>
          </w:tcPr>
          <w:p>
            <w:pPr>
              <w:spacing w:after="0"/>
              <w:rPr>
                <w:sz w:val="1"/>
                <w:szCs w:val="1"/>
                <w:color w:val="auto"/>
              </w:rPr>
            </w:pPr>
          </w:p>
        </w:tc>
      </w:tr>
      <w:tr>
        <w:trPr>
          <w:trHeight w:val="257"/>
        </w:trPr>
        <w:tc>
          <w:tcPr>
            <w:tcW w:w="4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Unrealized loss on derivatives, net of tax (1)</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(1,556)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(7,239)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(14,892)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(11,620)</w:t>
            </w:r>
          </w:p>
        </w:tc>
        <w:tc>
          <w:tcPr>
            <w:tcW w:w="0" w:type="dxa"/>
            <w:vAlign w:val="bottom"/>
          </w:tcPr>
          <w:p>
            <w:pPr>
              <w:spacing w:after="0"/>
              <w:rPr>
                <w:sz w:val="1"/>
                <w:szCs w:val="1"/>
                <w:color w:val="auto"/>
              </w:rPr>
            </w:pPr>
          </w:p>
        </w:tc>
      </w:tr>
      <w:tr>
        <w:trPr>
          <w:trHeight w:val="220"/>
        </w:trPr>
        <w:tc>
          <w:tcPr>
            <w:tcW w:w="4920" w:type="dxa"/>
            <w:vAlign w:val="bottom"/>
          </w:tcPr>
          <w:p>
            <w:pPr>
              <w:ind w:left="20"/>
              <w:spacing w:after="0"/>
              <w:rPr>
                <w:sz w:val="20"/>
                <w:szCs w:val="20"/>
                <w:color w:val="auto"/>
              </w:rPr>
            </w:pPr>
            <w:r>
              <w:rPr>
                <w:rFonts w:ascii="Arial" w:cs="Arial" w:eastAsia="Arial" w:hAnsi="Arial"/>
                <w:sz w:val="16"/>
                <w:szCs w:val="16"/>
                <w:color w:val="auto"/>
                <w:w w:val="96"/>
              </w:rPr>
              <w:t>Reclassification of adjustments for loss (gain) on derivatives included in</w:t>
            </w:r>
          </w:p>
        </w:tc>
        <w:tc>
          <w:tcPr>
            <w:tcW w:w="200" w:type="dxa"/>
            <w:vAlign w:val="bottom"/>
          </w:tcPr>
          <w:p>
            <w:pPr>
              <w:spacing w:after="0"/>
              <w:rPr>
                <w:sz w:val="19"/>
                <w:szCs w:val="19"/>
                <w:color w:val="auto"/>
              </w:rPr>
            </w:pPr>
          </w:p>
        </w:tc>
        <w:tc>
          <w:tcPr>
            <w:tcW w:w="1300" w:type="dxa"/>
            <w:vAlign w:val="bottom"/>
            <w:vMerge w:val="restart"/>
          </w:tcPr>
          <w:p>
            <w:pPr>
              <w:jc w:val="right"/>
              <w:ind w:right="62"/>
              <w:spacing w:after="0"/>
              <w:rPr>
                <w:sz w:val="20"/>
                <w:szCs w:val="20"/>
                <w:color w:val="auto"/>
              </w:rPr>
            </w:pPr>
            <w:r>
              <w:rPr>
                <w:rFonts w:ascii="Arial" w:cs="Arial" w:eastAsia="Arial" w:hAnsi="Arial"/>
                <w:sz w:val="16"/>
                <w:szCs w:val="16"/>
                <w:color w:val="auto"/>
              </w:rPr>
              <w:t>2,585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vMerge w:val="restart"/>
          </w:tcPr>
          <w:p>
            <w:pPr>
              <w:jc w:val="right"/>
              <w:ind w:right="61"/>
              <w:spacing w:after="0"/>
              <w:rPr>
                <w:sz w:val="20"/>
                <w:szCs w:val="20"/>
                <w:color w:val="auto"/>
              </w:rPr>
            </w:pPr>
            <w:r>
              <w:rPr>
                <w:rFonts w:ascii="Arial" w:cs="Arial" w:eastAsia="Arial" w:hAnsi="Arial"/>
                <w:sz w:val="16"/>
                <w:szCs w:val="16"/>
                <w:color w:val="auto"/>
              </w:rPr>
              <w:t>130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vMerge w:val="restart"/>
          </w:tcPr>
          <w:p>
            <w:pPr>
              <w:jc w:val="right"/>
              <w:ind w:right="82"/>
              <w:spacing w:after="0"/>
              <w:rPr>
                <w:sz w:val="20"/>
                <w:szCs w:val="20"/>
                <w:color w:val="auto"/>
              </w:rPr>
            </w:pPr>
            <w:r>
              <w:rPr>
                <w:rFonts w:ascii="Arial" w:cs="Arial" w:eastAsia="Arial" w:hAnsi="Arial"/>
                <w:sz w:val="16"/>
                <w:szCs w:val="16"/>
                <w:color w:val="auto"/>
              </w:rPr>
              <w:t>3,981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vMerge w:val="restart"/>
          </w:tcPr>
          <w:p>
            <w:pPr>
              <w:jc w:val="right"/>
              <w:ind w:right="21"/>
              <w:spacing w:after="0"/>
              <w:rPr>
                <w:sz w:val="20"/>
                <w:szCs w:val="20"/>
                <w:color w:val="auto"/>
              </w:rPr>
            </w:pPr>
            <w:r>
              <w:rPr>
                <w:rFonts w:ascii="Arial" w:cs="Arial" w:eastAsia="Arial" w:hAnsi="Arial"/>
                <w:sz w:val="16"/>
                <w:szCs w:val="16"/>
                <w:color w:val="auto"/>
              </w:rPr>
              <w:t>(234)</w:t>
            </w:r>
          </w:p>
        </w:tc>
        <w:tc>
          <w:tcPr>
            <w:tcW w:w="0" w:type="dxa"/>
            <w:vAlign w:val="bottom"/>
          </w:tcPr>
          <w:p>
            <w:pPr>
              <w:spacing w:after="0"/>
              <w:rPr>
                <w:sz w:val="1"/>
                <w:szCs w:val="1"/>
                <w:color w:val="auto"/>
              </w:rPr>
            </w:pPr>
          </w:p>
        </w:tc>
      </w:tr>
      <w:tr>
        <w:trPr>
          <w:trHeight w:val="239"/>
        </w:trPr>
        <w:tc>
          <w:tcPr>
            <w:tcW w:w="49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(loss) income, net of tax (2)</w:t>
            </w: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unrealized gain (loss) on derivatives, net of tax</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1,029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(7,109)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(10,911)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(11,854)</w:t>
            </w:r>
          </w:p>
        </w:tc>
        <w:tc>
          <w:tcPr>
            <w:tcW w:w="0" w:type="dxa"/>
            <w:vAlign w:val="bottom"/>
          </w:tcPr>
          <w:p>
            <w:pPr>
              <w:spacing w:after="0"/>
              <w:rPr>
                <w:sz w:val="1"/>
                <w:szCs w:val="1"/>
                <w:color w:val="auto"/>
              </w:rPr>
            </w:pPr>
          </w:p>
        </w:tc>
      </w:tr>
      <w:tr>
        <w:trPr>
          <w:trHeight w:val="251"/>
        </w:trPr>
        <w:tc>
          <w:tcPr>
            <w:tcW w:w="4920" w:type="dxa"/>
            <w:vAlign w:val="bottom"/>
          </w:tcPr>
          <w:p>
            <w:pPr>
              <w:ind w:left="20"/>
              <w:spacing w:after="0"/>
              <w:rPr>
                <w:sz w:val="20"/>
                <w:szCs w:val="20"/>
                <w:color w:val="auto"/>
              </w:rPr>
            </w:pPr>
            <w:r>
              <w:rPr>
                <w:rFonts w:ascii="Arial" w:cs="Arial" w:eastAsia="Arial" w:hAnsi="Arial"/>
                <w:sz w:val="16"/>
                <w:szCs w:val="16"/>
                <w:color w:val="auto"/>
              </w:rPr>
              <w:t>Other comprehensive loss attributable to Bloomin’ Brands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(28,117)</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(15,693)</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(47,354)</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(14,591)</w:t>
            </w:r>
          </w:p>
        </w:tc>
        <w:tc>
          <w:tcPr>
            <w:tcW w:w="0" w:type="dxa"/>
            <w:vAlign w:val="bottom"/>
          </w:tcPr>
          <w:p>
            <w:pPr>
              <w:spacing w:after="0"/>
              <w:rPr>
                <w:sz w:val="1"/>
                <w:szCs w:val="1"/>
                <w:color w:val="auto"/>
              </w:rPr>
            </w:pPr>
          </w:p>
        </w:tc>
      </w:tr>
      <w:tr>
        <w:trPr>
          <w:trHeight w:val="27"/>
        </w:trPr>
        <w:tc>
          <w:tcPr>
            <w:tcW w:w="4920" w:type="dxa"/>
            <w:vAlign w:val="bottom"/>
            <w:vMerge w:val="restart"/>
          </w:tcPr>
          <w:p>
            <w:pPr>
              <w:spacing w:after="0"/>
              <w:rPr>
                <w:sz w:val="20"/>
                <w:szCs w:val="20"/>
                <w:color w:val="auto"/>
              </w:rPr>
            </w:pPr>
            <w:r>
              <w:rPr>
                <w:rFonts w:ascii="Arial" w:cs="Arial" w:eastAsia="Arial" w:hAnsi="Arial"/>
                <w:sz w:val="16"/>
                <w:szCs w:val="16"/>
                <w:color w:val="auto"/>
              </w:rPr>
              <w:t>________________</w:t>
            </w: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4920" w:type="dxa"/>
            <w:vAlign w:val="bottom"/>
            <w:vMerge w:val="continue"/>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ind w:left="660" w:hanging="652"/>
        <w:spacing w:after="0" w:line="246"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Unrealized loss on derivatives is net of tax of $0.5 million and $2.5 million for the thirteen weeks ended June 28, 2020 and June 30, 2019 and $5.2 million and $4.0 million for the twenty-six weeks ended June 28, 2020 and June 30, 2019, respectively.</w:t>
      </w:r>
    </w:p>
    <w:p>
      <w:pPr>
        <w:ind w:left="660" w:hanging="652"/>
        <w:spacing w:after="0" w:line="257"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 xml:space="preserve">Reclassifications of adjustments for loss (gain) on derivatives are net of tax. See Note 15 - </w:t>
      </w:r>
      <w:r>
        <w:rPr>
          <w:rFonts w:ascii="Arial" w:cs="Arial" w:eastAsia="Arial" w:hAnsi="Arial"/>
          <w:sz w:val="16"/>
          <w:szCs w:val="16"/>
          <w:i w:val="1"/>
          <w:iCs w:val="1"/>
          <w:color w:val="auto"/>
        </w:rPr>
        <w:t>Derivative Instruments and Hedging Activities</w:t>
      </w:r>
      <w:r>
        <w:rPr>
          <w:rFonts w:ascii="Arial" w:cs="Arial" w:eastAsia="Arial" w:hAnsi="Arial"/>
          <w:sz w:val="16"/>
          <w:szCs w:val="16"/>
          <w:color w:val="auto"/>
        </w:rPr>
        <w:t xml:space="preserve"> for the tax impact of reclassifications.</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color w:val="auto"/>
        </w:rPr>
        <w:t>15. Derivative Instruments and Hedging Activities</w:t>
      </w:r>
    </w:p>
    <w:p>
      <w:pPr>
        <w:spacing w:after="0" w:line="243" w:lineRule="exact"/>
        <w:rPr>
          <w:sz w:val="20"/>
          <w:szCs w:val="20"/>
          <w:color w:val="auto"/>
        </w:rPr>
      </w:pPr>
    </w:p>
    <w:p>
      <w:pPr>
        <w:jc w:val="both"/>
        <w:spacing w:after="0" w:line="244" w:lineRule="auto"/>
        <w:rPr>
          <w:sz w:val="20"/>
          <w:szCs w:val="20"/>
          <w:color w:val="auto"/>
        </w:rPr>
      </w:pPr>
      <w:r>
        <w:rPr>
          <w:rFonts w:ascii="Arial" w:cs="Arial" w:eastAsia="Arial" w:hAnsi="Arial"/>
          <w:sz w:val="20"/>
          <w:szCs w:val="20"/>
          <w:i w:val="1"/>
          <w:iCs w:val="1"/>
          <w:color w:val="auto"/>
        </w:rPr>
        <w:t xml:space="preserve">Cash Flow Hedges of Interest Rate Risk - </w:t>
      </w:r>
      <w:r>
        <w:rPr>
          <w:rFonts w:ascii="Arial" w:cs="Arial" w:eastAsia="Arial" w:hAnsi="Arial"/>
          <w:sz w:val="20"/>
          <w:szCs w:val="20"/>
          <w:color w:val="252525"/>
        </w:rPr>
        <w:t>On October 24, 2018 and October 25, 2018, the Company entered into variable-to-fixed interest</w:t>
      </w:r>
      <w:r>
        <w:rPr>
          <w:rFonts w:ascii="Arial" w:cs="Arial" w:eastAsia="Arial" w:hAnsi="Arial"/>
          <w:sz w:val="20"/>
          <w:szCs w:val="20"/>
          <w:i w:val="1"/>
          <w:iCs w:val="1"/>
          <w:color w:val="auto"/>
        </w:rPr>
        <w:t xml:space="preserve"> </w:t>
      </w:r>
      <w:r>
        <w:rPr>
          <w:rFonts w:ascii="Arial" w:cs="Arial" w:eastAsia="Arial" w:hAnsi="Arial"/>
          <w:sz w:val="20"/>
          <w:szCs w:val="20"/>
          <w:color w:val="252525"/>
        </w:rPr>
        <w:t xml:space="preserve">rate swap agreements with 12 counterparties to hedge a portion of the cash flows of the Company’s variable rate debt. The swap agreements have an aggregate notional amount of $550.0 million and mature on November 30, 2022. Under the terms of the swap agreements, the Company pays a weighted-average fixed rate of 3.04% on the notional amount and receives payments from the counterparty based on the </w:t>
      </w:r>
      <w:r>
        <w:rPr>
          <w:rFonts w:ascii="Arial" w:cs="Arial" w:eastAsia="Arial" w:hAnsi="Arial"/>
          <w:sz w:val="20"/>
          <w:szCs w:val="20"/>
          <w:color w:val="000000"/>
        </w:rPr>
        <w:t xml:space="preserve">one-month LIBOR </w:t>
      </w:r>
      <w:r>
        <w:rPr>
          <w:rFonts w:ascii="Arial" w:cs="Arial" w:eastAsia="Arial" w:hAnsi="Arial"/>
          <w:sz w:val="20"/>
          <w:szCs w:val="20"/>
          <w:color w:val="252525"/>
        </w:rPr>
        <w:t>rate.</w:t>
      </w:r>
    </w:p>
    <w:p>
      <w:pPr>
        <w:spacing w:after="0" w:line="22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252525"/>
        </w:rPr>
        <w:t xml:space="preserve">The Company’s swap agreements have been designated and qualify as cash flow hedges, are recognized on its Consolidated Balance Sheets at fair value and are classified based on the instruments’ maturity dates. The Company estimates $16.0 million will be reclassified to interest expense over the next 12 fiscal months. The following table presents the fair value and classification of the Company’s swap agreements, as of </w:t>
      </w:r>
      <w:r>
        <w:rPr>
          <w:rFonts w:ascii="Arial" w:cs="Arial" w:eastAsia="Arial" w:hAnsi="Arial"/>
          <w:sz w:val="20"/>
          <w:szCs w:val="20"/>
          <w:color w:val="000000"/>
        </w:rPr>
        <w:t>the periods indicated</w:t>
      </w:r>
      <w:r>
        <w:rPr>
          <w:rFonts w:ascii="Arial" w:cs="Arial" w:eastAsia="Arial" w:hAnsi="Arial"/>
          <w:sz w:val="20"/>
          <w:szCs w:val="20"/>
          <w:color w:val="252525"/>
        </w:rPr>
        <w:t>:</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40" w:type="dxa"/>
            <w:vAlign w:val="bottom"/>
          </w:tcPr>
          <w:p>
            <w:pPr>
              <w:spacing w:after="0"/>
              <w:rPr>
                <w:sz w:val="14"/>
                <w:szCs w:val="14"/>
                <w:color w:val="auto"/>
              </w:rPr>
            </w:pPr>
          </w:p>
        </w:tc>
        <w:tc>
          <w:tcPr>
            <w:tcW w:w="15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JUNE 28, 2020</w:t>
            </w:r>
          </w:p>
        </w:tc>
        <w:tc>
          <w:tcPr>
            <w:tcW w:w="160" w:type="dxa"/>
            <w:vAlign w:val="bottom"/>
          </w:tcPr>
          <w:p>
            <w:pPr>
              <w:spacing w:after="0"/>
              <w:rPr>
                <w:sz w:val="14"/>
                <w:szCs w:val="14"/>
                <w:color w:val="auto"/>
              </w:rPr>
            </w:pPr>
          </w:p>
        </w:tc>
        <w:tc>
          <w:tcPr>
            <w:tcW w:w="162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rPr>
              <w:t>DECEMBER 29, 2019</w:t>
            </w:r>
          </w:p>
        </w:tc>
        <w:tc>
          <w:tcPr>
            <w:tcW w:w="100" w:type="dxa"/>
            <w:vAlign w:val="bottom"/>
          </w:tcPr>
          <w:p>
            <w:pPr>
              <w:spacing w:after="0"/>
              <w:rPr>
                <w:sz w:val="14"/>
                <w:szCs w:val="14"/>
                <w:color w:val="auto"/>
              </w:rPr>
            </w:pPr>
          </w:p>
        </w:tc>
        <w:tc>
          <w:tcPr>
            <w:tcW w:w="3020" w:type="dxa"/>
            <w:vAlign w:val="bottom"/>
          </w:tcPr>
          <w:p>
            <w:pPr>
              <w:jc w:val="center"/>
              <w:spacing w:after="0"/>
              <w:rPr>
                <w:sz w:val="20"/>
                <w:szCs w:val="20"/>
                <w:color w:val="auto"/>
              </w:rPr>
            </w:pPr>
            <w:r>
              <w:rPr>
                <w:rFonts w:ascii="Arial" w:cs="Arial" w:eastAsia="Arial" w:hAnsi="Arial"/>
                <w:sz w:val="14"/>
                <w:szCs w:val="14"/>
                <w:b w:val="1"/>
                <w:bCs w:val="1"/>
                <w:color w:val="auto"/>
              </w:rPr>
              <w:t>CONSOLIDATED BALANCE SHEET</w:t>
            </w:r>
          </w:p>
        </w:tc>
        <w:tc>
          <w:tcPr>
            <w:tcW w:w="0" w:type="dxa"/>
            <w:vAlign w:val="bottom"/>
          </w:tcPr>
          <w:p>
            <w:pPr>
              <w:spacing w:after="0"/>
              <w:rPr>
                <w:sz w:val="1"/>
                <w:szCs w:val="1"/>
                <w:color w:val="auto"/>
              </w:rPr>
            </w:pPr>
          </w:p>
        </w:tc>
      </w:tr>
      <w:tr>
        <w:trPr>
          <w:trHeight w:val="192"/>
        </w:trPr>
        <w:tc>
          <w:tcPr>
            <w:tcW w:w="45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20" w:type="dxa"/>
            <w:vAlign w:val="bottom"/>
          </w:tcPr>
          <w:p>
            <w:pPr>
              <w:jc w:val="center"/>
              <w:spacing w:after="0"/>
              <w:rPr>
                <w:sz w:val="20"/>
                <w:szCs w:val="20"/>
                <w:color w:val="auto"/>
              </w:rPr>
            </w:pPr>
            <w:r>
              <w:rPr>
                <w:rFonts w:ascii="Arial" w:cs="Arial" w:eastAsia="Arial" w:hAnsi="Arial"/>
                <w:sz w:val="14"/>
                <w:szCs w:val="14"/>
                <w:b w:val="1"/>
                <w:bCs w:val="1"/>
                <w:color w:val="auto"/>
              </w:rPr>
              <w:t>CLASSIFICATION</w:t>
            </w:r>
          </w:p>
        </w:tc>
        <w:tc>
          <w:tcPr>
            <w:tcW w:w="0" w:type="dxa"/>
            <w:vAlign w:val="bottom"/>
          </w:tcPr>
          <w:p>
            <w:pPr>
              <w:spacing w:after="0"/>
              <w:rPr>
                <w:sz w:val="1"/>
                <w:szCs w:val="1"/>
                <w:color w:val="auto"/>
              </w:rPr>
            </w:pPr>
          </w:p>
        </w:tc>
      </w:tr>
      <w:tr>
        <w:trPr>
          <w:trHeight w:val="236"/>
        </w:trPr>
        <w:tc>
          <w:tcPr>
            <w:tcW w:w="4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rate swaps - liability</w:t>
            </w:r>
          </w:p>
        </w:tc>
        <w:tc>
          <w:tcPr>
            <w:tcW w:w="24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14,555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7,174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Accrued and other current liabilities</w:t>
            </w:r>
          </w:p>
        </w:tc>
        <w:tc>
          <w:tcPr>
            <w:tcW w:w="0" w:type="dxa"/>
            <w:vAlign w:val="bottom"/>
          </w:tcPr>
          <w:p>
            <w:pPr>
              <w:spacing w:after="0"/>
              <w:rPr>
                <w:sz w:val="1"/>
                <w:szCs w:val="1"/>
                <w:color w:val="auto"/>
              </w:rPr>
            </w:pPr>
          </w:p>
        </w:tc>
      </w:tr>
      <w:tr>
        <w:trPr>
          <w:trHeight w:val="270"/>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rate swaps - liability</w:t>
            </w:r>
          </w:p>
        </w:tc>
        <w:tc>
          <w:tcPr>
            <w:tcW w:w="24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24,152</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16,835</w:t>
            </w:r>
          </w:p>
        </w:tc>
        <w:tc>
          <w:tcPr>
            <w:tcW w:w="100" w:type="dxa"/>
            <w:vAlign w:val="bottom"/>
            <w:tcBorders>
              <w:bottom w:val="single" w:sz="8" w:color="CCEEFF"/>
            </w:tcBorders>
          </w:tcPr>
          <w:p>
            <w:pPr>
              <w:spacing w:after="0"/>
              <w:rPr>
                <w:sz w:val="23"/>
                <w:szCs w:val="23"/>
                <w:color w:val="auto"/>
              </w:rPr>
            </w:pPr>
          </w:p>
        </w:tc>
        <w:tc>
          <w:tcPr>
            <w:tcW w:w="3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long-term liabilities, net</w:t>
            </w:r>
          </w:p>
        </w:tc>
        <w:tc>
          <w:tcPr>
            <w:tcW w:w="0" w:type="dxa"/>
            <w:vAlign w:val="bottom"/>
          </w:tcPr>
          <w:p>
            <w:pPr>
              <w:spacing w:after="0"/>
              <w:rPr>
                <w:sz w:val="1"/>
                <w:szCs w:val="1"/>
                <w:color w:val="auto"/>
              </w:rPr>
            </w:pPr>
          </w:p>
        </w:tc>
      </w:tr>
      <w:tr>
        <w:trPr>
          <w:trHeight w:val="272"/>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fair value of derivative instruments - liabilities (1)</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38,707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24,009</w:t>
            </w:r>
          </w:p>
        </w:tc>
        <w:tc>
          <w:tcPr>
            <w:tcW w:w="100" w:type="dxa"/>
            <w:vAlign w:val="bottom"/>
            <w:tcBorders>
              <w:bottom w:val="single" w:sz="8" w:color="CCEEFF"/>
            </w:tcBorders>
            <w:shd w:val="clear" w:color="auto" w:fill="CCEEFF"/>
          </w:tcPr>
          <w:p>
            <w:pPr>
              <w:spacing w:after="0"/>
              <w:rPr>
                <w:sz w:val="23"/>
                <w:szCs w:val="23"/>
                <w:color w:val="auto"/>
              </w:rPr>
            </w:pPr>
          </w:p>
        </w:tc>
        <w:tc>
          <w:tcPr>
            <w:tcW w:w="30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Accrued interest</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1,356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632</w:t>
            </w:r>
          </w:p>
        </w:tc>
        <w:tc>
          <w:tcPr>
            <w:tcW w:w="100" w:type="dxa"/>
            <w:vAlign w:val="bottom"/>
            <w:tcBorders>
              <w:bottom w:val="single" w:sz="8" w:color="CCEEFF"/>
            </w:tcBorders>
            <w:shd w:val="clear" w:color="auto" w:fill="CCEEFF"/>
          </w:tcPr>
          <w:p>
            <w:pPr>
              <w:spacing w:after="0"/>
              <w:rPr>
                <w:sz w:val="23"/>
                <w:szCs w:val="23"/>
                <w:color w:val="auto"/>
              </w:rPr>
            </w:pPr>
          </w:p>
        </w:tc>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Accrued and other current liabilities</w:t>
            </w:r>
          </w:p>
        </w:tc>
        <w:tc>
          <w:tcPr>
            <w:tcW w:w="0" w:type="dxa"/>
            <w:vAlign w:val="bottom"/>
          </w:tcPr>
          <w:p>
            <w:pPr>
              <w:spacing w:after="0"/>
              <w:rPr>
                <w:sz w:val="1"/>
                <w:szCs w:val="1"/>
                <w:color w:val="auto"/>
              </w:rPr>
            </w:pPr>
          </w:p>
        </w:tc>
      </w:tr>
      <w:tr>
        <w:trPr>
          <w:trHeight w:val="268"/>
        </w:trPr>
        <w:tc>
          <w:tcPr>
            <w:tcW w:w="4560" w:type="dxa"/>
            <w:vAlign w:val="bottom"/>
          </w:tcPr>
          <w:p>
            <w:pPr>
              <w:spacing w:after="0"/>
              <w:rPr>
                <w:sz w:val="20"/>
                <w:szCs w:val="20"/>
                <w:color w:val="auto"/>
              </w:rPr>
            </w:pPr>
            <w:r>
              <w:rPr>
                <w:rFonts w:ascii="Arial" w:cs="Arial" w:eastAsia="Arial" w:hAnsi="Arial"/>
                <w:sz w:val="16"/>
                <w:szCs w:val="16"/>
                <w:color w:val="auto"/>
              </w:rPr>
              <w:t>____________________</w:t>
            </w:r>
          </w:p>
        </w:tc>
        <w:tc>
          <w:tcPr>
            <w:tcW w:w="2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252525"/>
        </w:rPr>
        <w:t xml:space="preserve">See Note </w:t>
      </w:r>
      <w:r>
        <w:rPr>
          <w:rFonts w:ascii="Arial" w:cs="Arial" w:eastAsia="Arial" w:hAnsi="Arial"/>
          <w:sz w:val="16"/>
          <w:szCs w:val="16"/>
          <w:color w:val="000000"/>
        </w:rPr>
        <w:t>17</w:t>
      </w:r>
      <w:r>
        <w:rPr>
          <w:rFonts w:ascii="Arial" w:cs="Arial" w:eastAsia="Arial" w:hAnsi="Arial"/>
          <w:sz w:val="16"/>
          <w:szCs w:val="16"/>
          <w:color w:val="252525"/>
        </w:rPr>
        <w:t xml:space="preserve"> - </w:t>
      </w:r>
      <w:r>
        <w:rPr>
          <w:rFonts w:ascii="Arial" w:cs="Arial" w:eastAsia="Arial" w:hAnsi="Arial"/>
          <w:sz w:val="16"/>
          <w:szCs w:val="16"/>
          <w:i w:val="1"/>
          <w:iCs w:val="1"/>
          <w:color w:val="000000"/>
        </w:rPr>
        <w:t>Fair Value Measurements</w:t>
      </w:r>
      <w:r>
        <w:rPr>
          <w:rFonts w:ascii="Arial" w:cs="Arial" w:eastAsia="Arial" w:hAnsi="Arial"/>
          <w:sz w:val="16"/>
          <w:szCs w:val="16"/>
          <w:color w:val="252525"/>
        </w:rPr>
        <w:t xml:space="preserve"> for fair value discussion of the interest rate swaps.</w:t>
      </w:r>
    </w:p>
    <w:p>
      <w:pPr>
        <w:spacing w:after="0" w:line="227" w:lineRule="exact"/>
        <w:rPr>
          <w:sz w:val="20"/>
          <w:szCs w:val="20"/>
          <w:color w:val="auto"/>
        </w:rPr>
      </w:pPr>
    </w:p>
    <w:p>
      <w:pPr>
        <w:spacing w:after="0" w:line="260" w:lineRule="auto"/>
        <w:rPr>
          <w:sz w:val="20"/>
          <w:szCs w:val="20"/>
          <w:color w:val="auto"/>
        </w:rPr>
      </w:pPr>
      <w:r>
        <w:rPr>
          <w:rFonts w:ascii="Arial" w:cs="Arial" w:eastAsia="Arial" w:hAnsi="Arial"/>
          <w:sz w:val="20"/>
          <w:szCs w:val="20"/>
          <w:color w:val="252525"/>
        </w:rPr>
        <w:t xml:space="preserve">On </w:t>
      </w:r>
      <w:r>
        <w:rPr>
          <w:rFonts w:ascii="Arial" w:cs="Arial" w:eastAsia="Arial" w:hAnsi="Arial"/>
          <w:sz w:val="20"/>
          <w:szCs w:val="20"/>
          <w:color w:val="000000"/>
        </w:rPr>
        <w:t>May 4, 2020</w:t>
      </w:r>
      <w:r>
        <w:rPr>
          <w:rFonts w:ascii="Arial" w:cs="Arial" w:eastAsia="Arial" w:hAnsi="Arial"/>
          <w:sz w:val="20"/>
          <w:szCs w:val="20"/>
          <w:color w:val="252525"/>
        </w:rPr>
        <w:t>, concurrent with entering into the Amended Credit Agreement, the Company de-designated its interest rate swap hedge relationship and modified its hedge documentation to more closely align with certain terms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 w:name="page25"/>
    <w:bookmarkEnd w:id="2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348"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252525"/>
        </w:rPr>
        <w:t>of the Amended Credit Agreement. On May 6, 2020, the Company re-designated the cash flow hedge relationship for the original $550.0 million notional amount, resulting in no impact to the Company’s consolidated financial statements as a result of the hedge activity.</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color w:val="252525"/>
        </w:rPr>
        <w:t>The following table summarizes the effects of the swap agreements on Net (loss) income for the periods indicated:</w:t>
      </w:r>
    </w:p>
    <w:p>
      <w:pPr>
        <w:spacing w:after="0" w:line="142"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48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4"/>
          </w:tcPr>
          <w:p>
            <w:pPr>
              <w:jc w:val="right"/>
              <w:ind w:right="561"/>
              <w:spacing w:after="0"/>
              <w:rPr>
                <w:sz w:val="20"/>
                <w:szCs w:val="20"/>
                <w:color w:val="auto"/>
              </w:rPr>
            </w:pPr>
            <w:r>
              <w:rPr>
                <w:rFonts w:ascii="Arial" w:cs="Arial" w:eastAsia="Arial" w:hAnsi="Arial"/>
                <w:sz w:val="14"/>
                <w:szCs w:val="14"/>
                <w:b w:val="1"/>
                <w:bCs w:val="1"/>
                <w:color w:val="auto"/>
              </w:rPr>
              <w:t>THIRTEEN WEEKS ENDED</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TWENTY-SIX WEEKS ENDED</w:t>
            </w:r>
          </w:p>
        </w:tc>
        <w:tc>
          <w:tcPr>
            <w:tcW w:w="0" w:type="dxa"/>
            <w:vAlign w:val="bottom"/>
          </w:tcPr>
          <w:p>
            <w:pPr>
              <w:spacing w:after="0"/>
              <w:rPr>
                <w:sz w:val="1"/>
                <w:szCs w:val="1"/>
                <w:color w:val="auto"/>
              </w:rPr>
            </w:pPr>
          </w:p>
        </w:tc>
      </w:tr>
      <w:tr>
        <w:trPr>
          <w:trHeight w:val="210"/>
        </w:trPr>
        <w:tc>
          <w:tcPr>
            <w:tcW w:w="484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Pr>
          <w:p>
            <w:pPr>
              <w:spacing w:after="0"/>
              <w:rPr>
                <w:sz w:val="18"/>
                <w:szCs w:val="18"/>
                <w:color w:val="auto"/>
              </w:rPr>
            </w:pPr>
          </w:p>
        </w:tc>
        <w:tc>
          <w:tcPr>
            <w:tcW w:w="142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28, 2020</w:t>
            </w:r>
          </w:p>
        </w:tc>
        <w:tc>
          <w:tcPr>
            <w:tcW w:w="200" w:type="dxa"/>
            <w:vAlign w:val="bottom"/>
          </w:tcPr>
          <w:p>
            <w:pPr>
              <w:spacing w:after="0"/>
              <w:rPr>
                <w:sz w:val="18"/>
                <w:szCs w:val="18"/>
                <w:color w:val="auto"/>
              </w:rPr>
            </w:pPr>
          </w:p>
        </w:tc>
        <w:tc>
          <w:tcPr>
            <w:tcW w:w="142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2019</w:t>
            </w:r>
          </w:p>
        </w:tc>
        <w:tc>
          <w:tcPr>
            <w:tcW w:w="200" w:type="dxa"/>
            <w:vAlign w:val="bottom"/>
          </w:tcPr>
          <w:p>
            <w:pPr>
              <w:spacing w:after="0"/>
              <w:rPr>
                <w:sz w:val="18"/>
                <w:szCs w:val="18"/>
                <w:color w:val="auto"/>
              </w:rPr>
            </w:pPr>
          </w:p>
        </w:tc>
        <w:tc>
          <w:tcPr>
            <w:tcW w:w="142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28, 2020</w:t>
            </w:r>
          </w:p>
        </w:tc>
        <w:tc>
          <w:tcPr>
            <w:tcW w:w="200" w:type="dxa"/>
            <w:vAlign w:val="bottom"/>
          </w:tcPr>
          <w:p>
            <w:pPr>
              <w:spacing w:after="0"/>
              <w:rPr>
                <w:sz w:val="18"/>
                <w:szCs w:val="18"/>
                <w:color w:val="auto"/>
              </w:rPr>
            </w:pPr>
          </w:p>
        </w:tc>
        <w:tc>
          <w:tcPr>
            <w:tcW w:w="1300" w:type="dxa"/>
            <w:vAlign w:val="bottom"/>
          </w:tcPr>
          <w:p>
            <w:pPr>
              <w:ind w:left="100"/>
              <w:spacing w:after="0"/>
              <w:rPr>
                <w:sz w:val="20"/>
                <w:szCs w:val="20"/>
                <w:color w:val="auto"/>
              </w:rPr>
            </w:pPr>
            <w:r>
              <w:rPr>
                <w:rFonts w:ascii="Arial" w:cs="Arial" w:eastAsia="Arial" w:hAnsi="Arial"/>
                <w:sz w:val="14"/>
                <w:szCs w:val="14"/>
                <w:b w:val="1"/>
                <w:bCs w:val="1"/>
                <w:color w:val="auto"/>
              </w:rPr>
              <w:t>JUNE 30, 2019</w:t>
            </w:r>
          </w:p>
        </w:tc>
        <w:tc>
          <w:tcPr>
            <w:tcW w:w="0" w:type="dxa"/>
            <w:vAlign w:val="bottom"/>
          </w:tcPr>
          <w:p>
            <w:pPr>
              <w:spacing w:after="0"/>
              <w:rPr>
                <w:sz w:val="1"/>
                <w:szCs w:val="1"/>
                <w:color w:val="auto"/>
              </w:rPr>
            </w:pPr>
          </w:p>
        </w:tc>
      </w:tr>
      <w:tr>
        <w:trPr>
          <w:trHeight w:val="236"/>
        </w:trPr>
        <w:tc>
          <w:tcPr>
            <w:tcW w:w="4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3"/>
              </w:rPr>
              <w:t>Interest rate swap (expense) income recognized in Interest expense, net</w:t>
            </w: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(3,482)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(175)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CCEEFF"/>
            </w:tcBorders>
            <w:shd w:val="clear" w:color="auto" w:fill="CCEEFF"/>
          </w:tcPr>
          <w:p>
            <w:pPr>
              <w:jc w:val="center"/>
              <w:ind w:left="543"/>
              <w:spacing w:after="0"/>
              <w:rPr>
                <w:sz w:val="20"/>
                <w:szCs w:val="20"/>
                <w:color w:val="auto"/>
              </w:rPr>
            </w:pPr>
            <w:r>
              <w:rPr>
                <w:rFonts w:ascii="Arial" w:cs="Arial" w:eastAsia="Arial" w:hAnsi="Arial"/>
                <w:sz w:val="16"/>
                <w:szCs w:val="16"/>
                <w:color w:val="auto"/>
                <w:w w:val="94"/>
              </w:rPr>
              <w:t>(5,362)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316</w:t>
            </w:r>
          </w:p>
        </w:tc>
        <w:tc>
          <w:tcPr>
            <w:tcW w:w="0" w:type="dxa"/>
            <w:vAlign w:val="bottom"/>
          </w:tcPr>
          <w:p>
            <w:pPr>
              <w:spacing w:after="0"/>
              <w:rPr>
                <w:sz w:val="1"/>
                <w:szCs w:val="1"/>
                <w:color w:val="auto"/>
              </w:rPr>
            </w:pPr>
          </w:p>
        </w:tc>
      </w:tr>
      <w:tr>
        <w:trPr>
          <w:trHeight w:val="220"/>
        </w:trPr>
        <w:tc>
          <w:tcPr>
            <w:tcW w:w="4840" w:type="dxa"/>
            <w:vAlign w:val="bottom"/>
          </w:tcPr>
          <w:p>
            <w:pPr>
              <w:ind w:left="20"/>
              <w:spacing w:after="0"/>
              <w:rPr>
                <w:sz w:val="20"/>
                <w:szCs w:val="20"/>
                <w:color w:val="auto"/>
              </w:rPr>
            </w:pPr>
            <w:r>
              <w:rPr>
                <w:rFonts w:ascii="Arial" w:cs="Arial" w:eastAsia="Arial" w:hAnsi="Arial"/>
                <w:sz w:val="16"/>
                <w:szCs w:val="16"/>
                <w:color w:val="auto"/>
              </w:rPr>
              <w:t>Income tax benefit (expense) recognized in (Benefit) provision for</w:t>
            </w:r>
          </w:p>
        </w:tc>
        <w:tc>
          <w:tcPr>
            <w:tcW w:w="200" w:type="dxa"/>
            <w:vAlign w:val="bottom"/>
          </w:tcPr>
          <w:p>
            <w:pPr>
              <w:spacing w:after="0"/>
              <w:rPr>
                <w:sz w:val="19"/>
                <w:szCs w:val="19"/>
                <w:color w:val="auto"/>
              </w:rPr>
            </w:pPr>
          </w:p>
        </w:tc>
        <w:tc>
          <w:tcPr>
            <w:tcW w:w="1300" w:type="dxa"/>
            <w:vAlign w:val="bottom"/>
            <w:vMerge w:val="restart"/>
          </w:tcPr>
          <w:p>
            <w:pPr>
              <w:jc w:val="right"/>
              <w:ind w:right="63"/>
              <w:spacing w:after="0"/>
              <w:rPr>
                <w:sz w:val="20"/>
                <w:szCs w:val="20"/>
                <w:color w:val="auto"/>
              </w:rPr>
            </w:pPr>
            <w:r>
              <w:rPr>
                <w:rFonts w:ascii="Arial" w:cs="Arial" w:eastAsia="Arial" w:hAnsi="Arial"/>
                <w:sz w:val="16"/>
                <w:szCs w:val="16"/>
                <w:color w:val="auto"/>
              </w:rPr>
              <w:t>897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vMerge w:val="restart"/>
          </w:tcPr>
          <w:p>
            <w:pPr>
              <w:jc w:val="right"/>
              <w:ind w:right="61"/>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vMerge w:val="restart"/>
          </w:tcPr>
          <w:p>
            <w:pPr>
              <w:jc w:val="center"/>
              <w:ind w:left="583"/>
              <w:spacing w:after="0"/>
              <w:rPr>
                <w:sz w:val="20"/>
                <w:szCs w:val="20"/>
                <w:color w:val="auto"/>
              </w:rPr>
            </w:pPr>
            <w:r>
              <w:rPr>
                <w:rFonts w:ascii="Arial" w:cs="Arial" w:eastAsia="Arial" w:hAnsi="Arial"/>
                <w:sz w:val="16"/>
                <w:szCs w:val="16"/>
                <w:color w:val="auto"/>
                <w:w w:val="89"/>
              </w:rPr>
              <w:t>1,381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vMerge w:val="restart"/>
          </w:tcPr>
          <w:p>
            <w:pPr>
              <w:ind w:left="920"/>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39"/>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taxes</w:t>
            </w: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4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effects of the interest rate swaps on Net (loss) income</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(2,585)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(130)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center"/>
              <w:ind w:left="543"/>
              <w:spacing w:after="0"/>
              <w:rPr>
                <w:sz w:val="20"/>
                <w:szCs w:val="20"/>
                <w:color w:val="auto"/>
              </w:rPr>
            </w:pPr>
            <w:r>
              <w:rPr>
                <w:rFonts w:ascii="Arial" w:cs="Arial" w:eastAsia="Arial" w:hAnsi="Arial"/>
                <w:sz w:val="16"/>
                <w:szCs w:val="16"/>
                <w:color w:val="auto"/>
                <w:w w:val="94"/>
              </w:rPr>
              <w:t>(3,981)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6"/>
                <w:szCs w:val="16"/>
                <w:color w:val="auto"/>
              </w:rPr>
              <w:t>234</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7"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252525"/>
        </w:rPr>
        <w:t xml:space="preserve">By utilizing the interest rate swaps, the Company is exposed to credit-related losses in the event that the counterparty fails to perform under the terms of the derivative contract. To mitigate this risk, the Company enters into derivative contracts with major financial institutions based upon credit ratings and other factors. The Company continually assesses the creditworthiness of its counterparties. As of </w:t>
      </w:r>
      <w:r>
        <w:rPr>
          <w:rFonts w:ascii="Arial" w:cs="Arial" w:eastAsia="Arial" w:hAnsi="Arial"/>
          <w:sz w:val="19"/>
          <w:szCs w:val="19"/>
          <w:color w:val="000000"/>
        </w:rPr>
        <w:t>June 28, 2020</w:t>
      </w:r>
      <w:r>
        <w:rPr>
          <w:rFonts w:ascii="Arial" w:cs="Arial" w:eastAsia="Arial" w:hAnsi="Arial"/>
          <w:sz w:val="19"/>
          <w:szCs w:val="19"/>
          <w:color w:val="252525"/>
        </w:rPr>
        <w:t>, all counterparties to the interest rate swaps had performed in accordance with their contractual obligations.</w:t>
      </w:r>
    </w:p>
    <w:p>
      <w:pPr>
        <w:spacing w:after="0" w:line="20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252525"/>
        </w:rPr>
        <w:t>The Company has agreements with each of its derivative counterparties that contain a provision where the Company could be declared in default on its derivative obligations if the repayment of the underlying indebtedness is accelerated by the lender due to the Company’s default on indebtedness.</w:t>
      </w:r>
    </w:p>
    <w:p>
      <w:pPr>
        <w:spacing w:after="0" w:line="213"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252525"/>
        </w:rPr>
        <w:t xml:space="preserve">As of </w:t>
      </w:r>
      <w:r>
        <w:rPr>
          <w:rFonts w:ascii="Arial" w:cs="Arial" w:eastAsia="Arial" w:hAnsi="Arial"/>
          <w:sz w:val="19"/>
          <w:szCs w:val="19"/>
          <w:color w:val="000000"/>
        </w:rPr>
        <w:t>June 28, 2020</w:t>
      </w:r>
      <w:r>
        <w:rPr>
          <w:rFonts w:ascii="Arial" w:cs="Arial" w:eastAsia="Arial" w:hAnsi="Arial"/>
          <w:sz w:val="19"/>
          <w:szCs w:val="19"/>
          <w:color w:val="252525"/>
        </w:rPr>
        <w:t xml:space="preserve"> and </w:t>
      </w:r>
      <w:r>
        <w:rPr>
          <w:rFonts w:ascii="Arial" w:cs="Arial" w:eastAsia="Arial" w:hAnsi="Arial"/>
          <w:sz w:val="19"/>
          <w:szCs w:val="19"/>
          <w:color w:val="000000"/>
        </w:rPr>
        <w:t>December 29, 2019</w:t>
      </w:r>
      <w:r>
        <w:rPr>
          <w:rFonts w:ascii="Arial" w:cs="Arial" w:eastAsia="Arial" w:hAnsi="Arial"/>
          <w:sz w:val="19"/>
          <w:szCs w:val="19"/>
          <w:color w:val="252525"/>
        </w:rPr>
        <w:t xml:space="preserve">, the fair value of the Company’s interest rate swaps was in a net liability position, including accrued interest but excluding any adjustment for nonperformance risk, of $40.5 million and $24.8 million, respectively. As of </w:t>
      </w:r>
      <w:r>
        <w:rPr>
          <w:rFonts w:ascii="Arial" w:cs="Arial" w:eastAsia="Arial" w:hAnsi="Arial"/>
          <w:sz w:val="19"/>
          <w:szCs w:val="19"/>
          <w:color w:val="000000"/>
        </w:rPr>
        <w:t>June 28, 2020</w:t>
      </w:r>
      <w:r>
        <w:rPr>
          <w:rFonts w:ascii="Arial" w:cs="Arial" w:eastAsia="Arial" w:hAnsi="Arial"/>
          <w:sz w:val="19"/>
          <w:szCs w:val="19"/>
          <w:color w:val="252525"/>
        </w:rPr>
        <w:t xml:space="preserve"> and </w:t>
      </w:r>
      <w:r>
        <w:rPr>
          <w:rFonts w:ascii="Arial" w:cs="Arial" w:eastAsia="Arial" w:hAnsi="Arial"/>
          <w:sz w:val="19"/>
          <w:szCs w:val="19"/>
          <w:color w:val="000000"/>
        </w:rPr>
        <w:t>December 29, 2019</w:t>
      </w:r>
      <w:r>
        <w:rPr>
          <w:rFonts w:ascii="Arial" w:cs="Arial" w:eastAsia="Arial" w:hAnsi="Arial"/>
          <w:sz w:val="19"/>
          <w:szCs w:val="19"/>
          <w:color w:val="252525"/>
        </w:rPr>
        <w:t xml:space="preserve">, the Company has not posted any collateral related to these agreements. If the Company had breached any of these provisions as of </w:t>
      </w:r>
      <w:r>
        <w:rPr>
          <w:rFonts w:ascii="Arial" w:cs="Arial" w:eastAsia="Arial" w:hAnsi="Arial"/>
          <w:sz w:val="19"/>
          <w:szCs w:val="19"/>
          <w:color w:val="000000"/>
        </w:rPr>
        <w:t>June 28, 2020</w:t>
      </w:r>
      <w:r>
        <w:rPr>
          <w:rFonts w:ascii="Arial" w:cs="Arial" w:eastAsia="Arial" w:hAnsi="Arial"/>
          <w:sz w:val="19"/>
          <w:szCs w:val="19"/>
          <w:color w:val="252525"/>
        </w:rPr>
        <w:t xml:space="preserve"> and </w:t>
      </w:r>
      <w:r>
        <w:rPr>
          <w:rFonts w:ascii="Arial" w:cs="Arial" w:eastAsia="Arial" w:hAnsi="Arial"/>
          <w:sz w:val="19"/>
          <w:szCs w:val="19"/>
          <w:color w:val="000000"/>
        </w:rPr>
        <w:t>December 29, 2019</w:t>
      </w:r>
      <w:r>
        <w:rPr>
          <w:rFonts w:ascii="Arial" w:cs="Arial" w:eastAsia="Arial" w:hAnsi="Arial"/>
          <w:sz w:val="19"/>
          <w:szCs w:val="19"/>
          <w:color w:val="252525"/>
        </w:rPr>
        <w:t>, it could have been required to settle its obligations under the agreements at their termination value of $40.5 million and $24.8 million,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auto"/>
        </w:rPr>
        <w:t>16. Leases</w:t>
      </w:r>
    </w:p>
    <w:p>
      <w:pPr>
        <w:spacing w:after="0" w:line="243"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In April 2020, the FASB issued a question and answer document focused on the application of lease accounting guidance to lease concessions provided as a result of COVID-19 (the “Lease Modification Q&amp;A”). The Lease Modification Q&amp;A provides entities with the option to elect to account for lease concessions as though the enforceable rights and obligations existed in the original lease when the total cash flows resulting from the modified lease are substantially similar to the cash flows in the original lease. The Company elected this practical expedient for COVID-19-related rent concessions, primarily rent deferrals or rent abatements, and has elected not to remeasure the related lease liability and right-of-use asset for those leases. Rent deferrals are accrued with no impact to straight-line rent expense. Rent abatements are recognized as a reduction of variable rent expense in the month they occur. This election will continue while these concessions are in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348" w:lineRule="exact"/>
        <w:rPr>
          <w:sz w:val="20"/>
          <w:szCs w:val="20"/>
          <w:color w:val="auto"/>
        </w:rPr>
      </w:pPr>
    </w:p>
    <w:p>
      <w:pPr>
        <w:ind w:right="120"/>
        <w:spacing w:after="0" w:line="260" w:lineRule="auto"/>
        <w:rPr>
          <w:sz w:val="20"/>
          <w:szCs w:val="20"/>
          <w:color w:val="auto"/>
        </w:rPr>
      </w:pPr>
      <w:r>
        <w:rPr>
          <w:rFonts w:ascii="Arial" w:cs="Arial" w:eastAsia="Arial" w:hAnsi="Arial"/>
          <w:sz w:val="20"/>
          <w:szCs w:val="20"/>
          <w:color w:val="auto"/>
        </w:rPr>
        <w:t>The following table includes a detail of lease assets and liabilities included on the Company’s Consolidated Balance Sheets as of the periods indicated:</w:t>
      </w:r>
    </w:p>
    <w:p>
      <w:pPr>
        <w:spacing w:after="0" w:line="103"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31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8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CONSOLIDATED BALANCE SHEET CLASSIFICATION</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JUNE 28, 2020</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DECEMBER 29, 2019</w:t>
            </w:r>
          </w:p>
        </w:tc>
      </w:tr>
      <w:tr>
        <w:trPr>
          <w:trHeight w:val="237"/>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w:t>
            </w:r>
          </w:p>
        </w:tc>
        <w:tc>
          <w:tcPr>
            <w:tcW w:w="3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1,212,916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1,266,548</w:t>
            </w:r>
          </w:p>
        </w:tc>
      </w:tr>
      <w:tr>
        <w:trPr>
          <w:trHeight w:val="270"/>
        </w:trPr>
        <w:tc>
          <w:tcPr>
            <w:tcW w:w="3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Finance lease right-of-use assets (1)</w:t>
            </w:r>
          </w:p>
        </w:tc>
        <w:tc>
          <w:tcPr>
            <w:tcW w:w="39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Property, fixtures and equipment, net</w:t>
            </w:r>
          </w:p>
        </w:tc>
        <w:tc>
          <w:tcPr>
            <w:tcW w:w="30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1,729</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2,036</w:t>
            </w:r>
          </w:p>
        </w:tc>
      </w:tr>
      <w:tr>
        <w:trPr>
          <w:trHeight w:val="275"/>
        </w:trPr>
        <w:tc>
          <w:tcPr>
            <w:tcW w:w="3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lease assets, net</w:t>
            </w:r>
          </w:p>
        </w:tc>
        <w:tc>
          <w:tcPr>
            <w:tcW w:w="38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1,214,645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1,268,584</w:t>
            </w: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318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37"/>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operating lease liabilities (2)</w:t>
            </w:r>
          </w:p>
        </w:tc>
        <w:tc>
          <w:tcPr>
            <w:tcW w:w="3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Accrued and other current liabilities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177,236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171,866</w:t>
            </w:r>
          </w:p>
        </w:tc>
      </w:tr>
      <w:tr>
        <w:trPr>
          <w:trHeight w:val="224"/>
        </w:trPr>
        <w:tc>
          <w:tcPr>
            <w:tcW w:w="3180" w:type="dxa"/>
            <w:vAlign w:val="bottom"/>
          </w:tcPr>
          <w:p>
            <w:pPr>
              <w:ind w:left="20"/>
              <w:spacing w:after="0"/>
              <w:rPr>
                <w:sz w:val="20"/>
                <w:szCs w:val="20"/>
                <w:color w:val="auto"/>
              </w:rPr>
            </w:pPr>
            <w:r>
              <w:rPr>
                <w:rFonts w:ascii="Arial" w:cs="Arial" w:eastAsia="Arial" w:hAnsi="Arial"/>
                <w:sz w:val="16"/>
                <w:szCs w:val="16"/>
                <w:color w:val="auto"/>
              </w:rPr>
              <w:t>Current finance lease liabilities</w:t>
            </w:r>
          </w:p>
        </w:tc>
        <w:tc>
          <w:tcPr>
            <w:tcW w:w="3980" w:type="dxa"/>
            <w:vAlign w:val="bottom"/>
            <w:gridSpan w:val="2"/>
          </w:tcPr>
          <w:p>
            <w:pPr>
              <w:ind w:left="20"/>
              <w:spacing w:after="0"/>
              <w:rPr>
                <w:sz w:val="20"/>
                <w:szCs w:val="20"/>
                <w:color w:val="auto"/>
              </w:rPr>
            </w:pPr>
            <w:r>
              <w:rPr>
                <w:rFonts w:ascii="Arial" w:cs="Arial" w:eastAsia="Arial" w:hAnsi="Arial"/>
                <w:sz w:val="16"/>
                <w:szCs w:val="16"/>
                <w:color w:val="auto"/>
              </w:rPr>
              <w:t>Current portion of long-term debt</w:t>
            </w:r>
          </w:p>
        </w:tc>
        <w:tc>
          <w:tcPr>
            <w:tcW w:w="300" w:type="dxa"/>
            <w:vAlign w:val="bottom"/>
          </w:tcPr>
          <w:p>
            <w:pPr>
              <w:spacing w:after="0"/>
              <w:rPr>
                <w:sz w:val="19"/>
                <w:szCs w:val="19"/>
                <w:color w:val="auto"/>
              </w:rPr>
            </w:pPr>
          </w:p>
        </w:tc>
        <w:tc>
          <w:tcPr>
            <w:tcW w:w="1660" w:type="dxa"/>
            <w:vAlign w:val="bottom"/>
          </w:tcPr>
          <w:p>
            <w:pPr>
              <w:jc w:val="right"/>
              <w:ind w:right="60"/>
              <w:spacing w:after="0"/>
              <w:rPr>
                <w:sz w:val="20"/>
                <w:szCs w:val="20"/>
                <w:color w:val="auto"/>
              </w:rPr>
            </w:pPr>
            <w:r>
              <w:rPr>
                <w:rFonts w:ascii="Arial" w:cs="Arial" w:eastAsia="Arial" w:hAnsi="Arial"/>
                <w:sz w:val="16"/>
                <w:szCs w:val="16"/>
                <w:color w:val="auto"/>
              </w:rPr>
              <w:t>1,104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ind w:right="60"/>
              <w:spacing w:after="0"/>
              <w:rPr>
                <w:sz w:val="20"/>
                <w:szCs w:val="20"/>
                <w:color w:val="auto"/>
              </w:rPr>
            </w:pPr>
            <w:r>
              <w:rPr>
                <w:rFonts w:ascii="Arial" w:cs="Arial" w:eastAsia="Arial" w:hAnsi="Arial"/>
                <w:sz w:val="16"/>
                <w:szCs w:val="16"/>
                <w:color w:val="auto"/>
              </w:rPr>
              <w:t>1,361</w:t>
            </w:r>
          </w:p>
        </w:tc>
      </w:tr>
      <w:tr>
        <w:trPr>
          <w:trHeight w:val="33"/>
        </w:trPr>
        <w:tc>
          <w:tcPr>
            <w:tcW w:w="318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6"/>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Non-current operating lease liabilities</w:t>
            </w:r>
          </w:p>
        </w:tc>
        <w:tc>
          <w:tcPr>
            <w:tcW w:w="3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Non-current operating lease liabilities</w:t>
            </w:r>
          </w:p>
        </w:tc>
        <w:tc>
          <w:tcPr>
            <w:tcW w:w="3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1,248,941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1,279,051</w:t>
            </w:r>
          </w:p>
        </w:tc>
      </w:tr>
      <w:tr>
        <w:trPr>
          <w:trHeight w:val="270"/>
        </w:trPr>
        <w:tc>
          <w:tcPr>
            <w:tcW w:w="3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Non-current finance lease liabilities</w:t>
            </w:r>
          </w:p>
        </w:tc>
        <w:tc>
          <w:tcPr>
            <w:tcW w:w="39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Long-term debt, net</w:t>
            </w:r>
          </w:p>
        </w:tc>
        <w:tc>
          <w:tcPr>
            <w:tcW w:w="30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853</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947</w:t>
            </w:r>
          </w:p>
        </w:tc>
      </w:tr>
      <w:tr>
        <w:trPr>
          <w:trHeight w:val="275"/>
        </w:trPr>
        <w:tc>
          <w:tcPr>
            <w:tcW w:w="3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lease liabilities</w:t>
            </w:r>
          </w:p>
        </w:tc>
        <w:tc>
          <w:tcPr>
            <w:tcW w:w="38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1,428,134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1,453,225</w:t>
            </w: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19"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Net of accumulated amortization of $1.8 million and $1.3 million as of June 28, 2020 and December 29, 2019, respectively.</w:t>
      </w:r>
    </w:p>
    <w:p>
      <w:pPr>
        <w:spacing w:after="0" w:line="5" w:lineRule="exact"/>
        <w:rPr>
          <w:rFonts w:ascii="Arial" w:cs="Arial" w:eastAsia="Arial" w:hAnsi="Arial"/>
          <w:sz w:val="16"/>
          <w:szCs w:val="16"/>
          <w:color w:val="auto"/>
        </w:rPr>
      </w:pPr>
    </w:p>
    <w:p>
      <w:pPr>
        <w:ind w:left="660" w:hanging="652"/>
        <w:spacing w:after="0" w:line="257"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Excludes COVID-19-related deferred rent accruals of $18.3 million as of June 28, 2020 and accrued contingent percentage rent of $2.7 million and $2.4 million, as of June 28, 2020 and December 29, 2019, respectively.</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summary of expenses and income related to leases recognized in the Company’s Consolidated Statements of Operations and</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Comprehensive (Loss) Income for the periods indicated: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660" w:type="dxa"/>
            <w:vAlign w:val="bottom"/>
          </w:tcPr>
          <w:p>
            <w:pPr>
              <w:spacing w:after="0"/>
              <w:rPr>
                <w:sz w:val="17"/>
                <w:szCs w:val="17"/>
                <w:color w:val="auto"/>
              </w:rPr>
            </w:pPr>
          </w:p>
        </w:tc>
        <w:tc>
          <w:tcPr>
            <w:tcW w:w="2800" w:type="dxa"/>
            <w:vAlign w:val="bottom"/>
            <w:gridSpan w:val="2"/>
          </w:tcPr>
          <w:p>
            <w:pPr>
              <w:ind w:left="440"/>
              <w:spacing w:after="0"/>
              <w:rPr>
                <w:sz w:val="20"/>
                <w:szCs w:val="20"/>
                <w:color w:val="auto"/>
              </w:rPr>
            </w:pPr>
            <w:r>
              <w:rPr>
                <w:rFonts w:ascii="Arial" w:cs="Arial" w:eastAsia="Arial" w:hAnsi="Arial"/>
                <w:sz w:val="14"/>
                <w:szCs w:val="14"/>
                <w:b w:val="1"/>
                <w:bCs w:val="1"/>
                <w:color w:val="auto"/>
              </w:rPr>
              <w:t>CONSOLIDATED INCOME</w:t>
            </w:r>
          </w:p>
        </w:tc>
        <w:tc>
          <w:tcPr>
            <w:tcW w:w="16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THIRTEEN WEEKS ENDED</w:t>
            </w:r>
          </w:p>
        </w:tc>
        <w:tc>
          <w:tcPr>
            <w:tcW w:w="16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4"/>
                <w:szCs w:val="14"/>
                <w:b w:val="1"/>
                <w:bCs w:val="1"/>
                <w:color w:val="auto"/>
              </w:rPr>
              <w:t>TWENTY-SIX WEEKS ENDED</w:t>
            </w:r>
          </w:p>
        </w:tc>
        <w:tc>
          <w:tcPr>
            <w:tcW w:w="0" w:type="dxa"/>
            <w:vAlign w:val="bottom"/>
          </w:tcPr>
          <w:p>
            <w:pPr>
              <w:spacing w:after="0"/>
              <w:rPr>
                <w:sz w:val="1"/>
                <w:szCs w:val="1"/>
                <w:color w:val="auto"/>
              </w:rPr>
            </w:pPr>
          </w:p>
        </w:tc>
      </w:tr>
      <w:tr>
        <w:trPr>
          <w:trHeight w:val="210"/>
        </w:trPr>
        <w:tc>
          <w:tcPr>
            <w:tcW w:w="26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70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STATEMENT CLASSIFICATION</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JUNE 28, 2020</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JUNE 30, 2019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JUNE 28, 2020</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JUNE 30, 2019</w:t>
            </w:r>
          </w:p>
        </w:tc>
        <w:tc>
          <w:tcPr>
            <w:tcW w:w="0" w:type="dxa"/>
            <w:vAlign w:val="bottom"/>
          </w:tcPr>
          <w:p>
            <w:pPr>
              <w:spacing w:after="0"/>
              <w:rPr>
                <w:sz w:val="1"/>
                <w:szCs w:val="1"/>
                <w:color w:val="auto"/>
              </w:rPr>
            </w:pPr>
          </w:p>
        </w:tc>
      </w:tr>
      <w:tr>
        <w:trPr>
          <w:trHeight w:val="236"/>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leases (1)</w:t>
            </w:r>
          </w:p>
        </w:tc>
        <w:tc>
          <w:tcPr>
            <w:tcW w:w="2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Other restaurant operating</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42,776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45,079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88,658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90,312</w:t>
            </w:r>
          </w:p>
        </w:tc>
        <w:tc>
          <w:tcPr>
            <w:tcW w:w="0" w:type="dxa"/>
            <w:vAlign w:val="bottom"/>
          </w:tcPr>
          <w:p>
            <w:pPr>
              <w:spacing w:after="0"/>
              <w:rPr>
                <w:sz w:val="1"/>
                <w:szCs w:val="1"/>
                <w:color w:val="auto"/>
              </w:rPr>
            </w:pPr>
          </w:p>
        </w:tc>
      </w:tr>
      <w:tr>
        <w:trPr>
          <w:trHeight w:val="224"/>
        </w:trPr>
        <w:tc>
          <w:tcPr>
            <w:tcW w:w="2660" w:type="dxa"/>
            <w:vAlign w:val="bottom"/>
          </w:tcPr>
          <w:p>
            <w:pPr>
              <w:ind w:left="20"/>
              <w:spacing w:after="0"/>
              <w:rPr>
                <w:sz w:val="20"/>
                <w:szCs w:val="20"/>
                <w:color w:val="auto"/>
              </w:rPr>
            </w:pPr>
            <w:r>
              <w:rPr>
                <w:rFonts w:ascii="Arial" w:cs="Arial" w:eastAsia="Arial" w:hAnsi="Arial"/>
                <w:sz w:val="16"/>
                <w:szCs w:val="16"/>
                <w:color w:val="auto"/>
              </w:rPr>
              <w:t>Variable lease cost</w:t>
            </w:r>
          </w:p>
        </w:tc>
        <w:tc>
          <w:tcPr>
            <w:tcW w:w="2800" w:type="dxa"/>
            <w:vAlign w:val="bottom"/>
            <w:gridSpan w:val="2"/>
          </w:tcPr>
          <w:p>
            <w:pPr>
              <w:ind w:left="20"/>
              <w:spacing w:after="0"/>
              <w:rPr>
                <w:sz w:val="20"/>
                <w:szCs w:val="20"/>
                <w:color w:val="auto"/>
              </w:rPr>
            </w:pPr>
            <w:r>
              <w:rPr>
                <w:rFonts w:ascii="Arial" w:cs="Arial" w:eastAsia="Arial" w:hAnsi="Arial"/>
                <w:sz w:val="16"/>
                <w:szCs w:val="16"/>
                <w:color w:val="auto"/>
              </w:rPr>
              <w:t>Other restaurant operating</w:t>
            </w:r>
          </w:p>
        </w:tc>
        <w:tc>
          <w:tcPr>
            <w:tcW w:w="160" w:type="dxa"/>
            <w:vAlign w:val="bottom"/>
          </w:tcPr>
          <w:p>
            <w:pPr>
              <w:spacing w:after="0"/>
              <w:rPr>
                <w:sz w:val="19"/>
                <w:szCs w:val="19"/>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(1,046)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ind w:right="80"/>
              <w:spacing w:after="0"/>
              <w:rPr>
                <w:sz w:val="20"/>
                <w:szCs w:val="20"/>
                <w:color w:val="auto"/>
              </w:rPr>
            </w:pPr>
            <w:r>
              <w:rPr>
                <w:rFonts w:ascii="Arial" w:cs="Arial" w:eastAsia="Arial" w:hAnsi="Arial"/>
                <w:sz w:val="16"/>
                <w:szCs w:val="16"/>
                <w:color w:val="auto"/>
              </w:rPr>
              <w:t>746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ind w:right="61"/>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1,565</w:t>
            </w:r>
          </w:p>
        </w:tc>
        <w:tc>
          <w:tcPr>
            <w:tcW w:w="0" w:type="dxa"/>
            <w:vAlign w:val="bottom"/>
          </w:tcPr>
          <w:p>
            <w:pPr>
              <w:spacing w:after="0"/>
              <w:rPr>
                <w:sz w:val="1"/>
                <w:szCs w:val="1"/>
                <w:color w:val="auto"/>
              </w:rPr>
            </w:pPr>
          </w:p>
        </w:tc>
      </w:tr>
      <w:tr>
        <w:trPr>
          <w:trHeight w:val="33"/>
        </w:trPr>
        <w:tc>
          <w:tcPr>
            <w:tcW w:w="26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Finance leases</w:t>
            </w:r>
          </w:p>
        </w:tc>
        <w:tc>
          <w:tcPr>
            <w:tcW w:w="2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660" w:type="dxa"/>
            <w:vAlign w:val="bottom"/>
          </w:tcPr>
          <w:p>
            <w:pPr>
              <w:ind w:left="120"/>
              <w:spacing w:after="0"/>
              <w:rPr>
                <w:sz w:val="20"/>
                <w:szCs w:val="20"/>
                <w:color w:val="auto"/>
              </w:rPr>
            </w:pPr>
            <w:r>
              <w:rPr>
                <w:rFonts w:ascii="Arial" w:cs="Arial" w:eastAsia="Arial" w:hAnsi="Arial"/>
                <w:sz w:val="16"/>
                <w:szCs w:val="16"/>
                <w:color w:val="auto"/>
              </w:rPr>
              <w:t>Amortization of leased assets</w:t>
            </w:r>
          </w:p>
        </w:tc>
        <w:tc>
          <w:tcPr>
            <w:tcW w:w="2800" w:type="dxa"/>
            <w:vAlign w:val="bottom"/>
            <w:gridSpan w:val="2"/>
          </w:tcPr>
          <w:p>
            <w:pPr>
              <w:ind w:left="20"/>
              <w:spacing w:after="0"/>
              <w:rPr>
                <w:sz w:val="20"/>
                <w:szCs w:val="20"/>
                <w:color w:val="auto"/>
              </w:rPr>
            </w:pPr>
            <w:r>
              <w:rPr>
                <w:rFonts w:ascii="Arial" w:cs="Arial" w:eastAsia="Arial" w:hAnsi="Arial"/>
                <w:sz w:val="16"/>
                <w:szCs w:val="16"/>
                <w:color w:val="auto"/>
              </w:rPr>
              <w:t>Depreciation and amortization</w:t>
            </w:r>
          </w:p>
        </w:tc>
        <w:tc>
          <w:tcPr>
            <w:tcW w:w="160" w:type="dxa"/>
            <w:vAlign w:val="bottom"/>
          </w:tcPr>
          <w:p>
            <w:pPr>
              <w:spacing w:after="0"/>
              <w:rPr>
                <w:sz w:val="19"/>
                <w:szCs w:val="19"/>
                <w:color w:val="auto"/>
              </w:rPr>
            </w:pPr>
          </w:p>
        </w:tc>
        <w:tc>
          <w:tcPr>
            <w:tcW w:w="1200" w:type="dxa"/>
            <w:vAlign w:val="bottom"/>
          </w:tcPr>
          <w:p>
            <w:pPr>
              <w:jc w:val="right"/>
              <w:ind w:right="61"/>
              <w:spacing w:after="0"/>
              <w:rPr>
                <w:sz w:val="20"/>
                <w:szCs w:val="20"/>
                <w:color w:val="auto"/>
              </w:rPr>
            </w:pPr>
            <w:r>
              <w:rPr>
                <w:rFonts w:ascii="Arial" w:cs="Arial" w:eastAsia="Arial" w:hAnsi="Arial"/>
                <w:sz w:val="16"/>
                <w:szCs w:val="16"/>
                <w:color w:val="auto"/>
              </w:rPr>
              <w:t>315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ind w:right="80"/>
              <w:spacing w:after="0"/>
              <w:rPr>
                <w:sz w:val="20"/>
                <w:szCs w:val="20"/>
                <w:color w:val="auto"/>
              </w:rPr>
            </w:pPr>
            <w:r>
              <w:rPr>
                <w:rFonts w:ascii="Arial" w:cs="Arial" w:eastAsia="Arial" w:hAnsi="Arial"/>
                <w:sz w:val="16"/>
                <w:szCs w:val="16"/>
                <w:color w:val="auto"/>
              </w:rPr>
              <w:t>360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ind w:right="61"/>
              <w:spacing w:after="0"/>
              <w:rPr>
                <w:sz w:val="20"/>
                <w:szCs w:val="20"/>
                <w:color w:val="auto"/>
              </w:rPr>
            </w:pPr>
            <w:r>
              <w:rPr>
                <w:rFonts w:ascii="Arial" w:cs="Arial" w:eastAsia="Arial" w:hAnsi="Arial"/>
                <w:sz w:val="16"/>
                <w:szCs w:val="16"/>
                <w:color w:val="auto"/>
              </w:rPr>
              <w:t>657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684</w:t>
            </w:r>
          </w:p>
        </w:tc>
        <w:tc>
          <w:tcPr>
            <w:tcW w:w="0" w:type="dxa"/>
            <w:vAlign w:val="bottom"/>
          </w:tcPr>
          <w:p>
            <w:pPr>
              <w:spacing w:after="0"/>
              <w:rPr>
                <w:sz w:val="1"/>
                <w:szCs w:val="1"/>
                <w:color w:val="auto"/>
              </w:rPr>
            </w:pPr>
          </w:p>
        </w:tc>
      </w:tr>
      <w:tr>
        <w:trPr>
          <w:trHeight w:val="33"/>
        </w:trPr>
        <w:tc>
          <w:tcPr>
            <w:tcW w:w="266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Interest on lease liabilities</w:t>
            </w:r>
          </w:p>
        </w:tc>
        <w:tc>
          <w:tcPr>
            <w:tcW w:w="2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37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83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270"/>
        </w:trPr>
        <w:tc>
          <w:tcPr>
            <w:tcW w:w="26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Sublease revenue (2)</w:t>
            </w:r>
          </w:p>
        </w:tc>
        <w:tc>
          <w:tcPr>
            <w:tcW w:w="28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Franchise and other revenues</w:t>
            </w:r>
          </w:p>
        </w:tc>
        <w:tc>
          <w:tcPr>
            <w:tcW w:w="1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(109)</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(1,792)</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(1,786)</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(3,106)</w:t>
            </w:r>
          </w:p>
        </w:tc>
        <w:tc>
          <w:tcPr>
            <w:tcW w:w="0" w:type="dxa"/>
            <w:vAlign w:val="bottom"/>
          </w:tcPr>
          <w:p>
            <w:pPr>
              <w:spacing w:after="0"/>
              <w:rPr>
                <w:sz w:val="1"/>
                <w:szCs w:val="1"/>
                <w:color w:val="auto"/>
              </w:rPr>
            </w:pPr>
          </w:p>
        </w:tc>
      </w:tr>
      <w:tr>
        <w:trPr>
          <w:trHeight w:val="272"/>
        </w:trPr>
        <w:tc>
          <w:tcPr>
            <w:tcW w:w="2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Lease costs, net</w:t>
            </w:r>
          </w:p>
        </w:tc>
        <w:tc>
          <w:tcPr>
            <w:tcW w:w="27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41,973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44,465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87,686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89,600</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________________</w:t>
            </w:r>
          </w:p>
        </w:tc>
        <w:tc>
          <w:tcPr>
            <w:tcW w:w="2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2660" w:type="dxa"/>
            <w:vAlign w:val="bottom"/>
            <w:vMerge w:val="continue"/>
          </w:tcPr>
          <w:p>
            <w:pPr>
              <w:spacing w:after="0"/>
              <w:rPr>
                <w:sz w:val="23"/>
                <w:szCs w:val="23"/>
                <w:color w:val="auto"/>
              </w:rPr>
            </w:pPr>
          </w:p>
        </w:tc>
        <w:tc>
          <w:tcPr>
            <w:tcW w:w="2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jc w:val="both"/>
        <w:ind w:left="660" w:hanging="652"/>
        <w:spacing w:after="0" w:line="281" w:lineRule="auto"/>
        <w:tabs>
          <w:tab w:leader="none" w:pos="6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Excludes rent expense for office facilities and Company-owned closed or subleased properties of $3.3 million and $3.7 million for the thirteen weeks ended June 28, 2020 and June 30, 2019, respectively, and $6.9 million and $7.2 million for the twenty-six weeks ended June 28, 2020 and June 30, 2019, respectively, which is included in General and administrative expense. Also excludes certain supply chain related rent expense of $0.3 million for the thirteen weeks ended June 28, 2020 and June 30, 2019 and $0.6 million for the twenty-six weeks ended June 28, 2020 and June 30, 2019, which is included in Cost of sales.</w:t>
      </w:r>
    </w:p>
    <w:p>
      <w:pPr>
        <w:spacing w:after="0" w:line="2" w:lineRule="exact"/>
        <w:rPr>
          <w:rFonts w:ascii="Arial" w:cs="Arial" w:eastAsia="Arial" w:hAnsi="Arial"/>
          <w:sz w:val="14"/>
          <w:szCs w:val="14"/>
          <w:color w:val="auto"/>
        </w:rPr>
      </w:pPr>
    </w:p>
    <w:p>
      <w:pPr>
        <w:ind w:left="660" w:hanging="652"/>
        <w:spacing w:after="0" w:line="257"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Excludes rental income from Company-owned properties of $0.1 million and $0.7 million for the thirteen weeks ended June 28, 2020 and June 30, 2019, respectively, and $0.3 million and $1.4 million for the twenty-six weeks ended June 28, 2020 and June 30, 2019, respectively.</w:t>
      </w:r>
    </w:p>
    <w:p>
      <w:pPr>
        <w:spacing w:after="0" w:line="206"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following table is a summary of other impacts to the Company’s Consolidated Financial Statements related to its leases for the periods indicated:</w:t>
      </w:r>
    </w:p>
    <w:p>
      <w:pPr>
        <w:spacing w:after="0" w:line="90"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7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640" w:type="dxa"/>
            <w:vAlign w:val="bottom"/>
            <w:tcBorders>
              <w:bottom w:val="single" w:sz="8" w:color="auto"/>
            </w:tcBorders>
            <w:gridSpan w:val="4"/>
          </w:tcPr>
          <w:p>
            <w:pPr>
              <w:jc w:val="right"/>
              <w:ind w:right="884"/>
              <w:spacing w:after="0"/>
              <w:rPr>
                <w:sz w:val="20"/>
                <w:szCs w:val="20"/>
                <w:color w:val="auto"/>
              </w:rPr>
            </w:pPr>
            <w:r>
              <w:rPr>
                <w:rFonts w:ascii="Arial" w:cs="Arial" w:eastAsia="Arial" w:hAnsi="Arial"/>
                <w:sz w:val="14"/>
                <w:szCs w:val="14"/>
                <w:b w:val="1"/>
                <w:bCs w:val="1"/>
                <w:color w:val="auto"/>
              </w:rPr>
              <w:t>TWENTY-SIX WEEKS ENDED</w:t>
            </w:r>
          </w:p>
        </w:tc>
      </w:tr>
      <w:tr>
        <w:trPr>
          <w:trHeight w:val="196"/>
        </w:trPr>
        <w:tc>
          <w:tcPr>
            <w:tcW w:w="726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7"/>
                <w:szCs w:val="17"/>
                <w:color w:val="auto"/>
              </w:rPr>
            </w:pPr>
          </w:p>
        </w:tc>
        <w:tc>
          <w:tcPr>
            <w:tcW w:w="172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28, 2020</w:t>
            </w:r>
          </w:p>
        </w:tc>
        <w:tc>
          <w:tcPr>
            <w:tcW w:w="300" w:type="dxa"/>
            <w:vAlign w:val="bottom"/>
          </w:tcPr>
          <w:p>
            <w:pPr>
              <w:spacing w:after="0"/>
              <w:rPr>
                <w:sz w:val="17"/>
                <w:szCs w:val="17"/>
                <w:color w:val="auto"/>
              </w:rPr>
            </w:pPr>
          </w:p>
        </w:tc>
        <w:tc>
          <w:tcPr>
            <w:tcW w:w="1620" w:type="dxa"/>
            <w:vAlign w:val="bottom"/>
          </w:tcPr>
          <w:p>
            <w:pPr>
              <w:jc w:val="right"/>
              <w:ind w:right="424"/>
              <w:spacing w:after="0"/>
              <w:rPr>
                <w:sz w:val="20"/>
                <w:szCs w:val="20"/>
                <w:color w:val="auto"/>
              </w:rPr>
            </w:pPr>
            <w:r>
              <w:rPr>
                <w:rFonts w:ascii="Arial" w:cs="Arial" w:eastAsia="Arial" w:hAnsi="Arial"/>
                <w:sz w:val="14"/>
                <w:szCs w:val="14"/>
                <w:b w:val="1"/>
                <w:bCs w:val="1"/>
                <w:color w:val="auto"/>
              </w:rPr>
              <w:t>JUNE 30, 2019</w:t>
            </w:r>
          </w:p>
        </w:tc>
      </w:tr>
      <w:tr>
        <w:trPr>
          <w:trHeight w:val="223"/>
        </w:trPr>
        <w:tc>
          <w:tcPr>
            <w:tcW w:w="7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300" w:type="dxa"/>
            <w:vAlign w:val="bottom"/>
            <w:tcBorders>
              <w:top w:val="single" w:sz="8" w:color="auto"/>
              <w:bottom w:val="single" w:sz="8" w:color="CCEEFF"/>
            </w:tcBorders>
            <w:shd w:val="clear" w:color="auto" w:fill="CCEEFF"/>
          </w:tcPr>
          <w:p>
            <w:pPr>
              <w:spacing w:after="0"/>
              <w:rPr>
                <w:sz w:val="19"/>
                <w:szCs w:val="19"/>
                <w:color w:val="auto"/>
              </w:rPr>
            </w:pPr>
          </w:p>
        </w:tc>
        <w:tc>
          <w:tcPr>
            <w:tcW w:w="162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CCEEFF"/>
            </w:tcBorders>
            <w:shd w:val="clear" w:color="auto" w:fill="CCEEFF"/>
          </w:tcPr>
          <w:p>
            <w:pPr>
              <w:spacing w:after="0"/>
              <w:rPr>
                <w:sz w:val="19"/>
                <w:szCs w:val="19"/>
                <w:color w:val="auto"/>
              </w:rPr>
            </w:pPr>
          </w:p>
        </w:tc>
        <w:tc>
          <w:tcPr>
            <w:tcW w:w="1620" w:type="dxa"/>
            <w:vAlign w:val="bottom"/>
            <w:tcBorders>
              <w:top w:val="single" w:sz="8" w:color="auto"/>
              <w:bottom w:val="single" w:sz="8" w:color="CCEEFF"/>
            </w:tcBorders>
            <w:shd w:val="clear" w:color="auto" w:fill="CCEEFF"/>
          </w:tcPr>
          <w:p>
            <w:pPr>
              <w:spacing w:after="0"/>
              <w:rPr>
                <w:sz w:val="19"/>
                <w:szCs w:val="19"/>
                <w:color w:val="auto"/>
              </w:rPr>
            </w:pPr>
          </w:p>
        </w:tc>
      </w:tr>
      <w:tr>
        <w:trPr>
          <w:trHeight w:val="223"/>
        </w:trPr>
        <w:tc>
          <w:tcPr>
            <w:tcW w:w="7260" w:type="dxa"/>
            <w:vAlign w:val="bottom"/>
          </w:tcPr>
          <w:p>
            <w:pPr>
              <w:ind w:left="120"/>
              <w:spacing w:after="0"/>
              <w:rPr>
                <w:sz w:val="20"/>
                <w:szCs w:val="20"/>
                <w:color w:val="auto"/>
              </w:rPr>
            </w:pPr>
            <w:r>
              <w:rPr>
                <w:rFonts w:ascii="Arial" w:cs="Arial" w:eastAsia="Arial" w:hAnsi="Arial"/>
                <w:sz w:val="16"/>
                <w:szCs w:val="16"/>
                <w:color w:val="auto"/>
              </w:rPr>
              <w:t>Cash paid for amounts included in the measurement of operating lease liabilities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65"/>
              <w:spacing w:after="0"/>
              <w:rPr>
                <w:sz w:val="20"/>
                <w:szCs w:val="20"/>
                <w:color w:val="auto"/>
              </w:rPr>
            </w:pPr>
            <w:r>
              <w:rPr>
                <w:rFonts w:ascii="Arial" w:cs="Arial" w:eastAsia="Arial" w:hAnsi="Arial"/>
                <w:sz w:val="16"/>
                <w:szCs w:val="16"/>
                <w:color w:val="auto"/>
              </w:rPr>
              <w:t>75,688</w:t>
            </w:r>
          </w:p>
        </w:tc>
        <w:tc>
          <w:tcPr>
            <w:tcW w:w="10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64"/>
              <w:spacing w:after="0"/>
              <w:rPr>
                <w:sz w:val="20"/>
                <w:szCs w:val="20"/>
                <w:color w:val="auto"/>
              </w:rPr>
            </w:pPr>
            <w:r>
              <w:rPr>
                <w:rFonts w:ascii="Arial" w:cs="Arial" w:eastAsia="Arial" w:hAnsi="Arial"/>
                <w:sz w:val="16"/>
                <w:szCs w:val="16"/>
                <w:color w:val="auto"/>
              </w:rPr>
              <w:t>95,532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348" w:lineRule="exact"/>
        <w:rPr>
          <w:sz w:val="20"/>
          <w:szCs w:val="20"/>
          <w:color w:val="auto"/>
        </w:rPr>
      </w:pPr>
    </w:p>
    <w:p>
      <w:pPr>
        <w:spacing w:after="0"/>
        <w:rPr>
          <w:sz w:val="20"/>
          <w:szCs w:val="20"/>
          <w:color w:val="auto"/>
        </w:rPr>
      </w:pPr>
      <w:r>
        <w:rPr>
          <w:rFonts w:ascii="Arial" w:cs="Arial" w:eastAsia="Arial" w:hAnsi="Arial"/>
          <w:sz w:val="20"/>
          <w:szCs w:val="20"/>
          <w:color w:val="auto"/>
        </w:rPr>
        <w:t>17. Fair Value Measurements</w:t>
      </w:r>
    </w:p>
    <w:p>
      <w:pPr>
        <w:spacing w:after="0" w:line="24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Fair value is the price that would be received for an asset or paid to transfer a liability, or the exit price, in an orderly transaction between market participants on the measurement date. Fair value is categorized into one of the following three levels based on the lowest level of significant input:</w:t>
      </w:r>
    </w:p>
    <w:p>
      <w:pPr>
        <w:spacing w:after="0" w:line="108"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Level 1</w:t>
            </w:r>
          </w:p>
        </w:tc>
        <w:tc>
          <w:tcPr>
            <w:tcW w:w="103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Unadjusted quoted market prices in active markets for identical assets or liabilities</w:t>
            </w:r>
          </w:p>
        </w:tc>
      </w:tr>
      <w:tr>
        <w:trPr>
          <w:trHeight w:val="224"/>
        </w:trPr>
        <w:tc>
          <w:tcPr>
            <w:tcW w:w="840" w:type="dxa"/>
            <w:vAlign w:val="bottom"/>
          </w:tcPr>
          <w:p>
            <w:pPr>
              <w:ind w:left="20"/>
              <w:spacing w:after="0"/>
              <w:rPr>
                <w:sz w:val="20"/>
                <w:szCs w:val="20"/>
                <w:color w:val="auto"/>
              </w:rPr>
            </w:pPr>
            <w:r>
              <w:rPr>
                <w:rFonts w:ascii="Arial" w:cs="Arial" w:eastAsia="Arial" w:hAnsi="Arial"/>
                <w:sz w:val="16"/>
                <w:szCs w:val="16"/>
                <w:color w:val="auto"/>
              </w:rPr>
              <w:t>Level 2</w:t>
            </w:r>
          </w:p>
        </w:tc>
        <w:tc>
          <w:tcPr>
            <w:tcW w:w="10360" w:type="dxa"/>
            <w:vAlign w:val="bottom"/>
          </w:tcPr>
          <w:p>
            <w:pPr>
              <w:ind w:left="320"/>
              <w:spacing w:after="0"/>
              <w:rPr>
                <w:sz w:val="20"/>
                <w:szCs w:val="20"/>
                <w:color w:val="auto"/>
              </w:rPr>
            </w:pPr>
            <w:r>
              <w:rPr>
                <w:rFonts w:ascii="Arial" w:cs="Arial" w:eastAsia="Arial" w:hAnsi="Arial"/>
                <w:sz w:val="16"/>
                <w:szCs w:val="16"/>
                <w:color w:val="auto"/>
              </w:rPr>
              <w:t>Observable inputs available at measurement date other than quoted prices included in Level 1</w:t>
            </w:r>
          </w:p>
        </w:tc>
      </w:tr>
      <w:tr>
        <w:trPr>
          <w:trHeight w:val="33"/>
        </w:trPr>
        <w:tc>
          <w:tcPr>
            <w:tcW w:w="840" w:type="dxa"/>
            <w:vAlign w:val="bottom"/>
          </w:tcPr>
          <w:p>
            <w:pPr>
              <w:spacing w:after="0"/>
              <w:rPr>
                <w:sz w:val="2"/>
                <w:szCs w:val="2"/>
                <w:color w:val="auto"/>
              </w:rPr>
            </w:pPr>
          </w:p>
        </w:tc>
        <w:tc>
          <w:tcPr>
            <w:tcW w:w="10360" w:type="dxa"/>
            <w:vAlign w:val="bottom"/>
          </w:tcPr>
          <w:p>
            <w:pPr>
              <w:spacing w:after="0"/>
              <w:rPr>
                <w:sz w:val="2"/>
                <w:szCs w:val="2"/>
                <w:color w:val="auto"/>
              </w:rPr>
            </w:pPr>
          </w:p>
        </w:tc>
      </w:tr>
      <w:tr>
        <w:trPr>
          <w:trHeight w:val="224"/>
        </w:trPr>
        <w:tc>
          <w:tcPr>
            <w:tcW w:w="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Level 3</w:t>
            </w:r>
          </w:p>
        </w:tc>
        <w:tc>
          <w:tcPr>
            <w:tcW w:w="103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Unobservable inputs that cannot be corroborated by observable market data</w:t>
            </w:r>
          </w:p>
        </w:tc>
      </w:tr>
      <w:tr>
        <w:trPr>
          <w:trHeight w:val="33"/>
        </w:trPr>
        <w:tc>
          <w:tcPr>
            <w:tcW w:w="840" w:type="dxa"/>
            <w:vAlign w:val="bottom"/>
            <w:shd w:val="clear" w:color="auto" w:fill="CCEEFF"/>
          </w:tcPr>
          <w:p>
            <w:pPr>
              <w:spacing w:after="0"/>
              <w:rPr>
                <w:sz w:val="2"/>
                <w:szCs w:val="2"/>
                <w:color w:val="auto"/>
              </w:rPr>
            </w:pPr>
          </w:p>
        </w:tc>
        <w:tc>
          <w:tcPr>
            <w:tcW w:w="10360" w:type="dxa"/>
            <w:vAlign w:val="bottom"/>
            <w:shd w:val="clear" w:color="auto" w:fill="CCEEFF"/>
          </w:tcPr>
          <w:p>
            <w:pPr>
              <w:spacing w:after="0"/>
              <w:rPr>
                <w:sz w:val="2"/>
                <w:szCs w:val="2"/>
                <w:color w:val="auto"/>
              </w:rPr>
            </w:pPr>
          </w:p>
        </w:tc>
      </w:tr>
    </w:tbl>
    <w:p>
      <w:pPr>
        <w:spacing w:after="0" w:line="307"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i w:val="1"/>
          <w:iCs w:val="1"/>
          <w:color w:val="auto"/>
        </w:rPr>
        <w:t xml:space="preserve">Fair Value Measurements on a Recurring Basis - </w:t>
      </w:r>
      <w:r>
        <w:rPr>
          <w:rFonts w:ascii="Arial" w:cs="Arial" w:eastAsia="Arial" w:hAnsi="Arial"/>
          <w:sz w:val="20"/>
          <w:szCs w:val="20"/>
          <w:color w:val="auto"/>
        </w:rPr>
        <w:t>The following table summarizes the Company’s financial assets and liabilities measured at</w:t>
      </w:r>
      <w:r>
        <w:rPr>
          <w:rFonts w:ascii="Arial" w:cs="Arial" w:eastAsia="Arial" w:hAnsi="Arial"/>
          <w:sz w:val="20"/>
          <w:szCs w:val="20"/>
          <w:i w:val="1"/>
          <w:iCs w:val="1"/>
          <w:color w:val="auto"/>
        </w:rPr>
        <w:t xml:space="preserve"> </w:t>
      </w:r>
      <w:r>
        <w:rPr>
          <w:rFonts w:ascii="Arial" w:cs="Arial" w:eastAsia="Arial" w:hAnsi="Arial"/>
          <w:sz w:val="20"/>
          <w:szCs w:val="20"/>
          <w:color w:val="auto"/>
        </w:rPr>
        <w:t>fair value by hierarchy level on a recurring basis as of the periods indicated: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6"/>
              </w:rPr>
              <w:t>JUNE 28, 2020</w:t>
            </w: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9"/>
              </w:rPr>
              <w:t>DECEMBER 29, 2019</w:t>
            </w:r>
          </w:p>
        </w:tc>
        <w:tc>
          <w:tcPr>
            <w:tcW w:w="920" w:type="dxa"/>
            <w:vAlign w:val="bottom"/>
            <w:tcBorders>
              <w:bottom w:val="single" w:sz="8" w:color="auto"/>
            </w:tcBorders>
          </w:tcPr>
          <w:p>
            <w:pPr>
              <w:spacing w:after="0"/>
              <w:rPr>
                <w:sz w:val="17"/>
                <w:szCs w:val="17"/>
                <w:color w:val="auto"/>
              </w:rPr>
            </w:pPr>
          </w:p>
        </w:tc>
      </w:tr>
      <w:tr>
        <w:trPr>
          <w:trHeight w:val="209"/>
        </w:trPr>
        <w:tc>
          <w:tcPr>
            <w:tcW w:w="414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Pr>
          <w:p>
            <w:pPr>
              <w:spacing w:after="0"/>
              <w:rPr>
                <w:sz w:val="18"/>
                <w:szCs w:val="18"/>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8"/>
                <w:szCs w:val="18"/>
                <w:color w:val="auto"/>
              </w:rPr>
            </w:pPr>
          </w:p>
        </w:tc>
        <w:tc>
          <w:tcPr>
            <w:tcW w:w="800" w:type="dxa"/>
            <w:vAlign w:val="bottom"/>
          </w:tcPr>
          <w:p>
            <w:pPr>
              <w:jc w:val="right"/>
              <w:ind w:right="12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8"/>
                <w:szCs w:val="18"/>
                <w:color w:val="auto"/>
              </w:rPr>
            </w:pPr>
          </w:p>
        </w:tc>
        <w:tc>
          <w:tcPr>
            <w:tcW w:w="920" w:type="dxa"/>
            <w:vAlign w:val="bottom"/>
          </w:tcPr>
          <w:p>
            <w:pPr>
              <w:jc w:val="right"/>
              <w:ind w:right="160"/>
              <w:spacing w:after="0"/>
              <w:rPr>
                <w:sz w:val="20"/>
                <w:szCs w:val="20"/>
                <w:color w:val="auto"/>
              </w:rPr>
            </w:pPr>
            <w:r>
              <w:rPr>
                <w:rFonts w:ascii="Arial" w:cs="Arial" w:eastAsia="Arial" w:hAnsi="Arial"/>
                <w:sz w:val="14"/>
                <w:szCs w:val="14"/>
                <w:b w:val="1"/>
                <w:bCs w:val="1"/>
                <w:color w:val="auto"/>
              </w:rPr>
              <w:t>LEVEL 2</w:t>
            </w:r>
          </w:p>
        </w:tc>
      </w:tr>
      <w:tr>
        <w:trPr>
          <w:trHeight w:val="223"/>
        </w:trPr>
        <w:tc>
          <w:tcPr>
            <w:tcW w:w="4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200" w:type="dxa"/>
            <w:vAlign w:val="bottom"/>
            <w:tcBorders>
              <w:top w:val="single" w:sz="8" w:color="auto"/>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CCEEFF"/>
            </w:tcBorders>
            <w:shd w:val="clear" w:color="auto" w:fill="CCEEFF"/>
          </w:tcPr>
          <w:p>
            <w:pPr>
              <w:spacing w:after="0"/>
              <w:rPr>
                <w:sz w:val="19"/>
                <w:szCs w:val="19"/>
                <w:color w:val="auto"/>
              </w:rPr>
            </w:pPr>
          </w:p>
        </w:tc>
      </w:tr>
      <w:tr>
        <w:trPr>
          <w:trHeight w:val="223"/>
        </w:trPr>
        <w:tc>
          <w:tcPr>
            <w:tcW w:w="4140" w:type="dxa"/>
            <w:vAlign w:val="bottom"/>
          </w:tcPr>
          <w:p>
            <w:pPr>
              <w:ind w:left="120"/>
              <w:spacing w:after="0"/>
              <w:rPr>
                <w:sz w:val="20"/>
                <w:szCs w:val="20"/>
                <w:color w:val="auto"/>
              </w:rPr>
            </w:pPr>
            <w:r>
              <w:rPr>
                <w:rFonts w:ascii="Arial" w:cs="Arial" w:eastAsia="Arial" w:hAnsi="Arial"/>
                <w:sz w:val="16"/>
                <w:szCs w:val="16"/>
                <w:color w:val="auto"/>
              </w:rPr>
              <w:t>Cash equivalents:</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33"/>
        </w:trPr>
        <w:tc>
          <w:tcPr>
            <w:tcW w:w="4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7"/>
        </w:trPr>
        <w:tc>
          <w:tcPr>
            <w:tcW w:w="41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Fixed income funds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6,567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6,567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1,037</w:t>
            </w:r>
          </w:p>
        </w:tc>
        <w:tc>
          <w:tcPr>
            <w:tcW w:w="3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1,037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r>
      <w:tr>
        <w:trPr>
          <w:trHeight w:val="224"/>
        </w:trPr>
        <w:tc>
          <w:tcPr>
            <w:tcW w:w="4140" w:type="dxa"/>
            <w:vAlign w:val="bottom"/>
          </w:tcPr>
          <w:p>
            <w:pPr>
              <w:ind w:left="220"/>
              <w:spacing w:after="0"/>
              <w:rPr>
                <w:sz w:val="20"/>
                <w:szCs w:val="20"/>
                <w:color w:val="auto"/>
              </w:rPr>
            </w:pPr>
            <w:r>
              <w:rPr>
                <w:rFonts w:ascii="Arial" w:cs="Arial" w:eastAsia="Arial" w:hAnsi="Arial"/>
                <w:sz w:val="16"/>
                <w:szCs w:val="16"/>
                <w:color w:val="auto"/>
              </w:rPr>
              <w:t>Money market funds</w:t>
            </w:r>
          </w:p>
        </w:tc>
        <w:tc>
          <w:tcPr>
            <w:tcW w:w="200" w:type="dxa"/>
            <w:vAlign w:val="bottom"/>
          </w:tcPr>
          <w:p>
            <w:pPr>
              <w:spacing w:after="0"/>
              <w:rPr>
                <w:sz w:val="19"/>
                <w:szCs w:val="19"/>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9,595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9,595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12,752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12,752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w:t>
            </w:r>
          </w:p>
        </w:tc>
      </w:tr>
      <w:tr>
        <w:trPr>
          <w:trHeight w:val="33"/>
        </w:trPr>
        <w:tc>
          <w:tcPr>
            <w:tcW w:w="4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7"/>
        </w:trPr>
        <w:tc>
          <w:tcPr>
            <w:tcW w:w="4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Restricted cash equivalents:</w:t>
            </w: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r>
      <w:tr>
        <w:trPr>
          <w:trHeight w:val="257"/>
        </w:trPr>
        <w:tc>
          <w:tcPr>
            <w:tcW w:w="41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Money market funds</w:t>
            </w: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1,099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1,099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r>
      <w:tr>
        <w:trPr>
          <w:trHeight w:val="267"/>
        </w:trPr>
        <w:tc>
          <w:tcPr>
            <w:tcW w:w="4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asset recurring fair value measurements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17,261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17,261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13,789</w:t>
            </w:r>
          </w:p>
        </w:tc>
        <w:tc>
          <w:tcPr>
            <w:tcW w:w="3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13,789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206"/>
        </w:trPr>
        <w:tc>
          <w:tcPr>
            <w:tcW w:w="4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7"/>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r>
      <w:tr>
        <w:trPr>
          <w:trHeight w:val="223"/>
        </w:trPr>
        <w:tc>
          <w:tcPr>
            <w:tcW w:w="4140" w:type="dxa"/>
            <w:vAlign w:val="bottom"/>
          </w:tcPr>
          <w:p>
            <w:pPr>
              <w:ind w:left="120"/>
              <w:spacing w:after="0"/>
              <w:rPr>
                <w:sz w:val="20"/>
                <w:szCs w:val="20"/>
                <w:color w:val="auto"/>
              </w:rPr>
            </w:pPr>
            <w:r>
              <w:rPr>
                <w:rFonts w:ascii="Arial" w:cs="Arial" w:eastAsia="Arial" w:hAnsi="Arial"/>
                <w:sz w:val="16"/>
                <w:szCs w:val="16"/>
                <w:color w:val="auto"/>
              </w:rPr>
              <w:t>Accrued and other current liabilities:</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33"/>
        </w:trPr>
        <w:tc>
          <w:tcPr>
            <w:tcW w:w="4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7"/>
        </w:trPr>
        <w:tc>
          <w:tcPr>
            <w:tcW w:w="41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Derivative instruments - interest rate swaps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14,555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14,555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7,174</w:t>
            </w:r>
          </w:p>
        </w:tc>
        <w:tc>
          <w:tcPr>
            <w:tcW w:w="3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7,174</w:t>
            </w:r>
          </w:p>
        </w:tc>
      </w:tr>
      <w:tr>
        <w:trPr>
          <w:trHeight w:val="223"/>
        </w:trPr>
        <w:tc>
          <w:tcPr>
            <w:tcW w:w="4140" w:type="dxa"/>
            <w:vAlign w:val="bottom"/>
          </w:tcPr>
          <w:p>
            <w:pPr>
              <w:ind w:left="120"/>
              <w:spacing w:after="0"/>
              <w:rPr>
                <w:sz w:val="20"/>
                <w:szCs w:val="20"/>
                <w:color w:val="auto"/>
              </w:rPr>
            </w:pPr>
            <w:r>
              <w:rPr>
                <w:rFonts w:ascii="Arial" w:cs="Arial" w:eastAsia="Arial" w:hAnsi="Arial"/>
                <w:sz w:val="16"/>
                <w:szCs w:val="16"/>
                <w:color w:val="auto"/>
              </w:rPr>
              <w:t>Other long-term liabilities:</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33"/>
        </w:trPr>
        <w:tc>
          <w:tcPr>
            <w:tcW w:w="4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63"/>
        </w:trPr>
        <w:tc>
          <w:tcPr>
            <w:tcW w:w="41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Derivative instruments - interest rate swaps</w:t>
            </w:r>
          </w:p>
        </w:tc>
        <w:tc>
          <w:tcPr>
            <w:tcW w:w="2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24,152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24,152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16,835</w:t>
            </w: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16,835</w:t>
            </w:r>
          </w:p>
        </w:tc>
      </w:tr>
      <w:tr>
        <w:trPr>
          <w:trHeight w:val="253"/>
        </w:trPr>
        <w:tc>
          <w:tcPr>
            <w:tcW w:w="4140" w:type="dxa"/>
            <w:vAlign w:val="bottom"/>
          </w:tcPr>
          <w:p>
            <w:pPr>
              <w:ind w:left="20"/>
              <w:spacing w:after="0"/>
              <w:rPr>
                <w:sz w:val="20"/>
                <w:szCs w:val="20"/>
                <w:color w:val="auto"/>
              </w:rPr>
            </w:pPr>
            <w:r>
              <w:rPr>
                <w:rFonts w:ascii="Arial" w:cs="Arial" w:eastAsia="Arial" w:hAnsi="Arial"/>
                <w:sz w:val="16"/>
                <w:szCs w:val="16"/>
                <w:color w:val="auto"/>
              </w:rPr>
              <w:t>Total liability recurring fair value measurements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38,707</w:t>
            </w:r>
          </w:p>
        </w:tc>
        <w:tc>
          <w:tcPr>
            <w:tcW w:w="100" w:type="dxa"/>
            <w:vAlign w:val="bottom"/>
          </w:tcPr>
          <w:p>
            <w:pPr>
              <w:spacing w:after="0"/>
              <w:rPr>
                <w:sz w:val="22"/>
                <w:szCs w:val="22"/>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38,707</w:t>
            </w:r>
          </w:p>
        </w:tc>
        <w:tc>
          <w:tcPr>
            <w:tcW w:w="100" w:type="dxa"/>
            <w:vAlign w:val="bottom"/>
          </w:tcPr>
          <w:p>
            <w:pPr>
              <w:spacing w:after="0"/>
              <w:rPr>
                <w:sz w:val="22"/>
                <w:szCs w:val="22"/>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24,009</w:t>
            </w:r>
          </w:p>
        </w:tc>
        <w:tc>
          <w:tcPr>
            <w:tcW w:w="38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24,009</w:t>
            </w:r>
          </w:p>
        </w:tc>
      </w:tr>
      <w:tr>
        <w:trPr>
          <w:trHeight w:val="24"/>
        </w:trPr>
        <w:tc>
          <w:tcPr>
            <w:tcW w:w="414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20"/>
          <w:szCs w:val="20"/>
          <w:color w:val="auto"/>
        </w:rPr>
        <w:t>Fair value of each class of financial instrument is determined based on the following:</w:t>
      </w:r>
    </w:p>
    <w:p>
      <w:pPr>
        <w:spacing w:after="0" w:line="129" w:lineRule="exact"/>
        <w:rPr>
          <w:sz w:val="20"/>
          <w:szCs w:val="20"/>
          <w:color w:val="auto"/>
        </w:rPr>
      </w:pPr>
    </w:p>
    <w:p>
      <w:pPr>
        <w:ind w:left="20"/>
        <w:spacing w:after="0"/>
        <w:tabs>
          <w:tab w:leader="none" w:pos="2440" w:val="left"/>
        </w:tabs>
        <w:rPr>
          <w:sz w:val="20"/>
          <w:szCs w:val="20"/>
          <w:color w:val="auto"/>
        </w:rPr>
      </w:pPr>
      <w:r>
        <w:rPr>
          <w:rFonts w:ascii="Arial" w:cs="Arial" w:eastAsia="Arial" w:hAnsi="Arial"/>
          <w:sz w:val="14"/>
          <w:szCs w:val="14"/>
          <w:b w:val="1"/>
          <w:bCs w:val="1"/>
          <w:color w:val="auto"/>
        </w:rPr>
        <w:t>FINANCIAL INSTRUMENT</w:t>
      </w:r>
      <w:r>
        <w:rPr>
          <w:sz w:val="20"/>
          <w:szCs w:val="20"/>
          <w:color w:val="auto"/>
        </w:rPr>
        <w:tab/>
      </w:r>
      <w:r>
        <w:rPr>
          <w:rFonts w:ascii="Arial" w:cs="Arial" w:eastAsia="Arial" w:hAnsi="Arial"/>
          <w:sz w:val="14"/>
          <w:szCs w:val="14"/>
          <w:b w:val="1"/>
          <w:bCs w:val="1"/>
          <w:color w:val="auto"/>
        </w:rPr>
        <w:t>METHODS AND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3086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81" w:lineRule="exact"/>
        <w:rPr>
          <w:sz w:val="20"/>
          <w:szCs w:val="20"/>
          <w:color w:val="auto"/>
        </w:rPr>
      </w:pPr>
    </w:p>
    <w:p>
      <w:pPr>
        <w:ind w:left="20"/>
        <w:spacing w:after="0" w:line="293" w:lineRule="auto"/>
        <w:rPr>
          <w:sz w:val="20"/>
          <w:szCs w:val="20"/>
          <w:color w:val="auto"/>
        </w:rPr>
      </w:pPr>
      <w:r>
        <w:rPr>
          <w:rFonts w:ascii="Arial" w:cs="Arial" w:eastAsia="Arial" w:hAnsi="Arial"/>
          <w:sz w:val="16"/>
          <w:szCs w:val="16"/>
          <w:color w:val="auto"/>
        </w:rPr>
        <w:t>Fixed income funds and Money market funds</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color w:val="auto"/>
        </w:rPr>
        <w:t>Carrying value approximates fair value because maturities are less than three months.</w:t>
      </w:r>
    </w:p>
    <w:p>
      <w:pPr>
        <w:spacing w:after="0" w:line="311" w:lineRule="exact"/>
        <w:rPr>
          <w:sz w:val="20"/>
          <w:szCs w:val="20"/>
          <w:color w:val="auto"/>
        </w:rPr>
      </w:pPr>
    </w:p>
    <w:p>
      <w:pPr>
        <w:sectPr>
          <w:pgSz w:w="11900" w:h="16838" w:orient="portrait"/>
          <w:cols w:equalWidth="0" w:num="2">
            <w:col w:w="2080" w:space="380"/>
            <w:col w:w="8780"/>
          </w:cols>
          <w:pgMar w:left="320" w:top="121" w:right="339" w:bottom="1440" w:gutter="0" w:footer="0" w:header="0"/>
          <w:type w:val="continuous"/>
        </w:sectPr>
      </w:pPr>
    </w:p>
    <w:p>
      <w:pPr>
        <w:ind w:left="20"/>
        <w:spacing w:after="0"/>
        <w:tabs>
          <w:tab w:leader="none" w:pos="2440" w:val="left"/>
        </w:tabs>
        <w:rPr>
          <w:sz w:val="20"/>
          <w:szCs w:val="20"/>
          <w:color w:val="auto"/>
        </w:rPr>
      </w:pPr>
      <w:r>
        <w:rPr>
          <w:rFonts w:ascii="Arial" w:cs="Arial" w:eastAsia="Arial" w:hAnsi="Arial"/>
          <w:sz w:val="16"/>
          <w:szCs w:val="16"/>
          <w:color w:val="auto"/>
        </w:rPr>
        <w:t>Derivative instruments</w:t>
      </w:r>
      <w:r>
        <w:rPr>
          <w:sz w:val="20"/>
          <w:szCs w:val="20"/>
          <w:color w:val="auto"/>
        </w:rPr>
        <w:tab/>
      </w:r>
      <w:r>
        <w:rPr>
          <w:rFonts w:ascii="Arial" w:cs="Arial" w:eastAsia="Arial" w:hAnsi="Arial"/>
          <w:sz w:val="14"/>
          <w:szCs w:val="14"/>
          <w:color w:val="auto"/>
        </w:rPr>
        <w:t>The Company’s derivative instruments include interest rate swaps. Fair value measurements are based on the contractual terms of the</w:t>
      </w:r>
    </w:p>
    <w:p>
      <w:pPr>
        <w:spacing w:after="0" w:line="22" w:lineRule="exact"/>
        <w:rPr>
          <w:sz w:val="20"/>
          <w:szCs w:val="20"/>
          <w:color w:val="auto"/>
        </w:rPr>
      </w:pPr>
    </w:p>
    <w:p>
      <w:pPr>
        <w:ind w:left="2460"/>
        <w:spacing w:after="0"/>
        <w:rPr>
          <w:sz w:val="20"/>
          <w:szCs w:val="20"/>
          <w:color w:val="auto"/>
        </w:rPr>
      </w:pPr>
      <w:r>
        <w:rPr>
          <w:rFonts w:ascii="Arial" w:cs="Arial" w:eastAsia="Arial" w:hAnsi="Arial"/>
          <w:sz w:val="14"/>
          <w:szCs w:val="14"/>
          <w:color w:val="auto"/>
        </w:rPr>
        <w:t>derivatives and use observable market-based inputs. The interest rate swaps are valued using a discounted cash flow analysis on the</w:t>
      </w:r>
    </w:p>
    <w:p>
      <w:pPr>
        <w:spacing w:after="0" w:line="42"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expected cash flows of each derivative using observable inputs including interest rate curves and credit spreads. The Company also</w:t>
      </w:r>
    </w:p>
    <w:p>
      <w:pPr>
        <w:spacing w:after="0" w:line="19" w:lineRule="exact"/>
        <w:rPr>
          <w:sz w:val="20"/>
          <w:szCs w:val="20"/>
          <w:color w:val="auto"/>
        </w:rPr>
      </w:pPr>
    </w:p>
    <w:p>
      <w:pPr>
        <w:ind w:left="2460"/>
        <w:spacing w:after="0"/>
        <w:rPr>
          <w:sz w:val="20"/>
          <w:szCs w:val="20"/>
          <w:color w:val="auto"/>
        </w:rPr>
      </w:pPr>
      <w:r>
        <w:rPr>
          <w:rFonts w:ascii="Arial" w:cs="Arial" w:eastAsia="Arial" w:hAnsi="Arial"/>
          <w:sz w:val="15"/>
          <w:szCs w:val="15"/>
          <w:color w:val="auto"/>
        </w:rPr>
        <w:t>considers its own nonperformance risk and the respective counterparty’s nonperformance risk in the fair value measurements. As of</w:t>
      </w:r>
    </w:p>
    <w:p>
      <w:pPr>
        <w:spacing w:after="0" w:line="30" w:lineRule="exact"/>
        <w:rPr>
          <w:sz w:val="20"/>
          <w:szCs w:val="20"/>
          <w:color w:val="auto"/>
        </w:rPr>
      </w:pPr>
    </w:p>
    <w:p>
      <w:pPr>
        <w:ind w:left="2460"/>
        <w:spacing w:after="0"/>
        <w:rPr>
          <w:sz w:val="20"/>
          <w:szCs w:val="20"/>
          <w:color w:val="auto"/>
        </w:rPr>
      </w:pPr>
      <w:r>
        <w:rPr>
          <w:rFonts w:ascii="Arial" w:cs="Arial" w:eastAsia="Arial" w:hAnsi="Arial"/>
          <w:sz w:val="15"/>
          <w:szCs w:val="15"/>
          <w:color w:val="auto"/>
        </w:rPr>
        <w:t>June 28, 2020 and December 29, 2019, the Company has determined that the credit valuation adjustments are not significant to the</w:t>
      </w:r>
    </w:p>
    <w:p>
      <w:pPr>
        <w:spacing w:after="0" w:line="30" w:lineRule="exact"/>
        <w:rPr>
          <w:sz w:val="20"/>
          <w:szCs w:val="20"/>
          <w:color w:val="auto"/>
        </w:rPr>
      </w:pPr>
    </w:p>
    <w:p>
      <w:pPr>
        <w:ind w:left="2460"/>
        <w:spacing w:after="0"/>
        <w:rPr>
          <w:sz w:val="20"/>
          <w:szCs w:val="20"/>
          <w:color w:val="auto"/>
        </w:rPr>
      </w:pPr>
      <w:r>
        <w:rPr>
          <w:rFonts w:ascii="Arial" w:cs="Arial" w:eastAsia="Arial" w:hAnsi="Arial"/>
          <w:sz w:val="16"/>
          <w:szCs w:val="16"/>
          <w:color w:val="auto"/>
        </w:rPr>
        <w:t>overall valuation of its derivatives.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348" w:lineRule="exact"/>
        <w:rPr>
          <w:sz w:val="20"/>
          <w:szCs w:val="20"/>
          <w:color w:val="auto"/>
        </w:rPr>
      </w:pPr>
    </w:p>
    <w:p>
      <w:pPr>
        <w:jc w:val="both"/>
        <w:spacing w:after="0" w:line="263" w:lineRule="auto"/>
        <w:rPr>
          <w:sz w:val="20"/>
          <w:szCs w:val="20"/>
          <w:color w:val="auto"/>
        </w:rPr>
      </w:pPr>
      <w:r>
        <w:rPr>
          <w:rFonts w:ascii="Arial" w:cs="Arial" w:eastAsia="Arial" w:hAnsi="Arial"/>
          <w:sz w:val="19"/>
          <w:szCs w:val="19"/>
          <w:i w:val="1"/>
          <w:iCs w:val="1"/>
          <w:color w:val="auto"/>
        </w:rPr>
        <w:t xml:space="preserve">Fair Value Measurements on a Nonrecurring Basis - </w:t>
      </w:r>
      <w:r>
        <w:rPr>
          <w:rFonts w:ascii="Arial" w:cs="Arial" w:eastAsia="Arial" w:hAnsi="Arial"/>
          <w:sz w:val="19"/>
          <w:szCs w:val="19"/>
          <w:color w:val="auto"/>
        </w:rPr>
        <w:t>Assets and liabilities that are measured at fair value on a nonrecurring basis relate</w:t>
      </w:r>
      <w:r>
        <w:rPr>
          <w:rFonts w:ascii="Arial" w:cs="Arial" w:eastAsia="Arial" w:hAnsi="Arial"/>
          <w:sz w:val="19"/>
          <w:szCs w:val="19"/>
          <w:i w:val="1"/>
          <w:iCs w:val="1"/>
          <w:color w:val="auto"/>
        </w:rPr>
        <w:t xml:space="preserve"> </w:t>
      </w:r>
      <w:r>
        <w:rPr>
          <w:rFonts w:ascii="Arial" w:cs="Arial" w:eastAsia="Arial" w:hAnsi="Arial"/>
          <w:sz w:val="19"/>
          <w:szCs w:val="19"/>
          <w:color w:val="auto"/>
        </w:rPr>
        <w:t>primarily to property, fixtures and equipment, operating lease right-of-use assets, goodwill and other intangible assets, which are remeasured when carrying value exceeds fair value. Carrying value after impairment approximates fair value. The following table summarizes the Company’s assets measured at fair value by hierarchy level on a nonrecurring basis, for the periods indicated: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4"/>
                <w:szCs w:val="14"/>
                <w:b w:val="1"/>
                <w:bCs w:val="1"/>
                <w:color w:val="auto"/>
              </w:rPr>
              <w:t>THIRTEEN WEEKS ENDED</w:t>
            </w: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4"/>
          </w:tcPr>
          <w:p>
            <w:pPr>
              <w:jc w:val="right"/>
              <w:ind w:right="843"/>
              <w:spacing w:after="0"/>
              <w:rPr>
                <w:sz w:val="20"/>
                <w:szCs w:val="20"/>
                <w:color w:val="auto"/>
              </w:rPr>
            </w:pPr>
            <w:r>
              <w:rPr>
                <w:rFonts w:ascii="Arial" w:cs="Arial" w:eastAsia="Arial" w:hAnsi="Arial"/>
                <w:sz w:val="14"/>
                <w:szCs w:val="14"/>
                <w:b w:val="1"/>
                <w:bCs w:val="1"/>
                <w:color w:val="auto"/>
              </w:rPr>
              <w:t>JUNE 28, 2020</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4"/>
          </w:tcPr>
          <w:p>
            <w:pPr>
              <w:jc w:val="right"/>
              <w:ind w:right="822"/>
              <w:spacing w:after="0"/>
              <w:rPr>
                <w:sz w:val="20"/>
                <w:szCs w:val="20"/>
                <w:color w:val="auto"/>
              </w:rPr>
            </w:pPr>
            <w:r>
              <w:rPr>
                <w:rFonts w:ascii="Arial" w:cs="Arial" w:eastAsia="Arial" w:hAnsi="Arial"/>
                <w:sz w:val="14"/>
                <w:szCs w:val="14"/>
                <w:b w:val="1"/>
                <w:bCs w:val="1"/>
                <w:color w:val="auto"/>
              </w:rPr>
              <w:t>JUNE 30, 2019</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6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13"/>
                <w:szCs w:val="13"/>
                <w:color w:val="auto"/>
              </w:rPr>
            </w:pPr>
          </w:p>
        </w:tc>
        <w:tc>
          <w:tcPr>
            <w:tcW w:w="12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3"/>
                <w:szCs w:val="13"/>
                <w:color w:val="auto"/>
              </w:rPr>
            </w:pPr>
          </w:p>
        </w:tc>
        <w:tc>
          <w:tcPr>
            <w:tcW w:w="12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3"/>
                <w:szCs w:val="13"/>
                <w:color w:val="auto"/>
              </w:rPr>
            </w:pPr>
          </w:p>
        </w:tc>
        <w:tc>
          <w:tcPr>
            <w:tcW w:w="12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3"/>
                <w:szCs w:val="13"/>
                <w:color w:val="auto"/>
              </w:rPr>
            </w:pPr>
          </w:p>
        </w:tc>
        <w:tc>
          <w:tcPr>
            <w:tcW w:w="1160" w:type="dxa"/>
            <w:vAlign w:val="bottom"/>
          </w:tcPr>
          <w:p>
            <w:pPr>
              <w:jc w:val="center"/>
              <w:ind w:right="62"/>
              <w:spacing w:after="0" w:line="153"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6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VALUE</w:t>
            </w:r>
          </w:p>
        </w:tc>
        <w:tc>
          <w:tcPr>
            <w:tcW w:w="1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IMPAIRMENT</w:t>
            </w:r>
          </w:p>
        </w:tc>
        <w:tc>
          <w:tcPr>
            <w:tcW w:w="18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VALUE</w:t>
            </w:r>
          </w:p>
        </w:tc>
        <w:tc>
          <w:tcPr>
            <w:tcW w:w="140" w:type="dxa"/>
            <w:vAlign w:val="bottom"/>
          </w:tcPr>
          <w:p>
            <w:pPr>
              <w:spacing w:after="0"/>
              <w:rPr>
                <w:sz w:val="16"/>
                <w:szCs w:val="16"/>
                <w:color w:val="auto"/>
              </w:rPr>
            </w:pPr>
          </w:p>
        </w:tc>
        <w:tc>
          <w:tcPr>
            <w:tcW w:w="1160" w:type="dxa"/>
            <w:vAlign w:val="bottom"/>
          </w:tcPr>
          <w:p>
            <w:pPr>
              <w:jc w:val="center"/>
              <w:ind w:right="62"/>
              <w:spacing w:after="0"/>
              <w:rPr>
                <w:sz w:val="20"/>
                <w:szCs w:val="20"/>
                <w:color w:val="auto"/>
              </w:rPr>
            </w:pPr>
            <w:r>
              <w:rPr>
                <w:rFonts w:ascii="Arial" w:cs="Arial" w:eastAsia="Arial" w:hAnsi="Arial"/>
                <w:sz w:val="14"/>
                <w:szCs w:val="14"/>
                <w:b w:val="1"/>
                <w:bCs w:val="1"/>
                <w:color w:val="auto"/>
              </w:rPr>
              <w:t>IMPAIRMENT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 xml:space="preserve">Operating lease right-of-use assets </w:t>
            </w:r>
            <w:r>
              <w:rPr>
                <w:rFonts w:ascii="Arial" w:cs="Arial" w:eastAsia="Arial" w:hAnsi="Arial"/>
                <w:sz w:val="14"/>
                <w:szCs w:val="14"/>
                <w:color w:val="auto"/>
              </w:rPr>
              <w:t>(1)</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6"/>
                <w:szCs w:val="16"/>
                <w:color w:val="auto"/>
              </w:rPr>
              <w:t>32,404</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6"/>
                <w:szCs w:val="16"/>
                <w:color w:val="auto"/>
              </w:rPr>
              <w:t>4,028</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6"/>
                <w:szCs w:val="16"/>
                <w:color w:val="auto"/>
              </w:rPr>
              <w:t>114</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1,770</w:t>
            </w: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5640" w:type="dxa"/>
            <w:vAlign w:val="bottom"/>
          </w:tcPr>
          <w:p>
            <w:pPr>
              <w:ind w:left="20"/>
              <w:spacing w:after="0"/>
              <w:rPr>
                <w:sz w:val="20"/>
                <w:szCs w:val="20"/>
                <w:color w:val="auto"/>
              </w:rPr>
            </w:pPr>
            <w:r>
              <w:rPr>
                <w:rFonts w:ascii="Arial" w:cs="Arial" w:eastAsia="Arial" w:hAnsi="Arial"/>
                <w:sz w:val="16"/>
                <w:szCs w:val="16"/>
                <w:color w:val="auto"/>
              </w:rPr>
              <w:t xml:space="preserve">Property, fixtures and equipment </w:t>
            </w:r>
            <w:r>
              <w:rPr>
                <w:rFonts w:ascii="Arial" w:cs="Arial" w:eastAsia="Arial" w:hAnsi="Arial"/>
                <w:sz w:val="14"/>
                <w:szCs w:val="14"/>
                <w:color w:val="auto"/>
              </w:rPr>
              <w:t>(2)</w:t>
            </w:r>
          </w:p>
        </w:tc>
        <w:tc>
          <w:tcPr>
            <w:tcW w:w="180" w:type="dxa"/>
            <w:vAlign w:val="bottom"/>
          </w:tcPr>
          <w:p>
            <w:pPr>
              <w:spacing w:after="0"/>
              <w:rPr>
                <w:sz w:val="22"/>
                <w:szCs w:val="22"/>
                <w:color w:val="auto"/>
              </w:rPr>
            </w:pPr>
          </w:p>
        </w:tc>
        <w:tc>
          <w:tcPr>
            <w:tcW w:w="1140" w:type="dxa"/>
            <w:vAlign w:val="bottom"/>
          </w:tcPr>
          <w:p>
            <w:pPr>
              <w:jc w:val="right"/>
              <w:ind w:right="83"/>
              <w:spacing w:after="0"/>
              <w:rPr>
                <w:sz w:val="20"/>
                <w:szCs w:val="20"/>
                <w:color w:val="auto"/>
              </w:rPr>
            </w:pPr>
            <w:r>
              <w:rPr>
                <w:rFonts w:ascii="Arial" w:cs="Arial" w:eastAsia="Arial" w:hAnsi="Arial"/>
                <w:sz w:val="16"/>
                <w:szCs w:val="16"/>
                <w:color w:val="auto"/>
              </w:rPr>
              <w:t>9,992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Pr>
          <w:p>
            <w:pPr>
              <w:jc w:val="right"/>
              <w:ind w:right="83"/>
              <w:spacing w:after="0"/>
              <w:rPr>
                <w:sz w:val="20"/>
                <w:szCs w:val="20"/>
                <w:color w:val="auto"/>
              </w:rPr>
            </w:pPr>
            <w:r>
              <w:rPr>
                <w:rFonts w:ascii="Arial" w:cs="Arial" w:eastAsia="Arial" w:hAnsi="Arial"/>
                <w:sz w:val="16"/>
                <w:szCs w:val="16"/>
                <w:color w:val="auto"/>
              </w:rPr>
              <w:t>19,595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jc w:val="right"/>
              <w:ind w:right="63"/>
              <w:spacing w:after="0"/>
              <w:rPr>
                <w:sz w:val="20"/>
                <w:szCs w:val="20"/>
                <w:color w:val="auto"/>
              </w:rPr>
            </w:pPr>
            <w:r>
              <w:rPr>
                <w:rFonts w:ascii="Arial" w:cs="Arial" w:eastAsia="Arial" w:hAnsi="Arial"/>
                <w:sz w:val="16"/>
                <w:szCs w:val="16"/>
                <w:color w:val="auto"/>
              </w:rPr>
              <w:t>466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tcPr>
          <w:p>
            <w:pPr>
              <w:jc w:val="right"/>
              <w:ind w:right="62"/>
              <w:spacing w:after="0"/>
              <w:rPr>
                <w:sz w:val="20"/>
                <w:szCs w:val="20"/>
                <w:color w:val="auto"/>
              </w:rPr>
            </w:pPr>
            <w:r>
              <w:rPr>
                <w:rFonts w:ascii="Arial" w:cs="Arial" w:eastAsia="Arial" w:hAnsi="Arial"/>
                <w:sz w:val="16"/>
                <w:szCs w:val="16"/>
                <w:color w:val="auto"/>
              </w:rPr>
              <w:t>162</w:t>
            </w: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5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 and other assets (3)</w:t>
            </w: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748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295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tcBorders>
              <w:top w:val="single" w:sz="8" w:color="CCEEFF"/>
            </w:tcBorders>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ind w:right="83"/>
              <w:spacing w:after="0"/>
              <w:rPr>
                <w:sz w:val="20"/>
                <w:szCs w:val="20"/>
                <w:color w:val="auto"/>
              </w:rPr>
            </w:pPr>
            <w:r>
              <w:rPr>
                <w:rFonts w:ascii="Arial" w:cs="Arial" w:eastAsia="Arial" w:hAnsi="Arial"/>
                <w:sz w:val="16"/>
                <w:szCs w:val="16"/>
                <w:color w:val="auto"/>
              </w:rPr>
              <w:t>43,144</w:t>
            </w: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ind w:right="83"/>
              <w:spacing w:after="0"/>
              <w:rPr>
                <w:sz w:val="20"/>
                <w:szCs w:val="20"/>
                <w:color w:val="auto"/>
              </w:rPr>
            </w:pPr>
            <w:r>
              <w:rPr>
                <w:rFonts w:ascii="Arial" w:cs="Arial" w:eastAsia="Arial" w:hAnsi="Arial"/>
                <w:sz w:val="16"/>
                <w:szCs w:val="16"/>
                <w:color w:val="auto"/>
              </w:rPr>
              <w:t>23,918</w:t>
            </w: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63"/>
              <w:spacing w:after="0"/>
              <w:rPr>
                <w:sz w:val="20"/>
                <w:szCs w:val="20"/>
                <w:color w:val="auto"/>
              </w:rPr>
            </w:pPr>
            <w:r>
              <w:rPr>
                <w:rFonts w:ascii="Arial" w:cs="Arial" w:eastAsia="Arial" w:hAnsi="Arial"/>
                <w:sz w:val="16"/>
                <w:szCs w:val="16"/>
                <w:color w:val="auto"/>
              </w:rPr>
              <w:t>580</w:t>
            </w:r>
          </w:p>
        </w:tc>
        <w:tc>
          <w:tcPr>
            <w:tcW w:w="120" w:type="dxa"/>
            <w:vAlign w:val="bottom"/>
            <w:tcBorders>
              <w:top w:val="single" w:sz="8" w:color="CCEEFF"/>
            </w:tcBorders>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62"/>
              <w:spacing w:after="0"/>
              <w:rPr>
                <w:sz w:val="20"/>
                <w:szCs w:val="20"/>
                <w:color w:val="auto"/>
              </w:rPr>
            </w:pPr>
            <w:r>
              <w:rPr>
                <w:rFonts w:ascii="Arial" w:cs="Arial" w:eastAsia="Arial" w:hAnsi="Arial"/>
                <w:sz w:val="16"/>
                <w:szCs w:val="16"/>
                <w:color w:val="auto"/>
              </w:rPr>
              <w:t>1,932</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56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4"/>
                <w:szCs w:val="14"/>
                <w:b w:val="1"/>
                <w:bCs w:val="1"/>
                <w:color w:val="auto"/>
              </w:rPr>
              <w:t>TWENTY-SIX WEEKS ENDED</w:t>
            </w: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4"/>
          </w:tcPr>
          <w:p>
            <w:pPr>
              <w:jc w:val="right"/>
              <w:ind w:right="843"/>
              <w:spacing w:after="0"/>
              <w:rPr>
                <w:sz w:val="20"/>
                <w:szCs w:val="20"/>
                <w:color w:val="auto"/>
              </w:rPr>
            </w:pPr>
            <w:r>
              <w:rPr>
                <w:rFonts w:ascii="Arial" w:cs="Arial" w:eastAsia="Arial" w:hAnsi="Arial"/>
                <w:sz w:val="14"/>
                <w:szCs w:val="14"/>
                <w:b w:val="1"/>
                <w:bCs w:val="1"/>
                <w:color w:val="auto"/>
              </w:rPr>
              <w:t>JUNE 28, 2020</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4"/>
          </w:tcPr>
          <w:p>
            <w:pPr>
              <w:jc w:val="right"/>
              <w:ind w:right="822"/>
              <w:spacing w:after="0"/>
              <w:rPr>
                <w:sz w:val="20"/>
                <w:szCs w:val="20"/>
                <w:color w:val="auto"/>
              </w:rPr>
            </w:pPr>
            <w:r>
              <w:rPr>
                <w:rFonts w:ascii="Arial" w:cs="Arial" w:eastAsia="Arial" w:hAnsi="Arial"/>
                <w:sz w:val="14"/>
                <w:szCs w:val="14"/>
                <w:b w:val="1"/>
                <w:bCs w:val="1"/>
                <w:color w:val="auto"/>
              </w:rPr>
              <w:t>JUNE 30, 2019</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3"/>
                <w:szCs w:val="13"/>
                <w:color w:val="auto"/>
              </w:rPr>
            </w:pPr>
          </w:p>
        </w:tc>
        <w:tc>
          <w:tcPr>
            <w:tcW w:w="12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3"/>
                <w:szCs w:val="13"/>
                <w:color w:val="auto"/>
              </w:rPr>
            </w:pPr>
          </w:p>
        </w:tc>
        <w:tc>
          <w:tcPr>
            <w:tcW w:w="12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3"/>
                <w:szCs w:val="13"/>
                <w:color w:val="auto"/>
              </w:rPr>
            </w:pPr>
          </w:p>
        </w:tc>
        <w:tc>
          <w:tcPr>
            <w:tcW w:w="1160" w:type="dxa"/>
            <w:vAlign w:val="bottom"/>
          </w:tcPr>
          <w:p>
            <w:pPr>
              <w:jc w:val="center"/>
              <w:ind w:right="62"/>
              <w:spacing w:after="0" w:line="153"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64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17"/>
                <w:szCs w:val="17"/>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VALUE</w:t>
            </w:r>
          </w:p>
        </w:tc>
        <w:tc>
          <w:tcPr>
            <w:tcW w:w="14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IMPAIRMENT</w:t>
            </w:r>
          </w:p>
        </w:tc>
        <w:tc>
          <w:tcPr>
            <w:tcW w:w="180" w:type="dxa"/>
            <w:vAlign w:val="bottom"/>
          </w:tcPr>
          <w:p>
            <w:pPr>
              <w:spacing w:after="0"/>
              <w:rPr>
                <w:sz w:val="17"/>
                <w:szCs w:val="17"/>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VALUE</w:t>
            </w:r>
          </w:p>
        </w:tc>
        <w:tc>
          <w:tcPr>
            <w:tcW w:w="140" w:type="dxa"/>
            <w:vAlign w:val="bottom"/>
          </w:tcPr>
          <w:p>
            <w:pPr>
              <w:spacing w:after="0"/>
              <w:rPr>
                <w:sz w:val="17"/>
                <w:szCs w:val="17"/>
                <w:color w:val="auto"/>
              </w:rPr>
            </w:pPr>
          </w:p>
        </w:tc>
        <w:tc>
          <w:tcPr>
            <w:tcW w:w="1160" w:type="dxa"/>
            <w:vAlign w:val="bottom"/>
          </w:tcPr>
          <w:p>
            <w:pPr>
              <w:jc w:val="center"/>
              <w:ind w:right="62"/>
              <w:spacing w:after="0"/>
              <w:rPr>
                <w:sz w:val="20"/>
                <w:szCs w:val="20"/>
                <w:color w:val="auto"/>
              </w:rPr>
            </w:pPr>
            <w:r>
              <w:rPr>
                <w:rFonts w:ascii="Arial" w:cs="Arial" w:eastAsia="Arial" w:hAnsi="Arial"/>
                <w:sz w:val="14"/>
                <w:szCs w:val="14"/>
                <w:b w:val="1"/>
                <w:bCs w:val="1"/>
                <w:color w:val="auto"/>
              </w:rPr>
              <w:t>IMPAIRMENT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 xml:space="preserve">Assets held for sale </w:t>
            </w:r>
            <w:r>
              <w:rPr>
                <w:rFonts w:ascii="Arial" w:cs="Arial" w:eastAsia="Arial" w:hAnsi="Arial"/>
                <w:sz w:val="14"/>
                <w:szCs w:val="14"/>
                <w:color w:val="auto"/>
              </w:rPr>
              <w:t>(4)</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6"/>
                <w:szCs w:val="16"/>
                <w:color w:val="auto"/>
              </w:rPr>
              <w:t>1,182</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6"/>
                <w:szCs w:val="16"/>
                <w:color w:val="auto"/>
              </w:rPr>
              <w:t>75</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6"/>
                <w:szCs w:val="16"/>
                <w:color w:val="auto"/>
              </w:rPr>
              <w:t>2,149</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215</w:t>
            </w: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5640" w:type="dxa"/>
            <w:vAlign w:val="bottom"/>
          </w:tcPr>
          <w:p>
            <w:pPr>
              <w:ind w:left="20"/>
              <w:spacing w:after="0"/>
              <w:rPr>
                <w:sz w:val="20"/>
                <w:szCs w:val="20"/>
                <w:color w:val="auto"/>
              </w:rPr>
            </w:pPr>
            <w:r>
              <w:rPr>
                <w:rFonts w:ascii="Arial" w:cs="Arial" w:eastAsia="Arial" w:hAnsi="Arial"/>
                <w:sz w:val="16"/>
                <w:szCs w:val="16"/>
                <w:color w:val="auto"/>
              </w:rPr>
              <w:t xml:space="preserve">Operating lease right-of-use assets </w:t>
            </w:r>
            <w:r>
              <w:rPr>
                <w:rFonts w:ascii="Arial" w:cs="Arial" w:eastAsia="Arial" w:hAnsi="Arial"/>
                <w:sz w:val="14"/>
                <w:szCs w:val="14"/>
                <w:color w:val="auto"/>
              </w:rPr>
              <w:t>(1)</w:t>
            </w:r>
          </w:p>
        </w:tc>
        <w:tc>
          <w:tcPr>
            <w:tcW w:w="180" w:type="dxa"/>
            <w:vAlign w:val="bottom"/>
          </w:tcPr>
          <w:p>
            <w:pPr>
              <w:spacing w:after="0"/>
              <w:rPr>
                <w:sz w:val="22"/>
                <w:szCs w:val="22"/>
                <w:color w:val="auto"/>
              </w:rPr>
            </w:pPr>
          </w:p>
        </w:tc>
        <w:tc>
          <w:tcPr>
            <w:tcW w:w="1140" w:type="dxa"/>
            <w:vAlign w:val="bottom"/>
          </w:tcPr>
          <w:p>
            <w:pPr>
              <w:jc w:val="right"/>
              <w:ind w:right="83"/>
              <w:spacing w:after="0"/>
              <w:rPr>
                <w:sz w:val="20"/>
                <w:szCs w:val="20"/>
                <w:color w:val="auto"/>
              </w:rPr>
            </w:pPr>
            <w:r>
              <w:rPr>
                <w:rFonts w:ascii="Arial" w:cs="Arial" w:eastAsia="Arial" w:hAnsi="Arial"/>
                <w:sz w:val="16"/>
                <w:szCs w:val="16"/>
                <w:color w:val="auto"/>
              </w:rPr>
              <w:t>85,537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Pr>
          <w:p>
            <w:pPr>
              <w:jc w:val="right"/>
              <w:ind w:right="83"/>
              <w:spacing w:after="0"/>
              <w:rPr>
                <w:sz w:val="20"/>
                <w:szCs w:val="20"/>
                <w:color w:val="auto"/>
              </w:rPr>
            </w:pPr>
            <w:r>
              <w:rPr>
                <w:rFonts w:ascii="Arial" w:cs="Arial" w:eastAsia="Arial" w:hAnsi="Arial"/>
                <w:sz w:val="16"/>
                <w:szCs w:val="16"/>
                <w:color w:val="auto"/>
              </w:rPr>
              <w:t>23,591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jc w:val="right"/>
              <w:ind w:right="63"/>
              <w:spacing w:after="0"/>
              <w:rPr>
                <w:sz w:val="20"/>
                <w:szCs w:val="20"/>
                <w:color w:val="auto"/>
              </w:rPr>
            </w:pPr>
            <w:r>
              <w:rPr>
                <w:rFonts w:ascii="Arial" w:cs="Arial" w:eastAsia="Arial" w:hAnsi="Arial"/>
                <w:sz w:val="16"/>
                <w:szCs w:val="16"/>
                <w:color w:val="auto"/>
              </w:rPr>
              <w:t>2,356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tcPr>
          <w:p>
            <w:pPr>
              <w:jc w:val="right"/>
              <w:ind w:right="62"/>
              <w:spacing w:after="0"/>
              <w:rPr>
                <w:sz w:val="20"/>
                <w:szCs w:val="20"/>
                <w:color w:val="auto"/>
              </w:rPr>
            </w:pPr>
            <w:r>
              <w:rPr>
                <w:rFonts w:ascii="Arial" w:cs="Arial" w:eastAsia="Arial" w:hAnsi="Arial"/>
                <w:sz w:val="16"/>
                <w:szCs w:val="16"/>
                <w:color w:val="auto"/>
              </w:rPr>
              <w:t>2,366</w:t>
            </w: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5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Property, fixtures and equipment </w:t>
            </w:r>
            <w:r>
              <w:rPr>
                <w:rFonts w:ascii="Arial" w:cs="Arial" w:eastAsia="Arial" w:hAnsi="Arial"/>
                <w:sz w:val="14"/>
                <w:szCs w:val="14"/>
                <w:color w:val="auto"/>
              </w:rPr>
              <w:t>(2)</w:t>
            </w: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28,390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37,993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956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2,833</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640" w:type="dxa"/>
            <w:vAlign w:val="bottom"/>
          </w:tcPr>
          <w:p>
            <w:pPr>
              <w:ind w:left="20"/>
              <w:spacing w:after="0"/>
              <w:rPr>
                <w:sz w:val="20"/>
                <w:szCs w:val="20"/>
                <w:color w:val="auto"/>
              </w:rPr>
            </w:pPr>
            <w:r>
              <w:rPr>
                <w:rFonts w:ascii="Arial" w:cs="Arial" w:eastAsia="Arial" w:hAnsi="Arial"/>
                <w:sz w:val="16"/>
                <w:szCs w:val="16"/>
                <w:color w:val="auto"/>
              </w:rPr>
              <w:t>Goodwill and other assets (3)</w:t>
            </w:r>
          </w:p>
        </w:tc>
        <w:tc>
          <w:tcPr>
            <w:tcW w:w="180" w:type="dxa"/>
            <w:vAlign w:val="bottom"/>
          </w:tcPr>
          <w:p>
            <w:pPr>
              <w:spacing w:after="0"/>
              <w:rPr>
                <w:sz w:val="23"/>
                <w:szCs w:val="23"/>
                <w:color w:val="auto"/>
              </w:rPr>
            </w:pPr>
          </w:p>
        </w:tc>
        <w:tc>
          <w:tcPr>
            <w:tcW w:w="1140" w:type="dxa"/>
            <w:vAlign w:val="bottom"/>
          </w:tcPr>
          <w:p>
            <w:pPr>
              <w:jc w:val="right"/>
              <w:ind w:right="83"/>
              <w:spacing w:after="0"/>
              <w:rPr>
                <w:sz w:val="20"/>
                <w:szCs w:val="20"/>
                <w:color w:val="auto"/>
              </w:rPr>
            </w:pPr>
            <w:r>
              <w:rPr>
                <w:rFonts w:ascii="Arial" w:cs="Arial" w:eastAsia="Arial" w:hAnsi="Arial"/>
                <w:sz w:val="16"/>
                <w:szCs w:val="16"/>
                <w:color w:val="auto"/>
              </w:rPr>
              <w:t>748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jc w:val="right"/>
              <w:ind w:right="83"/>
              <w:spacing w:after="0"/>
              <w:rPr>
                <w:sz w:val="20"/>
                <w:szCs w:val="20"/>
                <w:color w:val="auto"/>
              </w:rPr>
            </w:pPr>
            <w:r>
              <w:rPr>
                <w:rFonts w:ascii="Arial" w:cs="Arial" w:eastAsia="Arial" w:hAnsi="Arial"/>
                <w:sz w:val="16"/>
                <w:szCs w:val="16"/>
                <w:color w:val="auto"/>
              </w:rPr>
              <w:t>2,683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11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56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115,857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64,342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5,461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5,414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11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660" w:type="dxa"/>
            <w:vAlign w:val="bottom"/>
            <w:gridSpan w:val="2"/>
            <w:vMerge w:val="restart"/>
          </w:tcPr>
          <w:p>
            <w:pPr>
              <w:jc w:val="right"/>
              <w:ind w:right="3961"/>
              <w:spacing w:after="0"/>
              <w:rPr>
                <w:sz w:val="20"/>
                <w:szCs w:val="20"/>
                <w:color w:val="auto"/>
              </w:rPr>
            </w:pPr>
            <w:r>
              <w:rPr>
                <w:rFonts w:ascii="Arial" w:cs="Arial" w:eastAsia="Arial" w:hAnsi="Arial"/>
                <w:sz w:val="16"/>
                <w:szCs w:val="16"/>
                <w:color w:val="auto"/>
                <w:w w:val="89"/>
              </w:rPr>
              <w:t>____________________</w:t>
            </w: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6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660" w:hanging="652"/>
        <w:spacing w:after="0" w:line="262" w:lineRule="auto"/>
        <w:tabs>
          <w:tab w:leader="none" w:pos="660" w:val="left"/>
        </w:tabs>
        <w:numPr>
          <w:ilvl w:val="0"/>
          <w:numId w:val="22"/>
        </w:numPr>
        <w:rPr>
          <w:rFonts w:ascii="Arial" w:cs="Arial" w:eastAsia="Arial" w:hAnsi="Arial"/>
          <w:sz w:val="15"/>
          <w:szCs w:val="15"/>
          <w:color w:val="auto"/>
        </w:rPr>
      </w:pPr>
      <w:r>
        <w:rPr>
          <w:rFonts w:ascii="Arial" w:cs="Arial" w:eastAsia="Arial" w:hAnsi="Arial"/>
          <w:sz w:val="15"/>
          <w:szCs w:val="15"/>
          <w:color w:val="auto"/>
        </w:rPr>
        <w:t>Carrying values measured using Level 2 inputs to estimate fair value totaled $0.2 million during the twenty-six weeks ended June 30, 2019. All other assets were valued using Level 3 inputs. Third-party market appraisals (Level 2) and discounted cash flow models (Level 3) were used to estimate fair value.</w:t>
      </w:r>
    </w:p>
    <w:p>
      <w:pPr>
        <w:spacing w:after="0" w:line="1" w:lineRule="exact"/>
        <w:rPr>
          <w:rFonts w:ascii="Arial" w:cs="Arial" w:eastAsia="Arial" w:hAnsi="Arial"/>
          <w:sz w:val="15"/>
          <w:szCs w:val="15"/>
          <w:color w:val="auto"/>
        </w:rPr>
      </w:pPr>
    </w:p>
    <w:p>
      <w:pPr>
        <w:jc w:val="both"/>
        <w:ind w:left="660" w:hanging="652"/>
        <w:spacing w:after="0" w:line="246"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Carrying values measured using Level 2 inputs to estimate fair value totaled $0.5 million and $2.2 million during the thirteen and twenty-six weeks ended June 28, 2020, respectively. All other assets were valued using Level 3 inputs. Third-party market appraisals (Level 2) and discounted cash flow models (Level 3) were used to estimate fair value.</w:t>
      </w:r>
    </w:p>
    <w:p>
      <w:pPr>
        <w:spacing w:after="0" w:line="1" w:lineRule="exact"/>
        <w:rPr>
          <w:rFonts w:ascii="Arial" w:cs="Arial" w:eastAsia="Arial" w:hAnsi="Arial"/>
          <w:sz w:val="16"/>
          <w:szCs w:val="16"/>
          <w:color w:val="auto"/>
        </w:rPr>
      </w:pPr>
    </w:p>
    <w:p>
      <w:pPr>
        <w:ind w:left="660" w:hanging="652"/>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All assets measured using the quoted market value of comparable assets (Level 2).</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Assets generally measured using third-party market appraisals or executed sales contracts (Level 2).</w:t>
      </w:r>
    </w:p>
    <w:p>
      <w:pPr>
        <w:spacing w:after="0" w:line="227"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 xml:space="preserve">See Note 4 - </w:t>
      </w:r>
      <w:r>
        <w:rPr>
          <w:rFonts w:ascii="Arial" w:cs="Arial" w:eastAsia="Arial" w:hAnsi="Arial"/>
          <w:sz w:val="19"/>
          <w:szCs w:val="19"/>
          <w:i w:val="1"/>
          <w:iCs w:val="1"/>
          <w:color w:val="auto"/>
        </w:rPr>
        <w:t>Impairments, Exit Costs and Disposals</w:t>
      </w:r>
      <w:r>
        <w:rPr>
          <w:rFonts w:ascii="Arial" w:cs="Arial" w:eastAsia="Arial" w:hAnsi="Arial"/>
          <w:sz w:val="19"/>
          <w:szCs w:val="19"/>
          <w:color w:val="auto"/>
        </w:rPr>
        <w:t xml:space="preserve"> for information regarding impairment charges resulting from the fair value measurement performed on a nonrecurring basis during the thirteen and twenty-six weeks ended June 28, 2020. Projected future cash flows, including discount rate and growth rate assumptions, are derived from current economic conditions, expectations of management and projected trends of current operating results. As a result, the Company has determined that the majority of the inputs used to value its long-lived assets held and used are unobservable inputs that fall within Level 3 of the fair value hierarchy.</w:t>
      </w:r>
    </w:p>
    <w:p>
      <w:pPr>
        <w:spacing w:after="0" w:line="207"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In assessment of impairment for operating locations, the Company determined the fair values of individual operating locations using an income approach, which required discounting projected future cash flows. When determining the stream of projected future cash flows associated with an individual operating location, management made assumptions, including highest and best use and inputs from restaurant operations, where necessary, and about key variables including the following unobservable inputs: revenue growth rates, controllable and uncontrollable expenses, and asset residual values. In order to calculate the present value of those future cash flows, the Company discounted cash flow estimates at its weighted-average cost of capital applicable to the country in which the measured assets reside.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34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following table presents quantitative information related to certain unobservable inputs used in the Company’s Level 3 fair value measurements of Operating lease right-of-use assets and Property, fixtures and equipment for the impairment losses incurred during the periods indicated: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THIRTEEN WEEKS</w:t>
            </w:r>
          </w:p>
        </w:tc>
        <w:tc>
          <w:tcPr>
            <w:tcW w:w="1700" w:type="dxa"/>
            <w:vAlign w:val="bottom"/>
            <w:gridSpan w:val="3"/>
          </w:tcPr>
          <w:p>
            <w:pPr>
              <w:jc w:val="center"/>
              <w:spacing w:after="0"/>
              <w:rPr>
                <w:sz w:val="20"/>
                <w:szCs w:val="20"/>
                <w:color w:val="auto"/>
              </w:rPr>
            </w:pPr>
            <w:r>
              <w:rPr>
                <w:rFonts w:ascii="Arial" w:cs="Arial" w:eastAsia="Arial" w:hAnsi="Arial"/>
                <w:sz w:val="14"/>
                <w:szCs w:val="14"/>
                <w:b w:val="1"/>
                <w:bCs w:val="1"/>
                <w:color w:val="auto"/>
              </w:rPr>
              <w:t>TWENTY-SIX WEEKS</w:t>
            </w:r>
          </w:p>
        </w:tc>
      </w:tr>
      <w:tr>
        <w:trPr>
          <w:trHeight w:val="186"/>
        </w:trPr>
        <w:tc>
          <w:tcPr>
            <w:tcW w:w="7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ENDED</w:t>
            </w:r>
          </w:p>
        </w:tc>
        <w:tc>
          <w:tcPr>
            <w:tcW w:w="580" w:type="dxa"/>
            <w:vAlign w:val="bottom"/>
          </w:tcPr>
          <w:p>
            <w:pPr>
              <w:spacing w:after="0"/>
              <w:rPr>
                <w:sz w:val="16"/>
                <w:szCs w:val="16"/>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rPr>
              <w:t>ENDED</w:t>
            </w:r>
          </w:p>
        </w:tc>
        <w:tc>
          <w:tcPr>
            <w:tcW w:w="580" w:type="dxa"/>
            <w:vAlign w:val="bottom"/>
          </w:tcPr>
          <w:p>
            <w:pPr>
              <w:spacing w:after="0"/>
              <w:rPr>
                <w:sz w:val="16"/>
                <w:szCs w:val="16"/>
                <w:color w:val="auto"/>
              </w:rPr>
            </w:pPr>
          </w:p>
        </w:tc>
      </w:tr>
      <w:tr>
        <w:trPr>
          <w:trHeight w:val="222"/>
        </w:trPr>
        <w:tc>
          <w:tcPr>
            <w:tcW w:w="7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UNOBSERVABLE INPUTS</w:t>
            </w:r>
          </w:p>
        </w:tc>
        <w:tc>
          <w:tcPr>
            <w:tcW w:w="14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JUNE 28, 2020</w:t>
            </w:r>
          </w:p>
        </w:tc>
        <w:tc>
          <w:tcPr>
            <w:tcW w:w="10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JUNE 28, 2020</w:t>
            </w:r>
          </w:p>
        </w:tc>
      </w:tr>
      <w:tr>
        <w:trPr>
          <w:trHeight w:val="237"/>
        </w:trPr>
        <w:tc>
          <w:tcPr>
            <w:tcW w:w="7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Weighted-average cost of capital</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8"/>
              </w:rPr>
              <w:t>10.9%</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to</w:t>
            </w:r>
          </w:p>
        </w:tc>
        <w:tc>
          <w:tcPr>
            <w:tcW w:w="5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92"/>
              </w:rPr>
              <w:t>10.9%</w:t>
            </w:r>
          </w:p>
        </w:tc>
      </w:tr>
      <w:tr>
        <w:trPr>
          <w:trHeight w:val="223"/>
        </w:trPr>
        <w:tc>
          <w:tcPr>
            <w:tcW w:w="7720" w:type="dxa"/>
            <w:vAlign w:val="bottom"/>
            <w:gridSpan w:val="2"/>
          </w:tcPr>
          <w:p>
            <w:pPr>
              <w:ind w:left="20"/>
              <w:spacing w:after="0"/>
              <w:rPr>
                <w:sz w:val="20"/>
                <w:szCs w:val="20"/>
                <w:color w:val="auto"/>
              </w:rPr>
            </w:pPr>
            <w:r>
              <w:rPr>
                <w:rFonts w:ascii="Arial" w:cs="Arial" w:eastAsia="Arial" w:hAnsi="Arial"/>
                <w:sz w:val="16"/>
                <w:szCs w:val="16"/>
                <w:color w:val="auto"/>
              </w:rPr>
              <w:t>Long-term growth rate</w:t>
            </w:r>
          </w:p>
        </w:tc>
        <w:tc>
          <w:tcPr>
            <w:tcW w:w="1820" w:type="dxa"/>
            <w:vAlign w:val="bottom"/>
            <w:gridSpan w:val="2"/>
          </w:tcPr>
          <w:p>
            <w:pPr>
              <w:jc w:val="center"/>
              <w:ind w:right="100"/>
              <w:spacing w:after="0"/>
              <w:rPr>
                <w:sz w:val="20"/>
                <w:szCs w:val="20"/>
                <w:color w:val="auto"/>
              </w:rPr>
            </w:pPr>
            <w:r>
              <w:rPr>
                <w:rFonts w:ascii="Arial" w:cs="Arial" w:eastAsia="Arial" w:hAnsi="Arial"/>
                <w:sz w:val="16"/>
                <w:szCs w:val="16"/>
                <w:color w:val="auto"/>
              </w:rPr>
              <w:t>1.5%    to    2.0%</w:t>
            </w:r>
          </w:p>
        </w:tc>
        <w:tc>
          <w:tcPr>
            <w:tcW w:w="580" w:type="dxa"/>
            <w:vAlign w:val="bottom"/>
          </w:tcPr>
          <w:p>
            <w:pPr>
              <w:jc w:val="right"/>
              <w:spacing w:after="0"/>
              <w:rPr>
                <w:sz w:val="20"/>
                <w:szCs w:val="20"/>
                <w:color w:val="auto"/>
              </w:rPr>
            </w:pPr>
            <w:r>
              <w:rPr>
                <w:rFonts w:ascii="Arial" w:cs="Arial" w:eastAsia="Arial" w:hAnsi="Arial"/>
                <w:sz w:val="16"/>
                <w:szCs w:val="16"/>
                <w:color w:val="auto"/>
              </w:rPr>
              <w:t>1.5%</w:t>
            </w:r>
          </w:p>
        </w:tc>
        <w:tc>
          <w:tcPr>
            <w:tcW w:w="540" w:type="dxa"/>
            <w:vAlign w:val="bottom"/>
          </w:tcPr>
          <w:p>
            <w:pPr>
              <w:jc w:val="center"/>
              <w:spacing w:after="0"/>
              <w:rPr>
                <w:sz w:val="20"/>
                <w:szCs w:val="20"/>
                <w:color w:val="auto"/>
              </w:rPr>
            </w:pPr>
            <w:r>
              <w:rPr>
                <w:rFonts w:ascii="Arial" w:cs="Arial" w:eastAsia="Arial" w:hAnsi="Arial"/>
                <w:sz w:val="16"/>
                <w:szCs w:val="16"/>
                <w:color w:val="auto"/>
              </w:rPr>
              <w:t>to</w:t>
            </w:r>
          </w:p>
        </w:tc>
        <w:tc>
          <w:tcPr>
            <w:tcW w:w="580" w:type="dxa"/>
            <w:vAlign w:val="bottom"/>
          </w:tcPr>
          <w:p>
            <w:pPr>
              <w:jc w:val="right"/>
              <w:ind w:right="99"/>
              <w:spacing w:after="0"/>
              <w:rPr>
                <w:sz w:val="20"/>
                <w:szCs w:val="20"/>
                <w:color w:val="auto"/>
              </w:rPr>
            </w:pPr>
            <w:r>
              <w:rPr>
                <w:rFonts w:ascii="Arial" w:cs="Arial" w:eastAsia="Arial" w:hAnsi="Arial"/>
                <w:sz w:val="16"/>
                <w:szCs w:val="16"/>
                <w:color w:val="auto"/>
              </w:rPr>
              <w:t>2.0%</w:t>
            </w:r>
          </w:p>
        </w:tc>
      </w:tr>
    </w:tbl>
    <w:p>
      <w:pPr>
        <w:spacing w:after="0" w:line="340" w:lineRule="exact"/>
        <w:rPr>
          <w:sz w:val="20"/>
          <w:szCs w:val="20"/>
          <w:color w:val="auto"/>
        </w:rPr>
      </w:pPr>
    </w:p>
    <w:p>
      <w:pPr>
        <w:jc w:val="both"/>
        <w:spacing w:after="0" w:line="291" w:lineRule="auto"/>
        <w:rPr>
          <w:sz w:val="20"/>
          <w:szCs w:val="20"/>
          <w:color w:val="auto"/>
        </w:rPr>
      </w:pPr>
      <w:r>
        <w:rPr>
          <w:rFonts w:ascii="Arial" w:cs="Arial" w:eastAsia="Arial" w:hAnsi="Arial"/>
          <w:sz w:val="18"/>
          <w:szCs w:val="18"/>
          <w:i w:val="1"/>
          <w:iCs w:val="1"/>
          <w:color w:val="auto"/>
        </w:rPr>
        <w:t xml:space="preserve">Interim Disclosures about Fair Value of Financial Instruments - </w:t>
      </w:r>
      <w:r>
        <w:rPr>
          <w:rFonts w:ascii="Arial" w:cs="Arial" w:eastAsia="Arial" w:hAnsi="Arial"/>
          <w:sz w:val="18"/>
          <w:szCs w:val="18"/>
          <w:color w:val="auto"/>
        </w:rPr>
        <w:t>The Company’s non-derivative financial instruments consist of cash</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equivalents, accounts receivable, accounts payable and current and long-term debt. The fair values of cash equivalents, accounts receivable and accounts payable approximate their carrying amounts reported on its Consolidated Balance Sheets due to their short duration.</w:t>
      </w:r>
    </w:p>
    <w:p>
      <w:pPr>
        <w:spacing w:after="0" w:line="179"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Debt is carried at amortized cost; however, the Company estimates the fair value of debt for disclosure purposes. The following table includes the carrying value and fair value of the Company’s debt by hierarchy level as of the periods indicated: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6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4"/>
          </w:tcPr>
          <w:p>
            <w:pPr>
              <w:jc w:val="right"/>
              <w:ind w:right="843"/>
              <w:spacing w:after="0"/>
              <w:rPr>
                <w:sz w:val="20"/>
                <w:szCs w:val="20"/>
                <w:color w:val="auto"/>
              </w:rPr>
            </w:pPr>
            <w:r>
              <w:rPr>
                <w:rFonts w:ascii="Arial" w:cs="Arial" w:eastAsia="Arial" w:hAnsi="Arial"/>
                <w:sz w:val="14"/>
                <w:szCs w:val="14"/>
                <w:b w:val="1"/>
                <w:bCs w:val="1"/>
                <w:color w:val="auto"/>
              </w:rPr>
              <w:t>JUNE 28, 2020</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4"/>
          </w:tcPr>
          <w:p>
            <w:pPr>
              <w:jc w:val="right"/>
              <w:ind w:right="623"/>
              <w:spacing w:after="0"/>
              <w:rPr>
                <w:sz w:val="20"/>
                <w:szCs w:val="20"/>
                <w:color w:val="auto"/>
              </w:rPr>
            </w:pPr>
            <w:r>
              <w:rPr>
                <w:rFonts w:ascii="Arial" w:cs="Arial" w:eastAsia="Arial" w:hAnsi="Arial"/>
                <w:sz w:val="14"/>
                <w:szCs w:val="14"/>
                <w:b w:val="1"/>
                <w:bCs w:val="1"/>
                <w:color w:val="auto"/>
              </w:rPr>
              <w:t>DECEMBER 29, 2019</w:t>
            </w:r>
          </w:p>
        </w:tc>
      </w:tr>
      <w:tr>
        <w:trPr>
          <w:trHeight w:val="153"/>
        </w:trPr>
        <w:tc>
          <w:tcPr>
            <w:tcW w:w="5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3"/>
                <w:szCs w:val="13"/>
                <w:color w:val="auto"/>
              </w:rPr>
            </w:pPr>
          </w:p>
        </w:tc>
        <w:tc>
          <w:tcPr>
            <w:tcW w:w="12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3"/>
                <w:szCs w:val="13"/>
                <w:color w:val="auto"/>
              </w:rPr>
            </w:pPr>
          </w:p>
        </w:tc>
        <w:tc>
          <w:tcPr>
            <w:tcW w:w="12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3"/>
                <w:szCs w:val="13"/>
                <w:color w:val="auto"/>
              </w:rPr>
            </w:pPr>
          </w:p>
        </w:tc>
        <w:tc>
          <w:tcPr>
            <w:tcW w:w="1160" w:type="dxa"/>
            <w:vAlign w:val="bottom"/>
          </w:tcPr>
          <w:p>
            <w:pPr>
              <w:jc w:val="right"/>
              <w:ind w:right="163"/>
              <w:spacing w:after="0" w:line="153" w:lineRule="exact"/>
              <w:rPr>
                <w:sz w:val="20"/>
                <w:szCs w:val="20"/>
                <w:color w:val="auto"/>
              </w:rPr>
            </w:pPr>
            <w:r>
              <w:rPr>
                <w:rFonts w:ascii="Arial" w:cs="Arial" w:eastAsia="Arial" w:hAnsi="Arial"/>
                <w:sz w:val="14"/>
                <w:szCs w:val="14"/>
                <w:b w:val="1"/>
                <w:bCs w:val="1"/>
                <w:color w:val="auto"/>
              </w:rPr>
              <w:t>FAIR VALUE</w:t>
            </w:r>
          </w:p>
        </w:tc>
      </w:tr>
      <w:tr>
        <w:trPr>
          <w:trHeight w:val="205"/>
        </w:trPr>
        <w:tc>
          <w:tcPr>
            <w:tcW w:w="562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17"/>
                <w:szCs w:val="17"/>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7"/>
                <w:szCs w:val="17"/>
                <w:color w:val="auto"/>
              </w:rPr>
            </w:pPr>
          </w:p>
        </w:tc>
        <w:tc>
          <w:tcPr>
            <w:tcW w:w="1160" w:type="dxa"/>
            <w:vAlign w:val="bottom"/>
          </w:tcPr>
          <w:p>
            <w:pPr>
              <w:jc w:val="right"/>
              <w:ind w:right="283"/>
              <w:spacing w:after="0"/>
              <w:rPr>
                <w:sz w:val="20"/>
                <w:szCs w:val="20"/>
                <w:color w:val="auto"/>
              </w:rPr>
            </w:pPr>
            <w:r>
              <w:rPr>
                <w:rFonts w:ascii="Arial" w:cs="Arial" w:eastAsia="Arial" w:hAnsi="Arial"/>
                <w:sz w:val="14"/>
                <w:szCs w:val="14"/>
                <w:b w:val="1"/>
                <w:bCs w:val="1"/>
                <w:color w:val="auto"/>
              </w:rPr>
              <w:t>LEVEL 2</w:t>
            </w:r>
          </w:p>
        </w:tc>
      </w:tr>
      <w:tr>
        <w:trPr>
          <w:trHeight w:val="223"/>
        </w:trPr>
        <w:tc>
          <w:tcPr>
            <w:tcW w:w="5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Senior Secured Credit Facility:</w:t>
            </w:r>
          </w:p>
        </w:tc>
        <w:tc>
          <w:tcPr>
            <w:tcW w:w="180" w:type="dxa"/>
            <w:vAlign w:val="bottom"/>
            <w:tcBorders>
              <w:top w:val="single" w:sz="8" w:color="auto"/>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CCEEFF"/>
            </w:tcBorders>
            <w:shd w:val="clear" w:color="auto" w:fill="CCEEFF"/>
          </w:tcPr>
          <w:p>
            <w:pPr>
              <w:spacing w:after="0"/>
              <w:rPr>
                <w:sz w:val="19"/>
                <w:szCs w:val="19"/>
                <w:color w:val="auto"/>
              </w:rPr>
            </w:pPr>
          </w:p>
        </w:tc>
      </w:tr>
      <w:tr>
        <w:trPr>
          <w:trHeight w:val="224"/>
        </w:trPr>
        <w:tc>
          <w:tcPr>
            <w:tcW w:w="5620" w:type="dxa"/>
            <w:vAlign w:val="bottom"/>
          </w:tcPr>
          <w:p>
            <w:pPr>
              <w:ind w:left="120"/>
              <w:spacing w:after="0"/>
              <w:rPr>
                <w:sz w:val="20"/>
                <w:szCs w:val="20"/>
                <w:color w:val="auto"/>
              </w:rPr>
            </w:pPr>
            <w:r>
              <w:rPr>
                <w:rFonts w:ascii="Arial" w:cs="Arial" w:eastAsia="Arial" w:hAnsi="Arial"/>
                <w:sz w:val="16"/>
                <w:szCs w:val="16"/>
                <w:color w:val="auto"/>
              </w:rPr>
              <w:t>Term loan A</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64"/>
              <w:spacing w:after="0"/>
              <w:rPr>
                <w:sz w:val="20"/>
                <w:szCs w:val="20"/>
                <w:color w:val="auto"/>
              </w:rPr>
            </w:pPr>
            <w:r>
              <w:rPr>
                <w:rFonts w:ascii="Arial" w:cs="Arial" w:eastAsia="Arial" w:hAnsi="Arial"/>
                <w:sz w:val="16"/>
                <w:szCs w:val="16"/>
                <w:color w:val="auto"/>
              </w:rPr>
              <w:t>437,500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83"/>
              <w:spacing w:after="0"/>
              <w:rPr>
                <w:sz w:val="20"/>
                <w:szCs w:val="20"/>
                <w:color w:val="auto"/>
              </w:rPr>
            </w:pPr>
            <w:r>
              <w:rPr>
                <w:rFonts w:ascii="Arial" w:cs="Arial" w:eastAsia="Arial" w:hAnsi="Arial"/>
                <w:sz w:val="16"/>
                <w:szCs w:val="16"/>
                <w:color w:val="auto"/>
              </w:rPr>
              <w:t>424,375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64"/>
              <w:spacing w:after="0"/>
              <w:rPr>
                <w:sz w:val="20"/>
                <w:szCs w:val="20"/>
                <w:color w:val="auto"/>
              </w:rPr>
            </w:pPr>
            <w:r>
              <w:rPr>
                <w:rFonts w:ascii="Arial" w:cs="Arial" w:eastAsia="Arial" w:hAnsi="Arial"/>
                <w:sz w:val="16"/>
                <w:szCs w:val="16"/>
                <w:color w:val="auto"/>
              </w:rPr>
              <w:t>450,000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63"/>
              <w:spacing w:after="0"/>
              <w:rPr>
                <w:sz w:val="20"/>
                <w:szCs w:val="20"/>
                <w:color w:val="auto"/>
              </w:rPr>
            </w:pPr>
            <w:r>
              <w:rPr>
                <w:rFonts w:ascii="Arial" w:cs="Arial" w:eastAsia="Arial" w:hAnsi="Arial"/>
                <w:sz w:val="16"/>
                <w:szCs w:val="16"/>
                <w:color w:val="auto"/>
              </w:rPr>
              <w:t>450,563</w:t>
            </w:r>
          </w:p>
        </w:tc>
      </w:tr>
      <w:tr>
        <w:trPr>
          <w:trHeight w:val="33"/>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6"/>
        </w:trPr>
        <w:tc>
          <w:tcPr>
            <w:tcW w:w="5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Revolving credit facility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6"/>
                <w:szCs w:val="16"/>
                <w:color w:val="auto"/>
              </w:rPr>
              <w:t>615,000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577,319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6"/>
                <w:szCs w:val="16"/>
                <w:color w:val="auto"/>
              </w:rPr>
              <w:t>599,000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599,000</w:t>
            </w:r>
          </w:p>
        </w:tc>
      </w:tr>
      <w:tr>
        <w:trPr>
          <w:trHeight w:val="223"/>
        </w:trPr>
        <w:tc>
          <w:tcPr>
            <w:tcW w:w="5620" w:type="dxa"/>
            <w:vAlign w:val="bottom"/>
          </w:tcPr>
          <w:p>
            <w:pPr>
              <w:ind w:left="20"/>
              <w:spacing w:after="0"/>
              <w:rPr>
                <w:sz w:val="20"/>
                <w:szCs w:val="20"/>
                <w:color w:val="auto"/>
              </w:rPr>
            </w:pPr>
            <w:r>
              <w:rPr>
                <w:rFonts w:ascii="Arial" w:cs="Arial" w:eastAsia="Arial" w:hAnsi="Arial"/>
                <w:sz w:val="16"/>
                <w:szCs w:val="16"/>
                <w:color w:val="auto"/>
              </w:rPr>
              <w:t>Convertible Senior Notes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64"/>
              <w:spacing w:after="0"/>
              <w:rPr>
                <w:sz w:val="20"/>
                <w:szCs w:val="20"/>
                <w:color w:val="auto"/>
              </w:rPr>
            </w:pPr>
            <w:r>
              <w:rPr>
                <w:rFonts w:ascii="Arial" w:cs="Arial" w:eastAsia="Arial" w:hAnsi="Arial"/>
                <w:sz w:val="16"/>
                <w:szCs w:val="16"/>
                <w:color w:val="auto"/>
              </w:rPr>
              <w:t>230,000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83"/>
              <w:spacing w:after="0"/>
              <w:rPr>
                <w:sz w:val="20"/>
                <w:szCs w:val="20"/>
                <w:color w:val="auto"/>
              </w:rPr>
            </w:pPr>
            <w:r>
              <w:rPr>
                <w:rFonts w:ascii="Arial" w:cs="Arial" w:eastAsia="Arial" w:hAnsi="Arial"/>
                <w:sz w:val="16"/>
                <w:szCs w:val="16"/>
                <w:color w:val="auto"/>
              </w:rPr>
              <w:t>246,100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63"/>
              <w:spacing w:after="0"/>
              <w:rPr>
                <w:sz w:val="20"/>
                <w:szCs w:val="20"/>
                <w:color w:val="auto"/>
              </w:rPr>
            </w:pPr>
            <w:r>
              <w:rPr>
                <w:rFonts w:ascii="Arial" w:cs="Arial" w:eastAsia="Arial" w:hAnsi="Arial"/>
                <w:sz w:val="16"/>
                <w:szCs w:val="16"/>
                <w:color w:val="auto"/>
              </w:rPr>
              <w:t>—</w:t>
            </w:r>
          </w:p>
        </w:tc>
      </w:tr>
    </w:tbl>
    <w:p>
      <w:pPr>
        <w:spacing w:after="0" w:line="354" w:lineRule="exact"/>
        <w:rPr>
          <w:sz w:val="20"/>
          <w:szCs w:val="20"/>
          <w:color w:val="auto"/>
        </w:rPr>
      </w:pPr>
    </w:p>
    <w:p>
      <w:pPr>
        <w:spacing w:after="0"/>
        <w:rPr>
          <w:sz w:val="20"/>
          <w:szCs w:val="20"/>
          <w:color w:val="auto"/>
        </w:rPr>
      </w:pPr>
      <w:r>
        <w:rPr>
          <w:rFonts w:ascii="Arial" w:cs="Arial" w:eastAsia="Arial" w:hAnsi="Arial"/>
          <w:sz w:val="20"/>
          <w:szCs w:val="20"/>
          <w:color w:val="auto"/>
        </w:rPr>
        <w:t>18. Allowance for Expected Credit Losses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is a rollforward of the allowance for trade receivable expected credit losses for the periods indicated: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THIRTEEN WEEKS</w:t>
            </w:r>
          </w:p>
        </w:tc>
        <w:tc>
          <w:tcPr>
            <w:tcW w:w="1580" w:type="dxa"/>
            <w:vAlign w:val="bottom"/>
            <w:gridSpan w:val="2"/>
          </w:tcPr>
          <w:p>
            <w:pPr>
              <w:jc w:val="center"/>
              <w:spacing w:after="0"/>
              <w:rPr>
                <w:sz w:val="20"/>
                <w:szCs w:val="20"/>
                <w:color w:val="auto"/>
              </w:rPr>
            </w:pPr>
            <w:r>
              <w:rPr>
                <w:rFonts w:ascii="Arial" w:cs="Arial" w:eastAsia="Arial" w:hAnsi="Arial"/>
                <w:sz w:val="14"/>
                <w:szCs w:val="14"/>
                <w:b w:val="1"/>
                <w:bCs w:val="1"/>
                <w:color w:val="auto"/>
              </w:rPr>
              <w:t>TWENTY-SIX WEEKS</w:t>
            </w:r>
          </w:p>
        </w:tc>
      </w:tr>
      <w:tr>
        <w:trPr>
          <w:trHeight w:val="186"/>
        </w:trPr>
        <w:tc>
          <w:tcPr>
            <w:tcW w:w="7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ENDED</w:t>
            </w:r>
          </w:p>
        </w:tc>
        <w:tc>
          <w:tcPr>
            <w:tcW w:w="220" w:type="dxa"/>
            <w:vAlign w:val="bottom"/>
          </w:tcPr>
          <w:p>
            <w:pPr>
              <w:spacing w:after="0"/>
              <w:rPr>
                <w:sz w:val="16"/>
                <w:szCs w:val="16"/>
                <w:color w:val="auto"/>
              </w:rPr>
            </w:pPr>
          </w:p>
        </w:tc>
        <w:tc>
          <w:tcPr>
            <w:tcW w:w="1360" w:type="dxa"/>
            <w:vAlign w:val="bottom"/>
          </w:tcPr>
          <w:p>
            <w:pPr>
              <w:jc w:val="center"/>
              <w:ind w:right="142"/>
              <w:spacing w:after="0"/>
              <w:rPr>
                <w:sz w:val="20"/>
                <w:szCs w:val="20"/>
                <w:color w:val="auto"/>
              </w:rPr>
            </w:pPr>
            <w:r>
              <w:rPr>
                <w:rFonts w:ascii="Arial" w:cs="Arial" w:eastAsia="Arial" w:hAnsi="Arial"/>
                <w:sz w:val="14"/>
                <w:szCs w:val="14"/>
                <w:b w:val="1"/>
                <w:bCs w:val="1"/>
                <w:color w:val="auto"/>
              </w:rPr>
              <w:t>ENDED</w:t>
            </w:r>
          </w:p>
        </w:tc>
      </w:tr>
      <w:tr>
        <w:trPr>
          <w:trHeight w:val="222"/>
        </w:trPr>
        <w:tc>
          <w:tcPr>
            <w:tcW w:w="798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19"/>
                <w:szCs w:val="19"/>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JUNE 28, 2020</w:t>
            </w:r>
          </w:p>
        </w:tc>
        <w:tc>
          <w:tcPr>
            <w:tcW w:w="220" w:type="dxa"/>
            <w:vAlign w:val="bottom"/>
          </w:tcPr>
          <w:p>
            <w:pPr>
              <w:spacing w:after="0"/>
              <w:rPr>
                <w:sz w:val="19"/>
                <w:szCs w:val="19"/>
                <w:color w:val="auto"/>
              </w:rPr>
            </w:pPr>
          </w:p>
        </w:tc>
        <w:tc>
          <w:tcPr>
            <w:tcW w:w="1360" w:type="dxa"/>
            <w:vAlign w:val="bottom"/>
          </w:tcPr>
          <w:p>
            <w:pPr>
              <w:jc w:val="center"/>
              <w:ind w:right="142"/>
              <w:spacing w:after="0"/>
              <w:rPr>
                <w:sz w:val="20"/>
                <w:szCs w:val="20"/>
                <w:color w:val="auto"/>
              </w:rPr>
            </w:pPr>
            <w:r>
              <w:rPr>
                <w:rFonts w:ascii="Arial" w:cs="Arial" w:eastAsia="Arial" w:hAnsi="Arial"/>
                <w:sz w:val="14"/>
                <w:szCs w:val="14"/>
                <w:b w:val="1"/>
                <w:bCs w:val="1"/>
                <w:color w:val="auto"/>
                <w:w w:val="93"/>
              </w:rPr>
              <w:t>JUNE 28, 2020</w:t>
            </w:r>
          </w:p>
        </w:tc>
      </w:tr>
      <w:tr>
        <w:trPr>
          <w:trHeight w:val="236"/>
        </w:trPr>
        <w:tc>
          <w:tcPr>
            <w:tcW w:w="7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Allowance for credit losses, beginning of period</w:t>
            </w: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4,551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199</w:t>
            </w:r>
          </w:p>
        </w:tc>
      </w:tr>
      <w:tr>
        <w:trPr>
          <w:trHeight w:val="223"/>
        </w:trPr>
        <w:tc>
          <w:tcPr>
            <w:tcW w:w="7980" w:type="dxa"/>
            <w:vAlign w:val="bottom"/>
          </w:tcPr>
          <w:p>
            <w:pPr>
              <w:ind w:left="220"/>
              <w:spacing w:after="0"/>
              <w:rPr>
                <w:sz w:val="20"/>
                <w:szCs w:val="20"/>
                <w:color w:val="auto"/>
              </w:rPr>
            </w:pPr>
            <w:r>
              <w:rPr>
                <w:rFonts w:ascii="Arial" w:cs="Arial" w:eastAsia="Arial" w:hAnsi="Arial"/>
                <w:sz w:val="16"/>
                <w:szCs w:val="16"/>
                <w:color w:val="auto"/>
              </w:rPr>
              <w:t>Adjustment for adoption of ASU No. 2016-13</w:t>
            </w:r>
          </w:p>
        </w:tc>
        <w:tc>
          <w:tcPr>
            <w:tcW w:w="100" w:type="dxa"/>
            <w:vAlign w:val="bottom"/>
          </w:tcPr>
          <w:p>
            <w:pPr>
              <w:spacing w:after="0"/>
              <w:rPr>
                <w:sz w:val="19"/>
                <w:szCs w:val="19"/>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360" w:type="dxa"/>
            <w:vAlign w:val="bottom"/>
          </w:tcPr>
          <w:p>
            <w:pPr>
              <w:jc w:val="right"/>
              <w:ind w:right="62"/>
              <w:spacing w:after="0"/>
              <w:rPr>
                <w:sz w:val="20"/>
                <w:szCs w:val="20"/>
                <w:color w:val="auto"/>
              </w:rPr>
            </w:pPr>
            <w:r>
              <w:rPr>
                <w:rFonts w:ascii="Arial" w:cs="Arial" w:eastAsia="Arial" w:hAnsi="Arial"/>
                <w:sz w:val="16"/>
                <w:szCs w:val="16"/>
                <w:color w:val="auto"/>
              </w:rPr>
              <w:t>1,018</w:t>
            </w:r>
          </w:p>
        </w:tc>
      </w:tr>
      <w:tr>
        <w:trPr>
          <w:trHeight w:val="33"/>
        </w:trPr>
        <w:tc>
          <w:tcPr>
            <w:tcW w:w="7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Provision for expected credit losses</w:t>
            </w:r>
          </w:p>
        </w:tc>
        <w:tc>
          <w:tcPr>
            <w:tcW w:w="10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3,349</w:t>
            </w:r>
          </w:p>
        </w:tc>
      </w:tr>
      <w:tr>
        <w:trPr>
          <w:trHeight w:val="253"/>
        </w:trPr>
        <w:tc>
          <w:tcPr>
            <w:tcW w:w="7980" w:type="dxa"/>
            <w:vAlign w:val="bottom"/>
          </w:tcPr>
          <w:p>
            <w:pPr>
              <w:ind w:left="20"/>
              <w:spacing w:after="0"/>
              <w:rPr>
                <w:sz w:val="20"/>
                <w:szCs w:val="20"/>
                <w:color w:val="auto"/>
              </w:rPr>
            </w:pPr>
            <w:r>
              <w:rPr>
                <w:rFonts w:ascii="Arial" w:cs="Arial" w:eastAsia="Arial" w:hAnsi="Arial"/>
                <w:sz w:val="16"/>
                <w:szCs w:val="16"/>
                <w:color w:val="auto"/>
              </w:rPr>
              <w:t>Allowance for credit losses, end of period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color w:val="auto"/>
              </w:rPr>
              <w:t>4,566</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4,566</w:t>
            </w:r>
          </w:p>
        </w:tc>
      </w:tr>
      <w:tr>
        <w:trPr>
          <w:trHeight w:val="23"/>
        </w:trPr>
        <w:tc>
          <w:tcPr>
            <w:tcW w:w="79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bl>
    <w:p>
      <w:pPr>
        <w:spacing w:after="0" w:line="321"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 xml:space="preserve">The Company is exposed to credit losses through its trade accounts receivable consisting primarily of amounts due for gift card, credit card, vendor, franchise and other receivables. Gift card, vendor and other receivables consist primarily of amounts due from gift card resellers and vendor rebates. Amounts due from franchisees consist of initial franchise fees, royalty income, and advertising fees. See Note 7 - </w:t>
      </w:r>
      <w:r>
        <w:rPr>
          <w:rFonts w:ascii="Arial" w:cs="Arial" w:eastAsia="Arial" w:hAnsi="Arial"/>
          <w:sz w:val="18"/>
          <w:szCs w:val="18"/>
          <w:i w:val="1"/>
          <w:iCs w:val="1"/>
          <w:color w:val="auto"/>
        </w:rPr>
        <w:t>Other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Current Assets, Net </w:t>
      </w:r>
      <w:r>
        <w:rPr>
          <w:rFonts w:ascii="Arial" w:cs="Arial" w:eastAsia="Arial" w:hAnsi="Arial"/>
          <w:sz w:val="18"/>
          <w:szCs w:val="18"/>
          <w:color w:val="auto"/>
        </w:rPr>
        <w:t>for disclosure of trades receivables by category as of June 28, 2020 and December 29, 2019. Domestic credit card</w:t>
      </w:r>
      <w:r>
        <w:rPr>
          <w:rFonts w:ascii="Arial" w:cs="Arial" w:eastAsia="Arial" w:hAnsi="Arial"/>
          <w:sz w:val="18"/>
          <w:szCs w:val="18"/>
          <w:i w:val="1"/>
          <w:iCs w:val="1"/>
          <w:color w:val="auto"/>
        </w:rPr>
        <w:t xml:space="preserve"> </w:t>
      </w:r>
      <w:r>
        <w:rPr>
          <w:rFonts w:ascii="Arial" w:cs="Arial" w:eastAsia="Arial" w:hAnsi="Arial"/>
          <w:sz w:val="18"/>
          <w:szCs w:val="18"/>
          <w:color w:val="auto"/>
        </w:rPr>
        <w:t>receivables are recorded within Cash and cash equivalents based on their short duration and reasonably assured settlement.</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The Company evaluates the collectability of trade receivables based on historical loss experience and risk pool and records periodic adjustments for factors such as deterioration of economic conditions, specific customer circumstances and changes in the aging of accounts receivable balances. For risk pools where there was no established loss history, S&amp;P speculative-grade default rates are utilized to calculate an estimated loss rate. Losses are charged off in the period in which they are determined to be uncollectable.</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348" w:lineRule="exact"/>
        <w:rPr>
          <w:sz w:val="20"/>
          <w:szCs w:val="20"/>
          <w:color w:val="auto"/>
        </w:rPr>
      </w:pPr>
    </w:p>
    <w:p>
      <w:pPr>
        <w:ind w:right="100"/>
        <w:spacing w:after="0" w:line="246" w:lineRule="auto"/>
        <w:rPr>
          <w:sz w:val="20"/>
          <w:szCs w:val="20"/>
          <w:color w:val="auto"/>
        </w:rPr>
      </w:pPr>
      <w:r>
        <w:rPr>
          <w:rFonts w:ascii="Arial" w:cs="Arial" w:eastAsia="Arial" w:hAnsi="Arial"/>
          <w:sz w:val="20"/>
          <w:szCs w:val="20"/>
          <w:color w:val="auto"/>
        </w:rPr>
        <w:t xml:space="preserve">The financial condition of the Company’s franchisees is largely dependent on the underlying business trends of its brands and market conditions within the casual dining restaurant industry. In March 2020, the Company fully reserved substantially all of its outstanding franchise receivables in response to the economic impact of the COVID-19 pandemic. See Note 2 - </w:t>
      </w:r>
      <w:r>
        <w:rPr>
          <w:rFonts w:ascii="Arial" w:cs="Arial" w:eastAsia="Arial" w:hAnsi="Arial"/>
          <w:sz w:val="20"/>
          <w:szCs w:val="20"/>
          <w:i w:val="1"/>
          <w:iCs w:val="1"/>
          <w:color w:val="auto"/>
        </w:rPr>
        <w:t>COVID-19 Charges</w:t>
      </w:r>
      <w:r>
        <w:rPr>
          <w:rFonts w:ascii="Arial" w:cs="Arial" w:eastAsia="Arial" w:hAnsi="Arial"/>
          <w:sz w:val="20"/>
          <w:szCs w:val="20"/>
          <w:color w:val="auto"/>
        </w:rPr>
        <w:t xml:space="preserve"> for details regarding the impact of the COVID-19 pandemic on the Company’s financial results.</w:t>
      </w:r>
    </w:p>
    <w:p>
      <w:pPr>
        <w:spacing w:after="0" w:line="218" w:lineRule="exact"/>
        <w:rPr>
          <w:sz w:val="20"/>
          <w:szCs w:val="20"/>
          <w:color w:val="auto"/>
        </w:rPr>
      </w:pPr>
    </w:p>
    <w:p>
      <w:pPr>
        <w:jc w:val="both"/>
        <w:ind w:right="20"/>
        <w:spacing w:after="0" w:line="316" w:lineRule="auto"/>
        <w:rPr>
          <w:sz w:val="20"/>
          <w:szCs w:val="20"/>
          <w:color w:val="auto"/>
        </w:rPr>
      </w:pPr>
      <w:r>
        <w:rPr>
          <w:rFonts w:ascii="Arial" w:cs="Arial" w:eastAsia="Arial" w:hAnsi="Arial"/>
          <w:sz w:val="18"/>
          <w:szCs w:val="18"/>
          <w:color w:val="auto"/>
        </w:rPr>
        <w:t xml:space="preserve">The Company is also exposed to credit losses from off-balance sheet lease guarantees primarily related to the divestiture of certain formerly Company-owned restaurant sites. See Note 20 -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for details regarding these lease guarantees.</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color w:val="auto"/>
        </w:rPr>
        <w:t>19. Income Taxes</w:t>
      </w:r>
    </w:p>
    <w:p>
      <w:pPr>
        <w:spacing w:after="0" w:line="142" w:lineRule="exact"/>
        <w:rPr>
          <w:sz w:val="20"/>
          <w:szCs w:val="20"/>
          <w:color w:val="auto"/>
        </w:rPr>
      </w:pPr>
    </w:p>
    <w:tbl>
      <w:tblPr>
        <w:tblLayout w:type="fixed"/>
        <w:tblInd w:w="40" w:type="dxa"/>
        <w:tblCellMar>
          <w:top w:w="0" w:type="dxa"/>
          <w:left w:w="0" w:type="dxa"/>
          <w:bottom w:w="0" w:type="dxa"/>
          <w:right w:w="0" w:type="dxa"/>
        </w:tblCellMar>
      </w:tblPr>
      <w:tr>
        <w:trPr>
          <w:trHeight w:val="205"/>
        </w:trPr>
        <w:tc>
          <w:tcPr>
            <w:tcW w:w="53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4"/>
          </w:tcPr>
          <w:p>
            <w:pPr>
              <w:jc w:val="right"/>
              <w:ind w:right="241"/>
              <w:spacing w:after="0"/>
              <w:rPr>
                <w:sz w:val="20"/>
                <w:szCs w:val="20"/>
                <w:color w:val="auto"/>
              </w:rPr>
            </w:pPr>
            <w:r>
              <w:rPr>
                <w:rFonts w:ascii="Arial" w:cs="Arial" w:eastAsia="Arial" w:hAnsi="Arial"/>
                <w:sz w:val="14"/>
                <w:szCs w:val="14"/>
                <w:b w:val="1"/>
                <w:bCs w:val="1"/>
                <w:color w:val="auto"/>
              </w:rPr>
              <w:t>THIRTEEN WEEKS ENDED</w:t>
            </w:r>
          </w:p>
        </w:tc>
        <w:tc>
          <w:tcPr>
            <w:tcW w:w="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4"/>
          </w:tcPr>
          <w:p>
            <w:pPr>
              <w:jc w:val="right"/>
              <w:ind w:right="161"/>
              <w:spacing w:after="0"/>
              <w:rPr>
                <w:sz w:val="20"/>
                <w:szCs w:val="20"/>
                <w:color w:val="auto"/>
              </w:rPr>
            </w:pPr>
            <w:r>
              <w:rPr>
                <w:rFonts w:ascii="Arial" w:cs="Arial" w:eastAsia="Arial" w:hAnsi="Arial"/>
                <w:sz w:val="14"/>
                <w:szCs w:val="14"/>
                <w:b w:val="1"/>
                <w:bCs w:val="1"/>
                <w:color w:val="auto"/>
              </w:rPr>
              <w:t>TWENTY-SIX WEEKS ENDED</w:t>
            </w:r>
          </w:p>
        </w:tc>
        <w:tc>
          <w:tcPr>
            <w:tcW w:w="180" w:type="dxa"/>
            <w:vAlign w:val="bottom"/>
            <w:tcBorders>
              <w:bottom w:val="single" w:sz="8" w:color="auto"/>
            </w:tcBorders>
          </w:tcPr>
          <w:p>
            <w:pPr>
              <w:spacing w:after="0"/>
              <w:rPr>
                <w:sz w:val="17"/>
                <w:szCs w:val="17"/>
                <w:color w:val="auto"/>
              </w:rPr>
            </w:pPr>
          </w:p>
        </w:tc>
      </w:tr>
      <w:tr>
        <w:trPr>
          <w:trHeight w:val="210"/>
        </w:trPr>
        <w:tc>
          <w:tcPr>
            <w:tcW w:w="53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rPr>
              <w:t>JUNE 28, 2020</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2019</w:t>
            </w: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rPr>
              <w:t>JUNE 28, 2020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2019</w:t>
            </w:r>
          </w:p>
        </w:tc>
        <w:tc>
          <w:tcPr>
            <w:tcW w:w="180" w:type="dxa"/>
            <w:vAlign w:val="bottom"/>
            <w:tcBorders>
              <w:bottom w:val="single" w:sz="8" w:color="auto"/>
            </w:tcBorders>
          </w:tcPr>
          <w:p>
            <w:pPr>
              <w:spacing w:after="0"/>
              <w:rPr>
                <w:sz w:val="18"/>
                <w:szCs w:val="18"/>
                <w:color w:val="auto"/>
              </w:rPr>
            </w:pPr>
          </w:p>
        </w:tc>
      </w:tr>
      <w:tr>
        <w:trPr>
          <w:trHeight w:val="237"/>
        </w:trPr>
        <w:tc>
          <w:tcPr>
            <w:tcW w:w="5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(Loss) income before (benefit) provision for income taxes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03"/>
              <w:spacing w:after="0"/>
              <w:rPr>
                <w:sz w:val="20"/>
                <w:szCs w:val="20"/>
                <w:color w:val="auto"/>
              </w:rPr>
            </w:pPr>
            <w:r>
              <w:rPr>
                <w:rFonts w:ascii="Arial" w:cs="Arial" w:eastAsia="Arial" w:hAnsi="Arial"/>
                <w:sz w:val="16"/>
                <w:szCs w:val="16"/>
                <w:color w:val="auto"/>
              </w:rPr>
              <w:t>(128,207)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31,024</w:t>
            </w:r>
          </w:p>
        </w:tc>
        <w:tc>
          <w:tcPr>
            <w:tcW w:w="4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03"/>
              <w:spacing w:after="0"/>
              <w:rPr>
                <w:sz w:val="20"/>
                <w:szCs w:val="20"/>
                <w:color w:val="auto"/>
              </w:rPr>
            </w:pPr>
            <w:r>
              <w:rPr>
                <w:rFonts w:ascii="Arial" w:cs="Arial" w:eastAsia="Arial" w:hAnsi="Arial"/>
                <w:sz w:val="16"/>
                <w:szCs w:val="16"/>
                <w:color w:val="auto"/>
              </w:rPr>
              <w:t>(182,276)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102,169</w:t>
            </w:r>
          </w:p>
        </w:tc>
        <w:tc>
          <w:tcPr>
            <w:tcW w:w="180" w:type="dxa"/>
            <w:vAlign w:val="bottom"/>
            <w:tcBorders>
              <w:bottom w:val="single" w:sz="8" w:color="CCEEFF"/>
            </w:tcBorders>
            <w:shd w:val="clear" w:color="auto" w:fill="CCEEFF"/>
          </w:tcPr>
          <w:p>
            <w:pPr>
              <w:spacing w:after="0"/>
              <w:rPr>
                <w:sz w:val="20"/>
                <w:szCs w:val="20"/>
                <w:color w:val="auto"/>
              </w:rPr>
            </w:pPr>
          </w:p>
        </w:tc>
      </w:tr>
      <w:tr>
        <w:trPr>
          <w:trHeight w:val="223"/>
        </w:trPr>
        <w:tc>
          <w:tcPr>
            <w:tcW w:w="5320" w:type="dxa"/>
            <w:vAlign w:val="bottom"/>
          </w:tcPr>
          <w:p>
            <w:pPr>
              <w:spacing w:after="0"/>
              <w:rPr>
                <w:sz w:val="20"/>
                <w:szCs w:val="20"/>
                <w:color w:val="auto"/>
              </w:rPr>
            </w:pPr>
            <w:r>
              <w:rPr>
                <w:rFonts w:ascii="Arial" w:cs="Arial" w:eastAsia="Arial" w:hAnsi="Arial"/>
                <w:sz w:val="16"/>
                <w:szCs w:val="16"/>
                <w:color w:val="auto"/>
              </w:rPr>
              <w:t>(Benefit) provision for income taxes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03"/>
              <w:spacing w:after="0"/>
              <w:rPr>
                <w:sz w:val="20"/>
                <w:szCs w:val="20"/>
                <w:color w:val="auto"/>
              </w:rPr>
            </w:pPr>
            <w:r>
              <w:rPr>
                <w:rFonts w:ascii="Arial" w:cs="Arial" w:eastAsia="Arial" w:hAnsi="Arial"/>
                <w:sz w:val="16"/>
                <w:szCs w:val="16"/>
                <w:color w:val="auto"/>
              </w:rPr>
              <w:t>(35,779)</w:t>
            </w:r>
          </w:p>
        </w:tc>
        <w:tc>
          <w:tcPr>
            <w:tcW w:w="120" w:type="dxa"/>
            <w:vAlign w:val="bottom"/>
          </w:tcPr>
          <w:p>
            <w:pPr>
              <w:spacing w:after="0"/>
              <w:rPr>
                <w:sz w:val="19"/>
                <w:szCs w:val="19"/>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1,215</w:t>
            </w:r>
          </w:p>
        </w:tc>
        <w:tc>
          <w:tcPr>
            <w:tcW w:w="46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03"/>
              <w:spacing w:after="0"/>
              <w:rPr>
                <w:sz w:val="20"/>
                <w:szCs w:val="20"/>
                <w:color w:val="auto"/>
              </w:rPr>
            </w:pPr>
            <w:r>
              <w:rPr>
                <w:rFonts w:ascii="Arial" w:cs="Arial" w:eastAsia="Arial" w:hAnsi="Arial"/>
                <w:sz w:val="16"/>
                <w:szCs w:val="16"/>
                <w:color w:val="auto"/>
              </w:rPr>
              <w:t>(55,434)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6,711</w:t>
            </w:r>
          </w:p>
        </w:tc>
        <w:tc>
          <w:tcPr>
            <w:tcW w:w="180" w:type="dxa"/>
            <w:vAlign w:val="bottom"/>
          </w:tcPr>
          <w:p>
            <w:pPr>
              <w:spacing w:after="0"/>
              <w:rPr>
                <w:sz w:val="19"/>
                <w:szCs w:val="19"/>
                <w:color w:val="auto"/>
              </w:rPr>
            </w:pPr>
          </w:p>
        </w:tc>
      </w:tr>
      <w:tr>
        <w:trPr>
          <w:trHeight w:val="33"/>
        </w:trPr>
        <w:tc>
          <w:tcPr>
            <w:tcW w:w="5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24"/>
        </w:trPr>
        <w:tc>
          <w:tcPr>
            <w:tcW w:w="5320" w:type="dxa"/>
            <w:vAlign w:val="bottom"/>
            <w:shd w:val="clear" w:color="auto" w:fill="CCEEFF"/>
          </w:tcPr>
          <w:p>
            <w:pPr>
              <w:spacing w:after="0"/>
              <w:rPr>
                <w:sz w:val="20"/>
                <w:szCs w:val="20"/>
                <w:color w:val="auto"/>
              </w:rPr>
            </w:pPr>
            <w:r>
              <w:rPr>
                <w:rFonts w:ascii="Arial" w:cs="Arial" w:eastAsia="Arial" w:hAnsi="Arial"/>
                <w:sz w:val="16"/>
                <w:szCs w:val="16"/>
                <w:color w:val="auto"/>
              </w:rPr>
              <w:t>Effective income tax rate</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w:t>
            </w:r>
          </w:p>
        </w:tc>
      </w:tr>
      <w:tr>
        <w:trPr>
          <w:trHeight w:val="33"/>
        </w:trPr>
        <w:tc>
          <w:tcPr>
            <w:tcW w:w="53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r>
    </w:tbl>
    <w:p>
      <w:pPr>
        <w:spacing w:after="0" w:line="307"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On March 27, 2020, the President of the United States signed into law the Coronavirus Aid, Relief and Economic Security Act (the “CARES Act”). Accordingly, the applicable provisions of the CARES Act have been reflected in the Company’s tax provision for the thirteen and twenty-six weeks ended June 28, 2020. The CARES Act, among other items, includes U.S. corporate tax provisions related to the deferment of employer social security payments, employee retention credits, net operating loss (“NOL”) carryback periods, alternative minimum tax credits, modifications to interest deduction limitations and technical corrections on tax depreciation methods for qualified improvement property (“QIP”).</w:t>
      </w:r>
    </w:p>
    <w:p>
      <w:pPr>
        <w:spacing w:after="0" w:line="22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 xml:space="preserve">The effective income tax rate for the thirteen and twenty-six weeks ended June 28, 2020 increased by 24.0 </w:t>
      </w:r>
      <w:r>
        <w:rPr>
          <w:rFonts w:ascii="Arial" w:cs="Arial" w:eastAsia="Arial" w:hAnsi="Arial"/>
          <w:sz w:val="17"/>
          <w:szCs w:val="17"/>
          <w:color w:val="auto"/>
        </w:rPr>
        <w:t>and</w:t>
      </w:r>
      <w:r>
        <w:rPr>
          <w:rFonts w:ascii="Arial" w:cs="Arial" w:eastAsia="Arial" w:hAnsi="Arial"/>
          <w:sz w:val="20"/>
          <w:szCs w:val="20"/>
          <w:color w:val="auto"/>
        </w:rPr>
        <w:t xml:space="preserve"> 23.8 percentage points as compared to the thirteen and twenty-six weeks ended June 30, 2019. These increases were primarily due to the benefit of the tax credits for FICA taxes on certain employees’ tips and the forecasted 2020 pre-tax book loss.</w:t>
      </w:r>
    </w:p>
    <w:p>
      <w:pPr>
        <w:spacing w:after="0" w:line="213"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As of December 29, 2019, the Company had $128.6 million in general business tax credits carryforwards, which have a 20-year carryforward period and are utilized on a first-in, first-out basis. The Company expects to increase its general business credit carryforwards in 2020 by approximately $30 million to $40 million as a result of additional credits generated in 2020 and the application of the QIP technical correction enacted as part of the CARES Act. The Company currently expects to utilize these tax credit carryforwards within a 10 year period. However, the Company’s ability to utilize these tax credits could be adversely impacted by, among other items, a future “ownership change” as defined under Section 382 of the Internal Revenue Code.</w:t>
      </w:r>
    </w:p>
    <w:p>
      <w:pPr>
        <w:spacing w:after="0" w:line="20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Company has a blended federal and state statutory rate of approximately 26%. The effective income tax rate for the thirteen and twenty-six weeks ended June 28, 2020 was higher than the statutory rate primarily due to the benefit of tax credits for FICA taxes on certain employees’ tips.</w:t>
      </w:r>
    </w:p>
    <w:p>
      <w:pPr>
        <w:spacing w:after="0" w:line="213"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i w:val="1"/>
          <w:iCs w:val="1"/>
          <w:color w:val="auto"/>
        </w:rPr>
        <w:t xml:space="preserve">Deferred Taxes </w:t>
      </w:r>
      <w:r>
        <w:rPr>
          <w:rFonts w:ascii="Arial" w:cs="Arial" w:eastAsia="Arial" w:hAnsi="Arial"/>
          <w:sz w:val="20"/>
          <w:szCs w:val="20"/>
          <w:color w:val="auto"/>
        </w:rPr>
        <w:t>- During the twenty-six weeks ended June 28, 2020, Deferred income tax assets, net increased by $56.1 million primarily as a</w:t>
      </w:r>
      <w:r>
        <w:rPr>
          <w:rFonts w:ascii="Arial" w:cs="Arial" w:eastAsia="Arial" w:hAnsi="Arial"/>
          <w:sz w:val="20"/>
          <w:szCs w:val="20"/>
          <w:i w:val="1"/>
          <w:iCs w:val="1"/>
          <w:color w:val="auto"/>
        </w:rPr>
        <w:t xml:space="preserve"> </w:t>
      </w:r>
      <w:r>
        <w:rPr>
          <w:rFonts w:ascii="Arial" w:cs="Arial" w:eastAsia="Arial" w:hAnsi="Arial"/>
          <w:sz w:val="20"/>
          <w:szCs w:val="20"/>
          <w:color w:val="auto"/>
        </w:rPr>
        <w:t>result of losses incurred during the period and tax credits for FICA taxes on certain employees’ tips.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348" w:lineRule="exact"/>
        <w:rPr>
          <w:sz w:val="20"/>
          <w:szCs w:val="20"/>
          <w:color w:val="auto"/>
        </w:rPr>
      </w:pPr>
    </w:p>
    <w:p>
      <w:pPr>
        <w:spacing w:after="0"/>
        <w:rPr>
          <w:sz w:val="20"/>
          <w:szCs w:val="20"/>
          <w:color w:val="auto"/>
        </w:rPr>
      </w:pPr>
      <w:r>
        <w:rPr>
          <w:rFonts w:ascii="Arial" w:cs="Arial" w:eastAsia="Arial" w:hAnsi="Arial"/>
          <w:sz w:val="20"/>
          <w:szCs w:val="20"/>
          <w:color w:val="auto"/>
        </w:rPr>
        <w:t>20. Commitments and Contingencies</w:t>
      </w:r>
    </w:p>
    <w:p>
      <w:pPr>
        <w:spacing w:after="0" w:line="24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 xml:space="preserve">Litigation and Other Matters - </w:t>
      </w:r>
      <w:r>
        <w:rPr>
          <w:rFonts w:ascii="Arial" w:cs="Arial" w:eastAsia="Arial" w:hAnsi="Arial"/>
          <w:sz w:val="20"/>
          <w:szCs w:val="20"/>
          <w:color w:val="auto"/>
        </w:rPr>
        <w:t>The Company had $4.2 million and $3.0 million of liabilities recorded for various legal matters as of June 28,</w:t>
      </w:r>
      <w:r>
        <w:rPr>
          <w:rFonts w:ascii="Arial" w:cs="Arial" w:eastAsia="Arial" w:hAnsi="Arial"/>
          <w:sz w:val="20"/>
          <w:szCs w:val="20"/>
          <w:i w:val="1"/>
          <w:iCs w:val="1"/>
          <w:color w:val="auto"/>
        </w:rPr>
        <w:t xml:space="preserve"> </w:t>
      </w:r>
      <w:r>
        <w:rPr>
          <w:rFonts w:ascii="Arial" w:cs="Arial" w:eastAsia="Arial" w:hAnsi="Arial"/>
          <w:sz w:val="20"/>
          <w:szCs w:val="20"/>
          <w:color w:val="auto"/>
        </w:rPr>
        <w:t>2020 and December 29, 2019, respectively.</w:t>
      </w:r>
    </w:p>
    <w:p>
      <w:pPr>
        <w:spacing w:after="0" w:line="204"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The Company is subject to legal proceedings, claims and liabilities, such as liquor liability, slip and fall cases, wage-and-hour and other employment-related litigation, which arise in the ordinary course of business and are generally covered by insurance if they exceed specified retention or deductible amounts. In the opinion of management, the amount of ultimate liability with respect to those actions will not have a material adverse impact on the Company’s financial position or results of operations and cash flows.</w:t>
      </w:r>
    </w:p>
    <w:p>
      <w:pPr>
        <w:spacing w:after="0" w:line="203" w:lineRule="exact"/>
        <w:rPr>
          <w:sz w:val="20"/>
          <w:szCs w:val="20"/>
          <w:color w:val="auto"/>
        </w:rPr>
      </w:pPr>
    </w:p>
    <w:p>
      <w:pPr>
        <w:jc w:val="both"/>
        <w:spacing w:after="0" w:line="278" w:lineRule="auto"/>
        <w:rPr>
          <w:sz w:val="20"/>
          <w:szCs w:val="20"/>
          <w:color w:val="auto"/>
        </w:rPr>
      </w:pPr>
      <w:r>
        <w:rPr>
          <w:rFonts w:ascii="Arial" w:cs="Arial" w:eastAsia="Arial" w:hAnsi="Arial"/>
          <w:sz w:val="18"/>
          <w:szCs w:val="18"/>
          <w:i w:val="1"/>
          <w:iCs w:val="1"/>
          <w:color w:val="auto"/>
        </w:rPr>
        <w:t xml:space="preserve">Lease Guarantees </w:t>
      </w:r>
      <w:r>
        <w:rPr>
          <w:rFonts w:ascii="Arial" w:cs="Arial" w:eastAsia="Arial" w:hAnsi="Arial"/>
          <w:sz w:val="18"/>
          <w:szCs w:val="18"/>
          <w:color w:val="auto"/>
        </w:rPr>
        <w:t>- The Company assigned its interest, and is contingently liable, under certain real estate leases. These leases have varying</w:t>
      </w:r>
      <w:r>
        <w:rPr>
          <w:rFonts w:ascii="Arial" w:cs="Arial" w:eastAsia="Arial" w:hAnsi="Arial"/>
          <w:sz w:val="18"/>
          <w:szCs w:val="18"/>
          <w:i w:val="1"/>
          <w:iCs w:val="1"/>
          <w:color w:val="auto"/>
        </w:rPr>
        <w:t xml:space="preserve"> </w:t>
      </w:r>
      <w:r>
        <w:rPr>
          <w:rFonts w:ascii="Arial" w:cs="Arial" w:eastAsia="Arial" w:hAnsi="Arial"/>
          <w:sz w:val="18"/>
          <w:szCs w:val="18"/>
          <w:color w:val="auto"/>
        </w:rPr>
        <w:t>terms, the latest of which expires in 2032. As of June 28, 2020, the undiscounted payments that the Company could be required to make in the event of non-payment by the primary lessees was approximately $32.6 million. The present value of these potential payments discounted at the Company’s incremental borrowing rate as of June 28, 2020 was approximately $20.5 million. In the event of default, the indemnity clauses in the Company’s purchase and sale agreements govern its ability to pursue and recover damages incurred.</w:t>
      </w:r>
    </w:p>
    <w:p>
      <w:pPr>
        <w:spacing w:after="0" w:line="19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 xml:space="preserve">In March 2020, the Company recorded $4.2 million of additional contingent lease liability in response to the economic impact of the COVID-19 pandemic. As of June 28, 2020, the Company’s recorded contingent lease liability was $9.6 million. See Note 2 - </w:t>
      </w:r>
      <w:r>
        <w:rPr>
          <w:rFonts w:ascii="Arial" w:cs="Arial" w:eastAsia="Arial" w:hAnsi="Arial"/>
          <w:sz w:val="20"/>
          <w:szCs w:val="20"/>
          <w:i w:val="1"/>
          <w:iCs w:val="1"/>
          <w:color w:val="auto"/>
        </w:rPr>
        <w:t>COVID-19</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Charges </w:t>
      </w:r>
      <w:r>
        <w:rPr>
          <w:rFonts w:ascii="Arial" w:cs="Arial" w:eastAsia="Arial" w:hAnsi="Arial"/>
          <w:sz w:val="20"/>
          <w:szCs w:val="20"/>
          <w:color w:val="auto"/>
        </w:rPr>
        <w:t>for details regarding the impact of the COVID-19 pandemic on the Company’s financial results.</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21. Segment Reporting</w:t>
      </w:r>
    </w:p>
    <w:p>
      <w:pPr>
        <w:spacing w:after="0" w:line="24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Company considers its restaurant concepts and international markets as operating segments, which reflects how the Company manages its business, reviews operating performance and allocates resources. Resources are allocated and performance is assessed by the Company’s Chief Executive Officer (“CEO”), whom the Company has determined to be its Chief Operating Decision Maker (“CODM”). The Company aggregates its operating segments into two reportable segments, U.S. and international. The U.S. segment includes all restaurants operating in the U.S. while restaurants operating outside the U.S. are included in the international segment. The following is a summary of reporting segments:</w:t>
      </w:r>
    </w:p>
    <w:p>
      <w:pPr>
        <w:spacing w:after="0" w:line="122" w:lineRule="exact"/>
        <w:rPr>
          <w:sz w:val="20"/>
          <w:szCs w:val="20"/>
          <w:color w:val="auto"/>
        </w:rPr>
      </w:pPr>
    </w:p>
    <w:tbl>
      <w:tblPr>
        <w:tblLayout w:type="fixed"/>
        <w:tblInd w:w="10" w:type="dxa"/>
        <w:tblCellMar>
          <w:top w:w="0" w:type="dxa"/>
          <w:left w:w="0" w:type="dxa"/>
          <w:bottom w:w="0" w:type="dxa"/>
          <w:right w:w="0" w:type="dxa"/>
        </w:tblCellMar>
      </w:tblPr>
      <w:tr>
        <w:trPr>
          <w:trHeight w:val="205"/>
        </w:trPr>
        <w:tc>
          <w:tcPr>
            <w:tcW w:w="2640" w:type="dxa"/>
            <w:vAlign w:val="bottom"/>
          </w:tcPr>
          <w:p>
            <w:pPr>
              <w:ind w:left="20"/>
              <w:spacing w:after="0"/>
              <w:rPr>
                <w:sz w:val="20"/>
                <w:szCs w:val="20"/>
                <w:color w:val="auto"/>
              </w:rPr>
            </w:pPr>
            <w:r>
              <w:rPr>
                <w:rFonts w:ascii="Arial" w:cs="Arial" w:eastAsia="Arial" w:hAnsi="Arial"/>
                <w:sz w:val="14"/>
                <w:szCs w:val="14"/>
                <w:b w:val="1"/>
                <w:bCs w:val="1"/>
                <w:color w:val="auto"/>
              </w:rPr>
              <w:t>REPORTABLE SEGMENT (1)</w:t>
            </w:r>
          </w:p>
        </w:tc>
        <w:tc>
          <w:tcPr>
            <w:tcW w:w="100" w:type="dxa"/>
            <w:vAlign w:val="bottom"/>
          </w:tcPr>
          <w:p>
            <w:pPr>
              <w:spacing w:after="0"/>
              <w:rPr>
                <w:sz w:val="17"/>
                <w:szCs w:val="17"/>
                <w:color w:val="auto"/>
              </w:rPr>
            </w:pPr>
          </w:p>
        </w:tc>
        <w:tc>
          <w:tcPr>
            <w:tcW w:w="4680" w:type="dxa"/>
            <w:vAlign w:val="bottom"/>
            <w:gridSpan w:val="2"/>
          </w:tcPr>
          <w:p>
            <w:pPr>
              <w:spacing w:after="0"/>
              <w:rPr>
                <w:sz w:val="20"/>
                <w:szCs w:val="20"/>
                <w:color w:val="auto"/>
              </w:rPr>
            </w:pPr>
            <w:r>
              <w:rPr>
                <w:rFonts w:ascii="Arial" w:cs="Arial" w:eastAsia="Arial" w:hAnsi="Arial"/>
                <w:sz w:val="14"/>
                <w:szCs w:val="14"/>
                <w:b w:val="1"/>
                <w:bCs w:val="1"/>
                <w:color w:val="auto"/>
              </w:rPr>
              <w:t>CONCEPT</w:t>
            </w:r>
          </w:p>
        </w:tc>
        <w:tc>
          <w:tcPr>
            <w:tcW w:w="3820" w:type="dxa"/>
            <w:vAlign w:val="bottom"/>
          </w:tcPr>
          <w:p>
            <w:pPr>
              <w:spacing w:after="0"/>
              <w:rPr>
                <w:sz w:val="20"/>
                <w:szCs w:val="20"/>
                <w:color w:val="auto"/>
              </w:rPr>
            </w:pPr>
            <w:r>
              <w:rPr>
                <w:rFonts w:ascii="Arial" w:cs="Arial" w:eastAsia="Arial" w:hAnsi="Arial"/>
                <w:sz w:val="14"/>
                <w:szCs w:val="14"/>
                <w:b w:val="1"/>
                <w:bCs w:val="1"/>
                <w:color w:val="auto"/>
              </w:rPr>
              <w:t>GEOGRAPHIC LOCATION</w:t>
            </w:r>
          </w:p>
        </w:tc>
        <w:tc>
          <w:tcPr>
            <w:tcW w:w="0" w:type="dxa"/>
            <w:vAlign w:val="bottom"/>
          </w:tcPr>
          <w:p>
            <w:pPr>
              <w:spacing w:after="0"/>
              <w:rPr>
                <w:sz w:val="1"/>
                <w:szCs w:val="1"/>
                <w:color w:val="auto"/>
              </w:rPr>
            </w:pPr>
          </w:p>
        </w:tc>
      </w:tr>
      <w:tr>
        <w:trPr>
          <w:trHeight w:val="223"/>
        </w:trPr>
        <w:tc>
          <w:tcPr>
            <w:tcW w:w="2640" w:type="dxa"/>
            <w:vAlign w:val="bottom"/>
            <w:tcBorders>
              <w:top w:val="single" w:sz="8" w:color="auto"/>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U.S.</w:t>
            </w:r>
          </w:p>
        </w:tc>
        <w:tc>
          <w:tcPr>
            <w:tcW w:w="100" w:type="dxa"/>
            <w:vAlign w:val="bottom"/>
            <w:tcBorders>
              <w:top w:val="single" w:sz="8" w:color="CCEEFF"/>
              <w:right w:val="single" w:sz="8" w:color="auto"/>
            </w:tcBorders>
            <w:shd w:val="clear" w:color="auto" w:fill="CCEEFF"/>
          </w:tcPr>
          <w:p>
            <w:pPr>
              <w:spacing w:after="0"/>
              <w:rPr>
                <w:sz w:val="19"/>
                <w:szCs w:val="19"/>
                <w:color w:val="auto"/>
              </w:rPr>
            </w:pPr>
          </w:p>
        </w:tc>
        <w:tc>
          <w:tcPr>
            <w:tcW w:w="4580" w:type="dxa"/>
            <w:vAlign w:val="bottom"/>
            <w:tcBorders>
              <w:top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Outback Steakhouse</w:t>
            </w:r>
          </w:p>
        </w:tc>
        <w:tc>
          <w:tcPr>
            <w:tcW w:w="100" w:type="dxa"/>
            <w:vAlign w:val="bottom"/>
            <w:tcBorders>
              <w:top w:val="single" w:sz="8" w:color="CCEEFF"/>
              <w:right w:val="single" w:sz="8" w:color="auto"/>
            </w:tcBorders>
            <w:shd w:val="clear" w:color="auto" w:fill="CCEEFF"/>
          </w:tcPr>
          <w:p>
            <w:pPr>
              <w:spacing w:after="0"/>
              <w:rPr>
                <w:sz w:val="19"/>
                <w:szCs w:val="19"/>
                <w:color w:val="auto"/>
              </w:rPr>
            </w:pPr>
          </w:p>
        </w:tc>
        <w:tc>
          <w:tcPr>
            <w:tcW w:w="3820" w:type="dxa"/>
            <w:vAlign w:val="bottom"/>
            <w:tcBorders>
              <w:top w:val="single" w:sz="8" w:color="auto"/>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640" w:type="dxa"/>
            <w:vAlign w:val="bottom"/>
            <w:tcBorders>
              <w:left w:val="single" w:sz="8" w:color="auto"/>
              <w:right w:val="single" w:sz="8" w:color="auto"/>
            </w:tcBorders>
            <w:shd w:val="clear" w:color="auto" w:fill="CCEEFF"/>
          </w:tcPr>
          <w:p>
            <w:pPr>
              <w:spacing w:after="0"/>
              <w:rPr>
                <w:sz w:val="22"/>
                <w:szCs w:val="22"/>
                <w:color w:val="auto"/>
              </w:rPr>
            </w:pPr>
          </w:p>
        </w:tc>
        <w:tc>
          <w:tcPr>
            <w:tcW w:w="100" w:type="dxa"/>
            <w:vAlign w:val="bottom"/>
            <w:tcBorders>
              <w:right w:val="single" w:sz="8" w:color="auto"/>
            </w:tcBorders>
            <w:shd w:val="clear" w:color="auto" w:fill="CCEEFF"/>
          </w:tcPr>
          <w:p>
            <w:pPr>
              <w:spacing w:after="0"/>
              <w:rPr>
                <w:sz w:val="22"/>
                <w:szCs w:val="22"/>
                <w:color w:val="auto"/>
              </w:rPr>
            </w:pPr>
          </w:p>
        </w:tc>
        <w:tc>
          <w:tcPr>
            <w:tcW w:w="45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Carrabba’s Italian Grill</w:t>
            </w:r>
          </w:p>
        </w:tc>
        <w:tc>
          <w:tcPr>
            <w:tcW w:w="100" w:type="dxa"/>
            <w:vAlign w:val="bottom"/>
            <w:tcBorders>
              <w:right w:val="single" w:sz="8" w:color="auto"/>
            </w:tcBorders>
            <w:shd w:val="clear" w:color="auto" w:fill="CCEEFF"/>
          </w:tcPr>
          <w:p>
            <w:pPr>
              <w:spacing w:after="0"/>
              <w:rPr>
                <w:sz w:val="22"/>
                <w:szCs w:val="22"/>
                <w:color w:val="auto"/>
              </w:rPr>
            </w:pPr>
          </w:p>
        </w:tc>
        <w:tc>
          <w:tcPr>
            <w:tcW w:w="3820" w:type="dxa"/>
            <w:vAlign w:val="bottom"/>
            <w:tcBorders>
              <w:right w:val="single" w:sz="8" w:color="auto"/>
            </w:tcBorders>
            <w:vMerge w:val="restart"/>
            <w:shd w:val="clear" w:color="auto" w:fill="CCEEFF"/>
          </w:tcPr>
          <w:p>
            <w:pPr>
              <w:ind w:left="20"/>
              <w:spacing w:after="0"/>
              <w:rPr>
                <w:sz w:val="20"/>
                <w:szCs w:val="20"/>
                <w:color w:val="auto"/>
              </w:rPr>
            </w:pPr>
            <w:r>
              <w:rPr>
                <w:rFonts w:ascii="Arial" w:cs="Arial" w:eastAsia="Arial" w:hAnsi="Arial"/>
                <w:sz w:val="16"/>
                <w:szCs w:val="16"/>
                <w:color w:val="auto"/>
              </w:rPr>
              <w:t>United States of America</w:t>
            </w:r>
          </w:p>
        </w:tc>
        <w:tc>
          <w:tcPr>
            <w:tcW w:w="0" w:type="dxa"/>
            <w:vAlign w:val="bottom"/>
          </w:tcPr>
          <w:p>
            <w:pPr>
              <w:spacing w:after="0"/>
              <w:rPr>
                <w:sz w:val="1"/>
                <w:szCs w:val="1"/>
                <w:color w:val="auto"/>
              </w:rPr>
            </w:pPr>
          </w:p>
        </w:tc>
      </w:tr>
      <w:tr>
        <w:trPr>
          <w:trHeight w:val="121"/>
        </w:trPr>
        <w:tc>
          <w:tcPr>
            <w:tcW w:w="2640" w:type="dxa"/>
            <w:vAlign w:val="bottom"/>
            <w:tcBorders>
              <w:left w:val="single" w:sz="8" w:color="auto"/>
              <w:right w:val="single" w:sz="8" w:color="auto"/>
            </w:tcBorders>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4580" w:type="dxa"/>
            <w:vAlign w:val="bottom"/>
            <w:tcBorders>
              <w:right w:val="single" w:sz="8" w:color="auto"/>
            </w:tcBorders>
            <w:vMerge w:val="restart"/>
            <w:shd w:val="clear" w:color="auto" w:fill="CCEEFF"/>
          </w:tcPr>
          <w:p>
            <w:pPr>
              <w:ind w:left="20"/>
              <w:spacing w:after="0"/>
              <w:rPr>
                <w:sz w:val="20"/>
                <w:szCs w:val="20"/>
                <w:color w:val="auto"/>
              </w:rPr>
            </w:pPr>
            <w:r>
              <w:rPr>
                <w:rFonts w:ascii="Arial" w:cs="Arial" w:eastAsia="Arial" w:hAnsi="Arial"/>
                <w:sz w:val="16"/>
                <w:szCs w:val="16"/>
                <w:color w:val="auto"/>
              </w:rPr>
              <w:t>Bonefish Grill</w:t>
            </w:r>
          </w:p>
        </w:tc>
        <w:tc>
          <w:tcPr>
            <w:tcW w:w="100" w:type="dxa"/>
            <w:vAlign w:val="bottom"/>
            <w:tcBorders>
              <w:right w:val="single" w:sz="8" w:color="auto"/>
            </w:tcBorders>
            <w:shd w:val="clear" w:color="auto" w:fill="CCEEFF"/>
          </w:tcPr>
          <w:p>
            <w:pPr>
              <w:spacing w:after="0"/>
              <w:rPr>
                <w:sz w:val="10"/>
                <w:szCs w:val="10"/>
                <w:color w:val="auto"/>
              </w:rPr>
            </w:pPr>
          </w:p>
        </w:tc>
        <w:tc>
          <w:tcPr>
            <w:tcW w:w="3820" w:type="dxa"/>
            <w:vAlign w:val="bottom"/>
            <w:tcBorders>
              <w:right w:val="single" w:sz="8" w:color="auto"/>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40" w:type="dxa"/>
            <w:vAlign w:val="bottom"/>
            <w:tcBorders>
              <w:left w:val="single" w:sz="8" w:color="auto"/>
              <w:right w:val="single" w:sz="8" w:color="auto"/>
            </w:tcBorders>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4580" w:type="dxa"/>
            <w:vAlign w:val="bottom"/>
            <w:tcBorders>
              <w:right w:val="single" w:sz="8" w:color="auto"/>
            </w:tcBorders>
            <w:vMerge w:val="continue"/>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3820" w:type="dxa"/>
            <w:vAlign w:val="bottom"/>
            <w:tcBorders>
              <w:right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90"/>
        </w:trPr>
        <w:tc>
          <w:tcPr>
            <w:tcW w:w="2640" w:type="dxa"/>
            <w:vAlign w:val="bottom"/>
            <w:tcBorders>
              <w:left w:val="single" w:sz="8" w:color="auto"/>
              <w:bottom w:val="single" w:sz="8" w:color="CCEEFF"/>
              <w:right w:val="single" w:sz="8" w:color="auto"/>
            </w:tcBorders>
            <w:shd w:val="clear" w:color="auto" w:fill="CCEEFF"/>
          </w:tcPr>
          <w:p>
            <w:pPr>
              <w:spacing w:after="0"/>
              <w:rPr>
                <w:sz w:val="24"/>
                <w:szCs w:val="24"/>
                <w:color w:val="auto"/>
              </w:rPr>
            </w:pPr>
          </w:p>
        </w:tc>
        <w:tc>
          <w:tcPr>
            <w:tcW w:w="100" w:type="dxa"/>
            <w:vAlign w:val="bottom"/>
            <w:tcBorders>
              <w:bottom w:val="single" w:sz="8" w:color="CCEEFF"/>
              <w:right w:val="single" w:sz="8" w:color="auto"/>
            </w:tcBorders>
            <w:shd w:val="clear" w:color="auto" w:fill="CCEEFF"/>
          </w:tcPr>
          <w:p>
            <w:pPr>
              <w:spacing w:after="0"/>
              <w:rPr>
                <w:sz w:val="24"/>
                <w:szCs w:val="24"/>
                <w:color w:val="auto"/>
              </w:rPr>
            </w:pPr>
          </w:p>
        </w:tc>
        <w:tc>
          <w:tcPr>
            <w:tcW w:w="45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Fleming’s Prime Steakhouse &amp; Wine Bar</w:t>
            </w:r>
          </w:p>
        </w:tc>
        <w:tc>
          <w:tcPr>
            <w:tcW w:w="100" w:type="dxa"/>
            <w:vAlign w:val="bottom"/>
            <w:tcBorders>
              <w:bottom w:val="single" w:sz="8" w:color="CCEEFF"/>
              <w:right w:val="single" w:sz="8" w:color="auto"/>
            </w:tcBorders>
            <w:shd w:val="clear" w:color="auto" w:fill="CCEEFF"/>
          </w:tcPr>
          <w:p>
            <w:pPr>
              <w:spacing w:after="0"/>
              <w:rPr>
                <w:sz w:val="24"/>
                <w:szCs w:val="24"/>
                <w:color w:val="auto"/>
              </w:rPr>
            </w:pPr>
          </w:p>
        </w:tc>
        <w:tc>
          <w:tcPr>
            <w:tcW w:w="3820" w:type="dxa"/>
            <w:vAlign w:val="bottom"/>
            <w:tcBorders>
              <w:bottom w:val="single" w:sz="8" w:color="CCEEFF"/>
              <w:right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6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International</w:t>
            </w:r>
          </w:p>
        </w:tc>
        <w:tc>
          <w:tcPr>
            <w:tcW w:w="100" w:type="dxa"/>
            <w:vAlign w:val="bottom"/>
            <w:tcBorders>
              <w:right w:val="single" w:sz="8" w:color="auto"/>
            </w:tcBorders>
          </w:tcPr>
          <w:p>
            <w:pPr>
              <w:spacing w:after="0"/>
              <w:rPr>
                <w:sz w:val="18"/>
                <w:szCs w:val="18"/>
                <w:color w:val="auto"/>
              </w:rPr>
            </w:pPr>
          </w:p>
        </w:tc>
        <w:tc>
          <w:tcPr>
            <w:tcW w:w="45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Outback Steakhouse</w:t>
            </w:r>
          </w:p>
        </w:tc>
        <w:tc>
          <w:tcPr>
            <w:tcW w:w="100" w:type="dxa"/>
            <w:vAlign w:val="bottom"/>
            <w:tcBorders>
              <w:right w:val="single" w:sz="8" w:color="auto"/>
            </w:tcBorders>
          </w:tcPr>
          <w:p>
            <w:pPr>
              <w:spacing w:after="0"/>
              <w:rPr>
                <w:sz w:val="18"/>
                <w:szCs w:val="18"/>
                <w:color w:val="auto"/>
              </w:rPr>
            </w:pPr>
          </w:p>
        </w:tc>
        <w:tc>
          <w:tcPr>
            <w:tcW w:w="38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Brazil, Hong Kong/China</w:t>
            </w:r>
          </w:p>
        </w:tc>
        <w:tc>
          <w:tcPr>
            <w:tcW w:w="0" w:type="dxa"/>
            <w:vAlign w:val="bottom"/>
          </w:tcPr>
          <w:p>
            <w:pPr>
              <w:spacing w:after="0"/>
              <w:rPr>
                <w:sz w:val="1"/>
                <w:szCs w:val="1"/>
                <w:color w:val="auto"/>
              </w:rPr>
            </w:pPr>
          </w:p>
        </w:tc>
      </w:tr>
      <w:tr>
        <w:trPr>
          <w:trHeight w:val="33"/>
        </w:trPr>
        <w:tc>
          <w:tcPr>
            <w:tcW w:w="2640" w:type="dxa"/>
            <w:vAlign w:val="bottom"/>
            <w:tcBorders>
              <w:left w:val="single" w:sz="8" w:color="auto"/>
              <w:right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4580" w:type="dxa"/>
            <w:vAlign w:val="bottom"/>
            <w:tcBorders>
              <w:bottom w:val="single" w:sz="8" w:color="auto"/>
              <w:right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640" w:type="dxa"/>
            <w:vAlign w:val="bottom"/>
            <w:tcBorders>
              <w:left w:val="single" w:sz="8" w:color="auto"/>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45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Carrabba’s Italian Grill (Abbraccio)</w:t>
            </w:r>
          </w:p>
        </w:tc>
        <w:tc>
          <w:tcPr>
            <w:tcW w:w="100" w:type="dxa"/>
            <w:vAlign w:val="bottom"/>
            <w:tcBorders>
              <w:right w:val="single" w:sz="8" w:color="auto"/>
            </w:tcBorders>
          </w:tcPr>
          <w:p>
            <w:pPr>
              <w:spacing w:after="0"/>
              <w:rPr>
                <w:sz w:val="18"/>
                <w:szCs w:val="18"/>
                <w:color w:val="auto"/>
              </w:rPr>
            </w:pP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Brazil</w:t>
            </w:r>
          </w:p>
        </w:tc>
        <w:tc>
          <w:tcPr>
            <w:tcW w:w="0" w:type="dxa"/>
            <w:vAlign w:val="bottom"/>
          </w:tcPr>
          <w:p>
            <w:pPr>
              <w:spacing w:after="0"/>
              <w:rPr>
                <w:sz w:val="1"/>
                <w:szCs w:val="1"/>
                <w:color w:val="auto"/>
              </w:rPr>
            </w:pPr>
          </w:p>
        </w:tc>
      </w:tr>
      <w:tr>
        <w:trPr>
          <w:trHeight w:val="33"/>
        </w:trPr>
        <w:tc>
          <w:tcPr>
            <w:tcW w:w="2640" w:type="dxa"/>
            <w:vAlign w:val="bottom"/>
            <w:tcBorders>
              <w:left w:val="single" w:sz="8" w:color="auto"/>
              <w:bottom w:val="single" w:sz="8" w:color="auto"/>
              <w:right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4580" w:type="dxa"/>
            <w:vAlign w:val="bottom"/>
            <w:tcBorders>
              <w:bottom w:val="single" w:sz="8" w:color="auto"/>
              <w:right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2640" w:type="dxa"/>
            <w:vAlign w:val="bottom"/>
          </w:tcPr>
          <w:p>
            <w:pPr>
              <w:spacing w:after="0"/>
              <w:rPr>
                <w:sz w:val="20"/>
                <w:szCs w:val="20"/>
                <w:color w:val="auto"/>
              </w:rPr>
            </w:pPr>
            <w:r>
              <w:rPr>
                <w:rFonts w:ascii="Arial" w:cs="Arial" w:eastAsia="Arial" w:hAnsi="Arial"/>
                <w:sz w:val="16"/>
                <w:szCs w:val="16"/>
                <w:color w:val="auto"/>
              </w:rPr>
              <w:t>_________________</w:t>
            </w:r>
          </w:p>
        </w:tc>
        <w:tc>
          <w:tcPr>
            <w:tcW w:w="10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Includes franchise locations.</w:t>
      </w:r>
    </w:p>
    <w:p>
      <w:pPr>
        <w:spacing w:after="0" w:line="22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Segment accounting policies are the same as those described in Note 2 -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in the Company’s Annual Report on Form 10-K for the year ended December 29, 2019. Revenues for all segments include only transactions with customers and exclude intersegment revenues. Excluded from Income from operations for U.S. and international are certain legal and corporate costs not directly related to the performance of the segments, most stock-based compensation expenses and certain bonus expenses.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 Continued</w:t>
      </w:r>
    </w:p>
    <w:p>
      <w:pPr>
        <w:spacing w:after="0" w:line="348"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 xml:space="preserve">During the thirteen and twenty-six weeks ended June 28, 2020, the Company recorded $2.4 million </w:t>
      </w:r>
      <w:r>
        <w:rPr>
          <w:rFonts w:ascii="Arial" w:cs="Arial" w:eastAsia="Arial" w:hAnsi="Arial"/>
          <w:sz w:val="17"/>
          <w:szCs w:val="17"/>
          <w:color w:val="auto"/>
        </w:rPr>
        <w:t>and</w:t>
      </w:r>
      <w:r>
        <w:rPr>
          <w:rFonts w:ascii="Arial" w:cs="Arial" w:eastAsia="Arial" w:hAnsi="Arial"/>
          <w:sz w:val="20"/>
          <w:szCs w:val="20"/>
          <w:color w:val="auto"/>
        </w:rPr>
        <w:t xml:space="preserve"> $24.6 million, respectively, of pre-tax charges as a part of transformational initiatives implemented in connection with its previously announced review of strategic alternatives. These costs were primarily recorded within General and administrative expense and Provision for impaired assets and restaurant closings and were not allocated to the Company’s segments since the Company’s CODM does not consider the impact of transformational initiatives when assessing segment performance.</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is a summary of Total revenue by segment, for the periods indicated: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9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4"/>
          </w:tcPr>
          <w:p>
            <w:pPr>
              <w:jc w:val="right"/>
              <w:ind w:right="541"/>
              <w:spacing w:after="0"/>
              <w:rPr>
                <w:sz w:val="20"/>
                <w:szCs w:val="20"/>
                <w:color w:val="auto"/>
              </w:rPr>
            </w:pPr>
            <w:r>
              <w:rPr>
                <w:rFonts w:ascii="Arial" w:cs="Arial" w:eastAsia="Arial" w:hAnsi="Arial"/>
                <w:sz w:val="14"/>
                <w:szCs w:val="14"/>
                <w:b w:val="1"/>
                <w:bCs w:val="1"/>
                <w:color w:val="auto"/>
              </w:rPr>
              <w:t>THIRTEEN WEEKS ENDED</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4"/>
          </w:tcPr>
          <w:p>
            <w:pPr>
              <w:jc w:val="right"/>
              <w:ind w:right="461"/>
              <w:spacing w:after="0"/>
              <w:rPr>
                <w:sz w:val="20"/>
                <w:szCs w:val="20"/>
                <w:color w:val="auto"/>
              </w:rPr>
            </w:pPr>
            <w:r>
              <w:rPr>
                <w:rFonts w:ascii="Arial" w:cs="Arial" w:eastAsia="Arial" w:hAnsi="Arial"/>
                <w:sz w:val="14"/>
                <w:szCs w:val="14"/>
                <w:b w:val="1"/>
                <w:bCs w:val="1"/>
                <w:color w:val="auto"/>
              </w:rPr>
              <w:t>TWENTY-SIX WEEKS ENDED</w:t>
            </w:r>
          </w:p>
        </w:tc>
      </w:tr>
      <w:tr>
        <w:trPr>
          <w:trHeight w:val="209"/>
        </w:trPr>
        <w:tc>
          <w:tcPr>
            <w:tcW w:w="492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Pr>
          <w:p>
            <w:pPr>
              <w:spacing w:after="0"/>
              <w:rPr>
                <w:sz w:val="18"/>
                <w:szCs w:val="18"/>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28, 2020</w:t>
            </w:r>
          </w:p>
        </w:tc>
        <w:tc>
          <w:tcPr>
            <w:tcW w:w="200" w:type="dxa"/>
            <w:vAlign w:val="bottom"/>
          </w:tcPr>
          <w:p>
            <w:pPr>
              <w:spacing w:after="0"/>
              <w:rPr>
                <w:sz w:val="18"/>
                <w:szCs w:val="18"/>
                <w:color w:val="auto"/>
              </w:rPr>
            </w:pPr>
          </w:p>
        </w:tc>
        <w:tc>
          <w:tcPr>
            <w:tcW w:w="142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2019</w:t>
            </w:r>
          </w:p>
        </w:tc>
        <w:tc>
          <w:tcPr>
            <w:tcW w:w="200" w:type="dxa"/>
            <w:vAlign w:val="bottom"/>
          </w:tcPr>
          <w:p>
            <w:pPr>
              <w:spacing w:after="0"/>
              <w:rPr>
                <w:sz w:val="18"/>
                <w:szCs w:val="18"/>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28, 2020</w:t>
            </w:r>
          </w:p>
        </w:tc>
        <w:tc>
          <w:tcPr>
            <w:tcW w:w="200" w:type="dxa"/>
            <w:vAlign w:val="bottom"/>
          </w:tcPr>
          <w:p>
            <w:pPr>
              <w:spacing w:after="0"/>
              <w:rPr>
                <w:sz w:val="18"/>
                <w:szCs w:val="18"/>
                <w:color w:val="auto"/>
              </w:rPr>
            </w:pPr>
          </w:p>
        </w:tc>
        <w:tc>
          <w:tcPr>
            <w:tcW w:w="1300" w:type="dxa"/>
            <w:vAlign w:val="bottom"/>
          </w:tcPr>
          <w:p>
            <w:pPr>
              <w:jc w:val="right"/>
              <w:ind w:right="221"/>
              <w:spacing w:after="0"/>
              <w:rPr>
                <w:sz w:val="20"/>
                <w:szCs w:val="20"/>
                <w:color w:val="auto"/>
              </w:rPr>
            </w:pPr>
            <w:r>
              <w:rPr>
                <w:rFonts w:ascii="Arial" w:cs="Arial" w:eastAsia="Arial" w:hAnsi="Arial"/>
                <w:sz w:val="14"/>
                <w:szCs w:val="14"/>
                <w:b w:val="1"/>
                <w:bCs w:val="1"/>
                <w:color w:val="auto"/>
              </w:rPr>
              <w:t>JUNE 30, 2019</w:t>
            </w:r>
          </w:p>
        </w:tc>
      </w:tr>
      <w:tr>
        <w:trPr>
          <w:trHeight w:val="223"/>
        </w:trPr>
        <w:tc>
          <w:tcPr>
            <w:tcW w:w="4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revenues</w:t>
            </w:r>
          </w:p>
        </w:tc>
        <w:tc>
          <w:tcPr>
            <w:tcW w:w="200" w:type="dxa"/>
            <w:vAlign w:val="bottom"/>
            <w:tcBorders>
              <w:top w:val="single" w:sz="8" w:color="auto"/>
              <w:bottom w:val="single" w:sz="8" w:color="CCEEFF"/>
            </w:tcBorders>
            <w:shd w:val="clear" w:color="auto" w:fill="CCEEFF"/>
          </w:tcPr>
          <w:p>
            <w:pPr>
              <w:spacing w:after="0"/>
              <w:rPr>
                <w:sz w:val="19"/>
                <w:szCs w:val="19"/>
                <w:color w:val="auto"/>
              </w:rPr>
            </w:pPr>
          </w:p>
        </w:tc>
        <w:tc>
          <w:tcPr>
            <w:tcW w:w="130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CCEEFF"/>
            </w:tcBorders>
            <w:shd w:val="clear" w:color="auto" w:fill="CCEEFF"/>
          </w:tcPr>
          <w:p>
            <w:pPr>
              <w:spacing w:after="0"/>
              <w:rPr>
                <w:sz w:val="19"/>
                <w:szCs w:val="19"/>
                <w:color w:val="auto"/>
              </w:rPr>
            </w:pPr>
          </w:p>
        </w:tc>
        <w:tc>
          <w:tcPr>
            <w:tcW w:w="130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CCEEFF"/>
            </w:tcBorders>
            <w:shd w:val="clear" w:color="auto" w:fill="CCEEFF"/>
          </w:tcPr>
          <w:p>
            <w:pPr>
              <w:spacing w:after="0"/>
              <w:rPr>
                <w:sz w:val="19"/>
                <w:szCs w:val="19"/>
                <w:color w:val="auto"/>
              </w:rPr>
            </w:pPr>
          </w:p>
        </w:tc>
        <w:tc>
          <w:tcPr>
            <w:tcW w:w="130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CCEEFF"/>
            </w:tcBorders>
            <w:shd w:val="clear" w:color="auto" w:fill="CCEEFF"/>
          </w:tcPr>
          <w:p>
            <w:pPr>
              <w:spacing w:after="0"/>
              <w:rPr>
                <w:sz w:val="19"/>
                <w:szCs w:val="19"/>
                <w:color w:val="auto"/>
              </w:rPr>
            </w:pPr>
          </w:p>
        </w:tc>
        <w:tc>
          <w:tcPr>
            <w:tcW w:w="1300" w:type="dxa"/>
            <w:vAlign w:val="bottom"/>
            <w:tcBorders>
              <w:top w:val="single" w:sz="8" w:color="auto"/>
              <w:bottom w:val="single" w:sz="8" w:color="CCEEFF"/>
            </w:tcBorders>
            <w:shd w:val="clear" w:color="auto" w:fill="CCEEFF"/>
          </w:tcPr>
          <w:p>
            <w:pPr>
              <w:spacing w:after="0"/>
              <w:rPr>
                <w:sz w:val="19"/>
                <w:szCs w:val="19"/>
                <w:color w:val="auto"/>
              </w:rPr>
            </w:pPr>
          </w:p>
        </w:tc>
      </w:tr>
      <w:tr>
        <w:trPr>
          <w:trHeight w:val="223"/>
        </w:trPr>
        <w:tc>
          <w:tcPr>
            <w:tcW w:w="4920" w:type="dxa"/>
            <w:vAlign w:val="bottom"/>
          </w:tcPr>
          <w:p>
            <w:pPr>
              <w:ind w:left="220"/>
              <w:spacing w:after="0"/>
              <w:rPr>
                <w:sz w:val="20"/>
                <w:szCs w:val="20"/>
                <w:color w:val="auto"/>
              </w:rPr>
            </w:pPr>
            <w:r>
              <w:rPr>
                <w:rFonts w:ascii="Arial" w:cs="Arial" w:eastAsia="Arial" w:hAnsi="Arial"/>
                <w:sz w:val="16"/>
                <w:szCs w:val="16"/>
                <w:color w:val="auto"/>
              </w:rPr>
              <w:t>U.S.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63"/>
              <w:spacing w:after="0"/>
              <w:rPr>
                <w:sz w:val="20"/>
                <w:szCs w:val="20"/>
                <w:color w:val="auto"/>
              </w:rPr>
            </w:pPr>
            <w:r>
              <w:rPr>
                <w:rFonts w:ascii="Arial" w:cs="Arial" w:eastAsia="Arial" w:hAnsi="Arial"/>
                <w:sz w:val="16"/>
                <w:szCs w:val="16"/>
                <w:color w:val="auto"/>
              </w:rPr>
              <w:t>537,080</w:t>
            </w:r>
          </w:p>
        </w:tc>
        <w:tc>
          <w:tcPr>
            <w:tcW w:w="10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61"/>
              <w:spacing w:after="0"/>
              <w:rPr>
                <w:sz w:val="20"/>
                <w:szCs w:val="20"/>
                <w:color w:val="auto"/>
              </w:rPr>
            </w:pPr>
            <w:r>
              <w:rPr>
                <w:rFonts w:ascii="Arial" w:cs="Arial" w:eastAsia="Arial" w:hAnsi="Arial"/>
                <w:sz w:val="16"/>
                <w:szCs w:val="16"/>
                <w:color w:val="auto"/>
              </w:rPr>
              <w:t>914,219</w:t>
            </w:r>
          </w:p>
        </w:tc>
        <w:tc>
          <w:tcPr>
            <w:tcW w:w="12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83"/>
              <w:spacing w:after="0"/>
              <w:rPr>
                <w:sz w:val="20"/>
                <w:szCs w:val="20"/>
                <w:color w:val="auto"/>
              </w:rPr>
            </w:pPr>
            <w:r>
              <w:rPr>
                <w:rFonts w:ascii="Arial" w:cs="Arial" w:eastAsia="Arial" w:hAnsi="Arial"/>
                <w:sz w:val="16"/>
                <w:szCs w:val="16"/>
                <w:color w:val="auto"/>
              </w:rPr>
              <w:t>1,431,577</w:t>
            </w:r>
          </w:p>
        </w:tc>
        <w:tc>
          <w:tcPr>
            <w:tcW w:w="10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61"/>
              <w:spacing w:after="0"/>
              <w:rPr>
                <w:sz w:val="20"/>
                <w:szCs w:val="20"/>
                <w:color w:val="auto"/>
              </w:rPr>
            </w:pPr>
            <w:r>
              <w:rPr>
                <w:rFonts w:ascii="Arial" w:cs="Arial" w:eastAsia="Arial" w:hAnsi="Arial"/>
                <w:sz w:val="16"/>
                <w:szCs w:val="16"/>
                <w:color w:val="auto"/>
              </w:rPr>
              <w:t>1,928,726</w:t>
            </w:r>
          </w:p>
        </w:tc>
      </w:tr>
      <w:tr>
        <w:trPr>
          <w:trHeight w:val="33"/>
        </w:trPr>
        <w:tc>
          <w:tcPr>
            <w:tcW w:w="4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63"/>
        </w:trPr>
        <w:tc>
          <w:tcPr>
            <w:tcW w:w="49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International</w:t>
            </w:r>
          </w:p>
        </w:tc>
        <w:tc>
          <w:tcPr>
            <w:tcW w:w="2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6"/>
                <w:szCs w:val="16"/>
                <w:color w:val="auto"/>
              </w:rPr>
              <w:t>41,379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107,711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6"/>
                <w:szCs w:val="16"/>
                <w:color w:val="auto"/>
              </w:rPr>
              <w:t>155,219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221,335</w:t>
            </w:r>
          </w:p>
        </w:tc>
      </w:tr>
      <w:tr>
        <w:trPr>
          <w:trHeight w:val="254"/>
        </w:trPr>
        <w:tc>
          <w:tcPr>
            <w:tcW w:w="4920" w:type="dxa"/>
            <w:vAlign w:val="bottom"/>
          </w:tcPr>
          <w:p>
            <w:pPr>
              <w:ind w:left="460"/>
              <w:spacing w:after="0"/>
              <w:rPr>
                <w:sz w:val="20"/>
                <w:szCs w:val="20"/>
                <w:color w:val="auto"/>
              </w:rPr>
            </w:pPr>
            <w:r>
              <w:rPr>
                <w:rFonts w:ascii="Arial" w:cs="Arial" w:eastAsia="Arial" w:hAnsi="Arial"/>
                <w:sz w:val="16"/>
                <w:szCs w:val="16"/>
                <w:color w:val="auto"/>
              </w:rPr>
              <w:t>Total revenues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color w:val="auto"/>
              </w:rPr>
              <w:t>578,459</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1,021,930</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color w:val="auto"/>
              </w:rPr>
              <w:t>1,586,796</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2,150,061</w:t>
            </w:r>
          </w:p>
        </w:tc>
      </w:tr>
      <w:tr>
        <w:trPr>
          <w:trHeight w:val="23"/>
        </w:trPr>
        <w:tc>
          <w:tcPr>
            <w:tcW w:w="49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bl>
    <w:p>
      <w:pPr>
        <w:spacing w:after="0" w:line="28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following table is a reconciliation of Segment (loss) income from operations to (Loss) income before (benefit) provision for income taxes, for the periods indicated:</w:t>
      </w:r>
    </w:p>
    <w:p>
      <w:pPr>
        <w:spacing w:after="0" w:line="103" w:lineRule="exact"/>
        <w:rPr>
          <w:sz w:val="20"/>
          <w:szCs w:val="20"/>
          <w:color w:val="auto"/>
        </w:rPr>
      </w:pPr>
    </w:p>
    <w:tbl>
      <w:tblPr>
        <w:tblLayout w:type="fixed"/>
        <w:tblInd w:w="40" w:type="dxa"/>
        <w:tblCellMar>
          <w:top w:w="0" w:type="dxa"/>
          <w:left w:w="0" w:type="dxa"/>
          <w:bottom w:w="0" w:type="dxa"/>
          <w:right w:w="0" w:type="dxa"/>
        </w:tblCellMar>
      </w:tblPr>
      <w:tr>
        <w:trPr>
          <w:trHeight w:val="205"/>
        </w:trPr>
        <w:tc>
          <w:tcPr>
            <w:tcW w:w="47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gridSpan w:val="4"/>
          </w:tcPr>
          <w:p>
            <w:pPr>
              <w:jc w:val="right"/>
              <w:ind w:right="500"/>
              <w:spacing w:after="0"/>
              <w:rPr>
                <w:sz w:val="20"/>
                <w:szCs w:val="20"/>
                <w:color w:val="auto"/>
              </w:rPr>
            </w:pPr>
            <w:r>
              <w:rPr>
                <w:rFonts w:ascii="Arial" w:cs="Arial" w:eastAsia="Arial" w:hAnsi="Arial"/>
                <w:sz w:val="14"/>
                <w:szCs w:val="14"/>
                <w:b w:val="1"/>
                <w:bCs w:val="1"/>
                <w:color w:val="auto"/>
              </w:rPr>
              <w:t>TWENTY-SIX WEEKS ENDED</w:t>
            </w:r>
          </w:p>
        </w:tc>
      </w:tr>
      <w:tr>
        <w:trPr>
          <w:trHeight w:val="210"/>
        </w:trPr>
        <w:tc>
          <w:tcPr>
            <w:tcW w:w="4760" w:type="dxa"/>
            <w:vAlign w:val="bottom"/>
          </w:tcPr>
          <w:p>
            <w:pPr>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28, 2020</w:t>
            </w:r>
          </w:p>
        </w:tc>
        <w:tc>
          <w:tcPr>
            <w:tcW w:w="180" w:type="dxa"/>
            <w:vAlign w:val="bottom"/>
          </w:tcPr>
          <w:p>
            <w:pPr>
              <w:spacing w:after="0"/>
              <w:rPr>
                <w:sz w:val="18"/>
                <w:szCs w:val="18"/>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2019</w:t>
            </w:r>
          </w:p>
        </w:tc>
        <w:tc>
          <w:tcPr>
            <w:tcW w:w="20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28, 2020</w:t>
            </w:r>
          </w:p>
        </w:tc>
        <w:tc>
          <w:tcPr>
            <w:tcW w:w="200" w:type="dxa"/>
            <w:vAlign w:val="bottom"/>
          </w:tcPr>
          <w:p>
            <w:pPr>
              <w:spacing w:after="0"/>
              <w:rPr>
                <w:sz w:val="18"/>
                <w:szCs w:val="18"/>
                <w:color w:val="auto"/>
              </w:rPr>
            </w:pPr>
          </w:p>
        </w:tc>
        <w:tc>
          <w:tcPr>
            <w:tcW w:w="1320" w:type="dxa"/>
            <w:vAlign w:val="bottom"/>
          </w:tcPr>
          <w:p>
            <w:pPr>
              <w:jc w:val="right"/>
              <w:ind w:right="220"/>
              <w:spacing w:after="0"/>
              <w:rPr>
                <w:sz w:val="20"/>
                <w:szCs w:val="20"/>
                <w:color w:val="auto"/>
              </w:rPr>
            </w:pPr>
            <w:r>
              <w:rPr>
                <w:rFonts w:ascii="Arial" w:cs="Arial" w:eastAsia="Arial" w:hAnsi="Arial"/>
                <w:sz w:val="14"/>
                <w:szCs w:val="14"/>
                <w:b w:val="1"/>
                <w:bCs w:val="1"/>
                <w:color w:val="auto"/>
              </w:rPr>
              <w:t>JUNE 30, 2019</w:t>
            </w:r>
          </w:p>
        </w:tc>
      </w:tr>
      <w:tr>
        <w:trPr>
          <w:trHeight w:val="223"/>
        </w:trPr>
        <w:tc>
          <w:tcPr>
            <w:tcW w:w="4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Segment (loss) income from operations</w:t>
            </w:r>
          </w:p>
        </w:tc>
        <w:tc>
          <w:tcPr>
            <w:tcW w:w="200" w:type="dxa"/>
            <w:vAlign w:val="bottom"/>
            <w:tcBorders>
              <w:top w:val="single" w:sz="8" w:color="auto"/>
              <w:bottom w:val="single" w:sz="8" w:color="CCEEFF"/>
            </w:tcBorders>
            <w:shd w:val="clear" w:color="auto" w:fill="CCEEFF"/>
          </w:tcPr>
          <w:p>
            <w:pPr>
              <w:spacing w:after="0"/>
              <w:rPr>
                <w:sz w:val="19"/>
                <w:szCs w:val="19"/>
                <w:color w:val="auto"/>
              </w:rPr>
            </w:pPr>
          </w:p>
        </w:tc>
        <w:tc>
          <w:tcPr>
            <w:tcW w:w="132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CCEEFF"/>
            </w:tcBorders>
            <w:shd w:val="clear" w:color="auto" w:fill="CCEEFF"/>
          </w:tcPr>
          <w:p>
            <w:pPr>
              <w:spacing w:after="0"/>
              <w:rPr>
                <w:sz w:val="19"/>
                <w:szCs w:val="19"/>
                <w:color w:val="auto"/>
              </w:rPr>
            </w:pPr>
          </w:p>
        </w:tc>
        <w:tc>
          <w:tcPr>
            <w:tcW w:w="134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CCEEFF"/>
            </w:tcBorders>
            <w:shd w:val="clear" w:color="auto" w:fill="CCEEFF"/>
          </w:tcPr>
          <w:p>
            <w:pPr>
              <w:spacing w:after="0"/>
              <w:rPr>
                <w:sz w:val="19"/>
                <w:szCs w:val="19"/>
                <w:color w:val="auto"/>
              </w:rPr>
            </w:pPr>
          </w:p>
        </w:tc>
        <w:tc>
          <w:tcPr>
            <w:tcW w:w="134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CCEEFF"/>
            </w:tcBorders>
            <w:shd w:val="clear" w:color="auto" w:fill="CCEEFF"/>
          </w:tcPr>
          <w:p>
            <w:pPr>
              <w:spacing w:after="0"/>
              <w:rPr>
                <w:sz w:val="19"/>
                <w:szCs w:val="19"/>
                <w:color w:val="auto"/>
              </w:rPr>
            </w:pPr>
          </w:p>
        </w:tc>
        <w:tc>
          <w:tcPr>
            <w:tcW w:w="1320" w:type="dxa"/>
            <w:vAlign w:val="bottom"/>
            <w:tcBorders>
              <w:top w:val="single" w:sz="8" w:color="auto"/>
              <w:bottom w:val="single" w:sz="8" w:color="CCEEFF"/>
            </w:tcBorders>
            <w:shd w:val="clear" w:color="auto" w:fill="CCEEFF"/>
          </w:tcPr>
          <w:p>
            <w:pPr>
              <w:spacing w:after="0"/>
              <w:rPr>
                <w:sz w:val="19"/>
                <w:szCs w:val="19"/>
                <w:color w:val="auto"/>
              </w:rPr>
            </w:pPr>
          </w:p>
        </w:tc>
      </w:tr>
      <w:tr>
        <w:trPr>
          <w:trHeight w:val="224"/>
        </w:trPr>
        <w:tc>
          <w:tcPr>
            <w:tcW w:w="4760" w:type="dxa"/>
            <w:vAlign w:val="bottom"/>
          </w:tcPr>
          <w:p>
            <w:pPr>
              <w:ind w:left="100"/>
              <w:spacing w:after="0"/>
              <w:rPr>
                <w:sz w:val="20"/>
                <w:szCs w:val="20"/>
                <w:color w:val="auto"/>
              </w:rPr>
            </w:pPr>
            <w:r>
              <w:rPr>
                <w:rFonts w:ascii="Arial" w:cs="Arial" w:eastAsia="Arial" w:hAnsi="Arial"/>
                <w:sz w:val="16"/>
                <w:szCs w:val="16"/>
                <w:color w:val="auto"/>
              </w:rPr>
              <w:t>U.S.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(62,921)</w:t>
            </w:r>
          </w:p>
        </w:tc>
        <w:tc>
          <w:tcPr>
            <w:tcW w:w="120" w:type="dxa"/>
            <w:vAlign w:val="bottom"/>
          </w:tcPr>
          <w:p>
            <w:pPr>
              <w:spacing w:after="0"/>
              <w:rPr>
                <w:sz w:val="19"/>
                <w:szCs w:val="19"/>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ind w:right="80"/>
              <w:spacing w:after="0"/>
              <w:rPr>
                <w:sz w:val="20"/>
                <w:szCs w:val="20"/>
                <w:color w:val="auto"/>
              </w:rPr>
            </w:pPr>
            <w:r>
              <w:rPr>
                <w:rFonts w:ascii="Arial" w:cs="Arial" w:eastAsia="Arial" w:hAnsi="Arial"/>
                <w:sz w:val="16"/>
                <w:szCs w:val="16"/>
                <w:color w:val="auto"/>
              </w:rPr>
              <w:t>78,814</w:t>
            </w:r>
          </w:p>
        </w:tc>
        <w:tc>
          <w:tcPr>
            <w:tcW w:w="10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(51,542)</w:t>
            </w:r>
          </w:p>
        </w:tc>
        <w:tc>
          <w:tcPr>
            <w:tcW w:w="10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60"/>
              <w:spacing w:after="0"/>
              <w:rPr>
                <w:sz w:val="20"/>
                <w:szCs w:val="20"/>
                <w:color w:val="auto"/>
              </w:rPr>
            </w:pPr>
            <w:r>
              <w:rPr>
                <w:rFonts w:ascii="Arial" w:cs="Arial" w:eastAsia="Arial" w:hAnsi="Arial"/>
                <w:sz w:val="16"/>
                <w:szCs w:val="16"/>
                <w:color w:val="auto"/>
              </w:rPr>
              <w:t>191,849</w:t>
            </w:r>
          </w:p>
        </w:tc>
      </w:tr>
      <w:tr>
        <w:trPr>
          <w:trHeight w:val="33"/>
        </w:trPr>
        <w:tc>
          <w:tcPr>
            <w:tcW w:w="4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63"/>
        </w:trPr>
        <w:tc>
          <w:tcPr>
            <w:tcW w:w="47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International</w:t>
            </w:r>
          </w:p>
        </w:tc>
        <w:tc>
          <w:tcPr>
            <w:tcW w:w="20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(17,070)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6,909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(10,283)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20,629</w:t>
            </w:r>
          </w:p>
        </w:tc>
      </w:tr>
      <w:tr>
        <w:trPr>
          <w:trHeight w:val="224"/>
        </w:trPr>
        <w:tc>
          <w:tcPr>
            <w:tcW w:w="4760" w:type="dxa"/>
            <w:vAlign w:val="bottom"/>
          </w:tcPr>
          <w:p>
            <w:pPr>
              <w:ind w:left="320"/>
              <w:spacing w:after="0"/>
              <w:rPr>
                <w:sz w:val="20"/>
                <w:szCs w:val="20"/>
                <w:color w:val="auto"/>
              </w:rPr>
            </w:pPr>
            <w:r>
              <w:rPr>
                <w:rFonts w:ascii="Arial" w:cs="Arial" w:eastAsia="Arial" w:hAnsi="Arial"/>
                <w:sz w:val="16"/>
                <w:szCs w:val="16"/>
                <w:color w:val="auto"/>
              </w:rPr>
              <w:t>Total segment (loss) income from operations</w:t>
            </w:r>
          </w:p>
        </w:tc>
        <w:tc>
          <w:tcPr>
            <w:tcW w:w="200" w:type="dxa"/>
            <w:vAlign w:val="bottom"/>
          </w:tcPr>
          <w:p>
            <w:pPr>
              <w:spacing w:after="0"/>
              <w:rPr>
                <w:sz w:val="19"/>
                <w:szCs w:val="19"/>
                <w:color w:val="auto"/>
              </w:rPr>
            </w:pP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(79,991)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ind w:right="80"/>
              <w:spacing w:after="0"/>
              <w:rPr>
                <w:sz w:val="20"/>
                <w:szCs w:val="20"/>
                <w:color w:val="auto"/>
              </w:rPr>
            </w:pPr>
            <w:r>
              <w:rPr>
                <w:rFonts w:ascii="Arial" w:cs="Arial" w:eastAsia="Arial" w:hAnsi="Arial"/>
                <w:sz w:val="16"/>
                <w:szCs w:val="16"/>
                <w:color w:val="auto"/>
              </w:rPr>
              <w:t>85,723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(61,825)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ind w:right="60"/>
              <w:spacing w:after="0"/>
              <w:rPr>
                <w:sz w:val="20"/>
                <w:szCs w:val="20"/>
                <w:color w:val="auto"/>
              </w:rPr>
            </w:pPr>
            <w:r>
              <w:rPr>
                <w:rFonts w:ascii="Arial" w:cs="Arial" w:eastAsia="Arial" w:hAnsi="Arial"/>
                <w:sz w:val="16"/>
                <w:szCs w:val="16"/>
                <w:color w:val="auto"/>
              </w:rPr>
              <w:t>212,478</w:t>
            </w:r>
          </w:p>
        </w:tc>
      </w:tr>
      <w:tr>
        <w:trPr>
          <w:trHeight w:val="33"/>
        </w:trPr>
        <w:tc>
          <w:tcPr>
            <w:tcW w:w="4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63"/>
        </w:trPr>
        <w:tc>
          <w:tcPr>
            <w:tcW w:w="47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Unallocated corporate operating expense</w:t>
            </w:r>
          </w:p>
        </w:tc>
        <w:tc>
          <w:tcPr>
            <w:tcW w:w="20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(31,921)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(42,263)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(91,655)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(86,524)</w:t>
            </w:r>
          </w:p>
        </w:tc>
      </w:tr>
      <w:tr>
        <w:trPr>
          <w:trHeight w:val="224"/>
        </w:trPr>
        <w:tc>
          <w:tcPr>
            <w:tcW w:w="4760" w:type="dxa"/>
            <w:vAlign w:val="bottom"/>
          </w:tcPr>
          <w:p>
            <w:pPr>
              <w:ind w:left="320"/>
              <w:spacing w:after="0"/>
              <w:rPr>
                <w:sz w:val="20"/>
                <w:szCs w:val="20"/>
                <w:color w:val="auto"/>
              </w:rPr>
            </w:pPr>
            <w:r>
              <w:rPr>
                <w:rFonts w:ascii="Arial" w:cs="Arial" w:eastAsia="Arial" w:hAnsi="Arial"/>
                <w:sz w:val="16"/>
                <w:szCs w:val="16"/>
                <w:color w:val="auto"/>
              </w:rPr>
              <w:t>Total (loss) income from operations</w:t>
            </w:r>
          </w:p>
        </w:tc>
        <w:tc>
          <w:tcPr>
            <w:tcW w:w="200" w:type="dxa"/>
            <w:vAlign w:val="bottom"/>
          </w:tcPr>
          <w:p>
            <w:pPr>
              <w:spacing w:after="0"/>
              <w:rPr>
                <w:sz w:val="19"/>
                <w:szCs w:val="19"/>
                <w:color w:val="auto"/>
              </w:rPr>
            </w:pP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(111,912)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ind w:right="80"/>
              <w:spacing w:after="0"/>
              <w:rPr>
                <w:sz w:val="20"/>
                <w:szCs w:val="20"/>
                <w:color w:val="auto"/>
              </w:rPr>
            </w:pPr>
            <w:r>
              <w:rPr>
                <w:rFonts w:ascii="Arial" w:cs="Arial" w:eastAsia="Arial" w:hAnsi="Arial"/>
                <w:sz w:val="16"/>
                <w:szCs w:val="16"/>
                <w:color w:val="auto"/>
              </w:rPr>
              <w:t>43,460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(153,480)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ind w:right="60"/>
              <w:spacing w:after="0"/>
              <w:rPr>
                <w:sz w:val="20"/>
                <w:szCs w:val="20"/>
                <w:color w:val="auto"/>
              </w:rPr>
            </w:pPr>
            <w:r>
              <w:rPr>
                <w:rFonts w:ascii="Arial" w:cs="Arial" w:eastAsia="Arial" w:hAnsi="Arial"/>
                <w:sz w:val="16"/>
                <w:szCs w:val="16"/>
                <w:color w:val="auto"/>
              </w:rPr>
              <w:t>125,954</w:t>
            </w:r>
          </w:p>
        </w:tc>
      </w:tr>
      <w:tr>
        <w:trPr>
          <w:trHeight w:val="33"/>
        </w:trPr>
        <w:tc>
          <w:tcPr>
            <w:tcW w:w="4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6"/>
        </w:trPr>
        <w:tc>
          <w:tcPr>
            <w:tcW w:w="47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Loss on modification of debt</w:t>
            </w:r>
          </w:p>
        </w:tc>
        <w:tc>
          <w:tcPr>
            <w:tcW w:w="2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(237)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(237)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r>
      <w:tr>
        <w:trPr>
          <w:trHeight w:val="224"/>
        </w:trPr>
        <w:tc>
          <w:tcPr>
            <w:tcW w:w="4760" w:type="dxa"/>
            <w:vAlign w:val="bottom"/>
          </w:tcPr>
          <w:p>
            <w:pPr>
              <w:ind w:left="100"/>
              <w:spacing w:after="0"/>
              <w:rPr>
                <w:sz w:val="20"/>
                <w:szCs w:val="20"/>
                <w:color w:val="auto"/>
              </w:rPr>
            </w:pPr>
            <w:r>
              <w:rPr>
                <w:rFonts w:ascii="Arial" w:cs="Arial" w:eastAsia="Arial" w:hAnsi="Arial"/>
                <w:sz w:val="16"/>
                <w:szCs w:val="16"/>
                <w:color w:val="auto"/>
              </w:rPr>
              <w:t>Other income (expense), net</w:t>
            </w:r>
          </w:p>
        </w:tc>
        <w:tc>
          <w:tcPr>
            <w:tcW w:w="200" w:type="dxa"/>
            <w:vAlign w:val="bottom"/>
          </w:tcPr>
          <w:p>
            <w:pPr>
              <w:spacing w:after="0"/>
              <w:rPr>
                <w:sz w:val="19"/>
                <w:szCs w:val="19"/>
                <w:color w:val="auto"/>
              </w:rPr>
            </w:pPr>
          </w:p>
        </w:tc>
        <w:tc>
          <w:tcPr>
            <w:tcW w:w="1320" w:type="dxa"/>
            <w:vAlign w:val="bottom"/>
          </w:tcPr>
          <w:p>
            <w:pPr>
              <w:jc w:val="right"/>
              <w:ind w:right="61"/>
              <w:spacing w:after="0"/>
              <w:rPr>
                <w:sz w:val="20"/>
                <w:szCs w:val="20"/>
                <w:color w:val="auto"/>
              </w:rPr>
            </w:pPr>
            <w:r>
              <w:rPr>
                <w:rFonts w:ascii="Arial" w:cs="Arial" w:eastAsia="Arial" w:hAnsi="Arial"/>
                <w:sz w:val="16"/>
                <w:szCs w:val="16"/>
                <w:color w:val="auto"/>
              </w:rPr>
              <w:t>581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ind w:right="80"/>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(212)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(156)</w:t>
            </w:r>
          </w:p>
        </w:tc>
      </w:tr>
      <w:tr>
        <w:trPr>
          <w:trHeight w:val="33"/>
        </w:trPr>
        <w:tc>
          <w:tcPr>
            <w:tcW w:w="4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63"/>
        </w:trPr>
        <w:tc>
          <w:tcPr>
            <w:tcW w:w="47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Interest expense, net</w:t>
            </w:r>
          </w:p>
        </w:tc>
        <w:tc>
          <w:tcPr>
            <w:tcW w:w="20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(16,639)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(12,448)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(28,347)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(23,629)</w:t>
            </w:r>
          </w:p>
        </w:tc>
      </w:tr>
      <w:tr>
        <w:trPr>
          <w:trHeight w:val="254"/>
        </w:trPr>
        <w:tc>
          <w:tcPr>
            <w:tcW w:w="4760" w:type="dxa"/>
            <w:vAlign w:val="bottom"/>
          </w:tcPr>
          <w:p>
            <w:pPr>
              <w:ind w:left="440"/>
              <w:spacing w:after="0"/>
              <w:rPr>
                <w:sz w:val="20"/>
                <w:szCs w:val="20"/>
                <w:color w:val="auto"/>
              </w:rPr>
            </w:pPr>
            <w:r>
              <w:rPr>
                <w:rFonts w:ascii="Arial" w:cs="Arial" w:eastAsia="Arial" w:hAnsi="Arial"/>
                <w:sz w:val="16"/>
                <w:szCs w:val="16"/>
                <w:color w:val="auto"/>
              </w:rPr>
              <w:t>(Loss) income before (benefit) provision for income taxes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(128,207)</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31,024</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(182,276)</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102,169</w:t>
            </w:r>
          </w:p>
        </w:tc>
      </w:tr>
      <w:tr>
        <w:trPr>
          <w:trHeight w:val="23"/>
        </w:trPr>
        <w:tc>
          <w:tcPr>
            <w:tcW w:w="47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bl>
    <w:p>
      <w:pPr>
        <w:spacing w:after="0" w:line="321"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is a summary of Depreciation and amortization expense by segment for the periods indicated: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9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4"/>
          </w:tcPr>
          <w:p>
            <w:pPr>
              <w:jc w:val="right"/>
              <w:ind w:right="521"/>
              <w:spacing w:after="0"/>
              <w:rPr>
                <w:sz w:val="20"/>
                <w:szCs w:val="20"/>
                <w:color w:val="auto"/>
              </w:rPr>
            </w:pPr>
            <w:r>
              <w:rPr>
                <w:rFonts w:ascii="Arial" w:cs="Arial" w:eastAsia="Arial" w:hAnsi="Arial"/>
                <w:sz w:val="14"/>
                <w:szCs w:val="14"/>
                <w:b w:val="1"/>
                <w:bCs w:val="1"/>
                <w:color w:val="auto"/>
              </w:rPr>
              <w:t>THIRTEEN WEEKS ENDED</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4"/>
          </w:tcPr>
          <w:p>
            <w:pPr>
              <w:jc w:val="right"/>
              <w:ind w:right="461"/>
              <w:spacing w:after="0"/>
              <w:rPr>
                <w:sz w:val="20"/>
                <w:szCs w:val="20"/>
                <w:color w:val="auto"/>
              </w:rPr>
            </w:pPr>
            <w:r>
              <w:rPr>
                <w:rFonts w:ascii="Arial" w:cs="Arial" w:eastAsia="Arial" w:hAnsi="Arial"/>
                <w:sz w:val="14"/>
                <w:szCs w:val="14"/>
                <w:b w:val="1"/>
                <w:bCs w:val="1"/>
                <w:color w:val="auto"/>
              </w:rPr>
              <w:t>TWENTY-SIX WEEKS ENDED</w:t>
            </w:r>
          </w:p>
        </w:tc>
      </w:tr>
      <w:tr>
        <w:trPr>
          <w:trHeight w:val="210"/>
        </w:trPr>
        <w:tc>
          <w:tcPr>
            <w:tcW w:w="494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18"/>
                <w:szCs w:val="18"/>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28, 2020</w:t>
            </w:r>
          </w:p>
        </w:tc>
        <w:tc>
          <w:tcPr>
            <w:tcW w:w="200" w:type="dxa"/>
            <w:vAlign w:val="bottom"/>
          </w:tcPr>
          <w:p>
            <w:pPr>
              <w:spacing w:after="0"/>
              <w:rPr>
                <w:sz w:val="18"/>
                <w:szCs w:val="18"/>
                <w:color w:val="auto"/>
              </w:rPr>
            </w:pPr>
          </w:p>
        </w:tc>
        <w:tc>
          <w:tcPr>
            <w:tcW w:w="142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2019</w:t>
            </w:r>
          </w:p>
        </w:tc>
        <w:tc>
          <w:tcPr>
            <w:tcW w:w="200" w:type="dxa"/>
            <w:vAlign w:val="bottom"/>
          </w:tcPr>
          <w:p>
            <w:pPr>
              <w:spacing w:after="0"/>
              <w:rPr>
                <w:sz w:val="18"/>
                <w:szCs w:val="18"/>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28, 2020</w:t>
            </w:r>
          </w:p>
        </w:tc>
        <w:tc>
          <w:tcPr>
            <w:tcW w:w="200" w:type="dxa"/>
            <w:vAlign w:val="bottom"/>
          </w:tcPr>
          <w:p>
            <w:pPr>
              <w:spacing w:after="0"/>
              <w:rPr>
                <w:sz w:val="18"/>
                <w:szCs w:val="18"/>
                <w:color w:val="auto"/>
              </w:rPr>
            </w:pPr>
          </w:p>
        </w:tc>
        <w:tc>
          <w:tcPr>
            <w:tcW w:w="1300" w:type="dxa"/>
            <w:vAlign w:val="bottom"/>
          </w:tcPr>
          <w:p>
            <w:pPr>
              <w:jc w:val="right"/>
              <w:ind w:right="221"/>
              <w:spacing w:after="0"/>
              <w:rPr>
                <w:sz w:val="20"/>
                <w:szCs w:val="20"/>
                <w:color w:val="auto"/>
              </w:rPr>
            </w:pPr>
            <w:r>
              <w:rPr>
                <w:rFonts w:ascii="Arial" w:cs="Arial" w:eastAsia="Arial" w:hAnsi="Arial"/>
                <w:sz w:val="14"/>
                <w:szCs w:val="14"/>
                <w:b w:val="1"/>
                <w:bCs w:val="1"/>
                <w:color w:val="auto"/>
              </w:rPr>
              <w:t>JUNE 30, 2019</w:t>
            </w:r>
          </w:p>
        </w:tc>
      </w:tr>
      <w:tr>
        <w:trPr>
          <w:trHeight w:val="223"/>
        </w:trPr>
        <w:tc>
          <w:tcPr>
            <w:tcW w:w="4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180" w:type="dxa"/>
            <w:vAlign w:val="bottom"/>
            <w:tcBorders>
              <w:top w:val="single" w:sz="8" w:color="auto"/>
              <w:bottom w:val="single" w:sz="8" w:color="CCEEFF"/>
            </w:tcBorders>
            <w:shd w:val="clear" w:color="auto" w:fill="CCEEFF"/>
          </w:tcPr>
          <w:p>
            <w:pPr>
              <w:spacing w:after="0"/>
              <w:rPr>
                <w:sz w:val="19"/>
                <w:szCs w:val="19"/>
                <w:color w:val="auto"/>
              </w:rPr>
            </w:pPr>
          </w:p>
        </w:tc>
        <w:tc>
          <w:tcPr>
            <w:tcW w:w="130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CCEEFF"/>
            </w:tcBorders>
            <w:shd w:val="clear" w:color="auto" w:fill="CCEEFF"/>
          </w:tcPr>
          <w:p>
            <w:pPr>
              <w:spacing w:after="0"/>
              <w:rPr>
                <w:sz w:val="19"/>
                <w:szCs w:val="19"/>
                <w:color w:val="auto"/>
              </w:rPr>
            </w:pPr>
          </w:p>
        </w:tc>
        <w:tc>
          <w:tcPr>
            <w:tcW w:w="130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CCEEFF"/>
            </w:tcBorders>
            <w:shd w:val="clear" w:color="auto" w:fill="CCEEFF"/>
          </w:tcPr>
          <w:p>
            <w:pPr>
              <w:spacing w:after="0"/>
              <w:rPr>
                <w:sz w:val="19"/>
                <w:szCs w:val="19"/>
                <w:color w:val="auto"/>
              </w:rPr>
            </w:pPr>
          </w:p>
        </w:tc>
        <w:tc>
          <w:tcPr>
            <w:tcW w:w="130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CCEEFF"/>
            </w:tcBorders>
            <w:shd w:val="clear" w:color="auto" w:fill="CCEEFF"/>
          </w:tcPr>
          <w:p>
            <w:pPr>
              <w:spacing w:after="0"/>
              <w:rPr>
                <w:sz w:val="19"/>
                <w:szCs w:val="19"/>
                <w:color w:val="auto"/>
              </w:rPr>
            </w:pPr>
          </w:p>
        </w:tc>
        <w:tc>
          <w:tcPr>
            <w:tcW w:w="1300" w:type="dxa"/>
            <w:vAlign w:val="bottom"/>
            <w:tcBorders>
              <w:top w:val="single" w:sz="8" w:color="auto"/>
              <w:bottom w:val="single" w:sz="8" w:color="CCEEFF"/>
            </w:tcBorders>
            <w:shd w:val="clear" w:color="auto" w:fill="CCEEFF"/>
          </w:tcPr>
          <w:p>
            <w:pPr>
              <w:spacing w:after="0"/>
              <w:rPr>
                <w:sz w:val="19"/>
                <w:szCs w:val="19"/>
                <w:color w:val="auto"/>
              </w:rPr>
            </w:pPr>
          </w:p>
        </w:tc>
      </w:tr>
      <w:tr>
        <w:trPr>
          <w:trHeight w:val="223"/>
        </w:trPr>
        <w:tc>
          <w:tcPr>
            <w:tcW w:w="4940" w:type="dxa"/>
            <w:vAlign w:val="bottom"/>
          </w:tcPr>
          <w:p>
            <w:pPr>
              <w:ind w:left="220"/>
              <w:spacing w:after="0"/>
              <w:rPr>
                <w:sz w:val="20"/>
                <w:szCs w:val="20"/>
                <w:color w:val="auto"/>
              </w:rPr>
            </w:pPr>
            <w:r>
              <w:rPr>
                <w:rFonts w:ascii="Arial" w:cs="Arial" w:eastAsia="Arial" w:hAnsi="Arial"/>
                <w:sz w:val="16"/>
                <w:szCs w:val="16"/>
                <w:color w:val="auto"/>
              </w:rPr>
              <w:t>U.S.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62"/>
              <w:spacing w:after="0"/>
              <w:rPr>
                <w:sz w:val="20"/>
                <w:szCs w:val="20"/>
                <w:color w:val="auto"/>
              </w:rPr>
            </w:pPr>
            <w:r>
              <w:rPr>
                <w:rFonts w:ascii="Arial" w:cs="Arial" w:eastAsia="Arial" w:hAnsi="Arial"/>
                <w:sz w:val="16"/>
                <w:szCs w:val="16"/>
                <w:color w:val="auto"/>
              </w:rPr>
              <w:t>37,308</w:t>
            </w:r>
          </w:p>
        </w:tc>
        <w:tc>
          <w:tcPr>
            <w:tcW w:w="10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61"/>
              <w:spacing w:after="0"/>
              <w:rPr>
                <w:sz w:val="20"/>
                <w:szCs w:val="20"/>
                <w:color w:val="auto"/>
              </w:rPr>
            </w:pPr>
            <w:r>
              <w:rPr>
                <w:rFonts w:ascii="Arial" w:cs="Arial" w:eastAsia="Arial" w:hAnsi="Arial"/>
                <w:sz w:val="16"/>
                <w:szCs w:val="16"/>
                <w:color w:val="auto"/>
              </w:rPr>
              <w:t>38,916</w:t>
            </w:r>
          </w:p>
        </w:tc>
        <w:tc>
          <w:tcPr>
            <w:tcW w:w="12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82"/>
              <w:spacing w:after="0"/>
              <w:rPr>
                <w:sz w:val="20"/>
                <w:szCs w:val="20"/>
                <w:color w:val="auto"/>
              </w:rPr>
            </w:pPr>
            <w:r>
              <w:rPr>
                <w:rFonts w:ascii="Arial" w:cs="Arial" w:eastAsia="Arial" w:hAnsi="Arial"/>
                <w:sz w:val="16"/>
                <w:szCs w:val="16"/>
                <w:color w:val="auto"/>
              </w:rPr>
              <w:t>74,948</w:t>
            </w:r>
          </w:p>
        </w:tc>
        <w:tc>
          <w:tcPr>
            <w:tcW w:w="10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61"/>
              <w:spacing w:after="0"/>
              <w:rPr>
                <w:sz w:val="20"/>
                <w:szCs w:val="20"/>
                <w:color w:val="auto"/>
              </w:rPr>
            </w:pPr>
            <w:r>
              <w:rPr>
                <w:rFonts w:ascii="Arial" w:cs="Arial" w:eastAsia="Arial" w:hAnsi="Arial"/>
                <w:sz w:val="16"/>
                <w:szCs w:val="16"/>
                <w:color w:val="auto"/>
              </w:rPr>
              <w:t>77,702</w:t>
            </w:r>
          </w:p>
        </w:tc>
      </w:tr>
      <w:tr>
        <w:trPr>
          <w:trHeight w:val="33"/>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6"/>
        </w:trPr>
        <w:tc>
          <w:tcPr>
            <w:tcW w:w="4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International</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5,884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6,749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12,642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13,205</w:t>
            </w:r>
          </w:p>
        </w:tc>
      </w:tr>
      <w:tr>
        <w:trPr>
          <w:trHeight w:val="270"/>
        </w:trPr>
        <w:tc>
          <w:tcPr>
            <w:tcW w:w="49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Corporate</w:t>
            </w:r>
          </w:p>
        </w:tc>
        <w:tc>
          <w:tcPr>
            <w:tcW w:w="1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2,592</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4,123</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6,462</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8,363</w:t>
            </w:r>
          </w:p>
        </w:tc>
      </w:tr>
      <w:tr>
        <w:trPr>
          <w:trHeight w:val="272"/>
        </w:trPr>
        <w:tc>
          <w:tcPr>
            <w:tcW w:w="49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depreciation and amortization</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45,784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49,788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94,052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99,270</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w:t>
      </w:r>
    </w:p>
    <w:p>
      <w:pPr>
        <w:spacing w:after="0" w:line="3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Management’s Discussion and Analysis of Financial Condition and Results of Operations</w:t>
      </w:r>
    </w:p>
    <w:p>
      <w:pPr>
        <w:spacing w:after="0" w:line="2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Management’s discussion and analysis of financial condition and results of operations should be read in conjunction with our unaudited consolidated financial statements and the related notes. Unless the context otherwise indicates, as used in this report, the term the “Company,” “we,” “us,” “our” and other similar terms mean Bloomin’ Brands, Inc. and its subsidiaries.</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Statement</w:t>
      </w:r>
    </w:p>
    <w:p>
      <w:pPr>
        <w:spacing w:after="0" w:line="249"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This Quarterly Report on Form 10-Q (the “Report”) includes statements that express our opinions, expectations, beliefs, plans, objectives, assumptions or projections regarding future events or future results and therefore are, or may be deemed to be, “forward-looking statements” within the meaning of Section 27A of the Securities Act of 1933, as amended, and Section 21E of the Securities Exchange Act of 1934, as amended. These forward-looking statements can generally be identified by the use of forward-looking terminology, including the terms “believes,” “estimates,” “anticipates,” “expects,” “feels,” “seeks,” “forecasts,” “projects,” “intends,” “plans,” “may,” “will,” “should,” “could” or “would” or, in each case, their negative or other variations or comparable terminology, although not all forward-looking statements are accompanied by such terms. These forward-looking statements include all matters that are not historical facts. They appear in a number of places throughout this Report and include statements regarding our intentions, beliefs or current expectations concerning, among other things, our results of operations, financial condition, liquidity, prospects, growth, strategies and the industry in which we operate.</w:t>
      </w:r>
    </w:p>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By their nature, forward-looking statements involve risks and uncertainties because they relate to events and depend on circumstances that may or may not occur in the future. Although we base these forward-looking statements on assumptions that we believe are reasonable when made, we caution you that forward-looking statements are not guarantees of future performance and that our actual results of operations, financial condition and liquidity, and industry developments may differ materially from statements made in or suggested by the forward-looking statements contained in this Report. In addition, even if our results of operations, financial condition and liquidity, and industry developments are consistent with the forward-looking statements contained in this Report, those results or developments may not be indicative of results or developments in subsequent periods. Important factors that could cause actual results to differ materially from statements made or suggested by forward-looking statements include, but are not limited to, the following:</w:t>
      </w:r>
    </w:p>
    <w:p>
      <w:pPr>
        <w:spacing w:after="0" w:line="195" w:lineRule="exact"/>
        <w:rPr>
          <w:sz w:val="20"/>
          <w:szCs w:val="20"/>
          <w:color w:val="auto"/>
        </w:rPr>
      </w:pPr>
    </w:p>
    <w:p>
      <w:pPr>
        <w:jc w:val="both"/>
        <w:ind w:left="660" w:hanging="247"/>
        <w:spacing w:after="0" w:line="250" w:lineRule="auto"/>
        <w:tabs>
          <w:tab w:leader="none" w:pos="658"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severity, extent and duration of the COVID-19 pandemic, its impacts on our business and results of operations, financial condition and liquidity, including any adverse impact on our stock price and on the other factors listed below, and the responses of domestic and foreign federal, state and local governments to the pandemic;</w:t>
      </w:r>
    </w:p>
    <w:p>
      <w:pPr>
        <w:spacing w:after="0" w:line="213" w:lineRule="exact"/>
        <w:rPr>
          <w:sz w:val="20"/>
          <w:szCs w:val="20"/>
          <w:color w:val="auto"/>
        </w:rPr>
      </w:pPr>
    </w:p>
    <w:p>
      <w:pPr>
        <w:ind w:left="420"/>
        <w:spacing w:after="0"/>
        <w:rPr>
          <w:sz w:val="20"/>
          <w:szCs w:val="20"/>
          <w:color w:val="auto"/>
        </w:rPr>
      </w:pPr>
      <w:r>
        <w:rPr>
          <w:rFonts w:ascii="Arial" w:cs="Arial" w:eastAsia="Arial" w:hAnsi="Arial"/>
          <w:sz w:val="20"/>
          <w:szCs w:val="20"/>
          <w:color w:val="auto"/>
        </w:rPr>
        <w:t>(ii)Consumer reactions to public health and food safety issues;</w:t>
      </w:r>
    </w:p>
    <w:p>
      <w:pPr>
        <w:spacing w:after="0" w:line="243" w:lineRule="exact"/>
        <w:rPr>
          <w:sz w:val="20"/>
          <w:szCs w:val="20"/>
          <w:color w:val="auto"/>
        </w:rPr>
      </w:pPr>
    </w:p>
    <w:p>
      <w:pPr>
        <w:ind w:left="660" w:hanging="247"/>
        <w:spacing w:after="0" w:line="260" w:lineRule="auto"/>
        <w:tabs>
          <w:tab w:leader="none" w:pos="1308" w:val="left"/>
        </w:tabs>
        <w:numPr>
          <w:ilvl w:val="0"/>
          <w:numId w:val="25"/>
        </w:numPr>
        <w:rPr>
          <w:rFonts w:ascii="Arial" w:cs="Arial" w:eastAsia="Arial" w:hAnsi="Arial"/>
          <w:sz w:val="20"/>
          <w:szCs w:val="20"/>
          <w:color w:val="auto"/>
        </w:rPr>
      </w:pPr>
      <w:r>
        <w:rPr>
          <w:rFonts w:ascii="Arial" w:cs="Arial" w:eastAsia="Arial" w:hAnsi="Arial"/>
          <w:sz w:val="20"/>
          <w:szCs w:val="20"/>
          <w:color w:val="auto"/>
        </w:rPr>
        <w:t>Our ability to compete in the highly competitive restaurant industry with many well-established competitors and new market entrants;</w:t>
      </w:r>
    </w:p>
    <w:p>
      <w:pPr>
        <w:spacing w:after="0" w:line="203" w:lineRule="exact"/>
        <w:rPr>
          <w:rFonts w:ascii="Arial" w:cs="Arial" w:eastAsia="Arial" w:hAnsi="Arial"/>
          <w:sz w:val="20"/>
          <w:szCs w:val="20"/>
          <w:color w:val="auto"/>
        </w:rPr>
      </w:pPr>
    </w:p>
    <w:p>
      <w:pPr>
        <w:ind w:left="1300" w:hanging="887"/>
        <w:spacing w:after="0"/>
        <w:tabs>
          <w:tab w:leader="none" w:pos="1300" w:val="left"/>
        </w:tabs>
        <w:numPr>
          <w:ilvl w:val="0"/>
          <w:numId w:val="25"/>
        </w:numPr>
        <w:rPr>
          <w:rFonts w:ascii="Arial" w:cs="Arial" w:eastAsia="Arial" w:hAnsi="Arial"/>
          <w:sz w:val="20"/>
          <w:szCs w:val="20"/>
          <w:color w:val="auto"/>
        </w:rPr>
      </w:pPr>
      <w:r>
        <w:rPr>
          <w:rFonts w:ascii="Arial" w:cs="Arial" w:eastAsia="Arial" w:hAnsi="Arial"/>
          <w:sz w:val="20"/>
          <w:szCs w:val="20"/>
          <w:color w:val="auto"/>
        </w:rPr>
        <w:t>Minimum wage increases and additional mandated employee benefits;</w:t>
      </w:r>
    </w:p>
    <w:p>
      <w:pPr>
        <w:spacing w:after="0" w:line="243" w:lineRule="exact"/>
        <w:rPr>
          <w:sz w:val="20"/>
          <w:szCs w:val="20"/>
          <w:color w:val="auto"/>
        </w:rPr>
      </w:pPr>
    </w:p>
    <w:p>
      <w:pPr>
        <w:ind w:left="660" w:hanging="242"/>
        <w:spacing w:after="0" w:line="260" w:lineRule="auto"/>
        <w:rPr>
          <w:sz w:val="20"/>
          <w:szCs w:val="20"/>
          <w:color w:val="auto"/>
        </w:rPr>
      </w:pPr>
      <w:r>
        <w:rPr>
          <w:rFonts w:ascii="Arial" w:cs="Arial" w:eastAsia="Arial" w:hAnsi="Arial"/>
          <w:sz w:val="20"/>
          <w:szCs w:val="20"/>
          <w:color w:val="auto"/>
        </w:rPr>
        <w:t>(v)Economic conditions and their effects on consumer confidence and discretionary spending, consumer traffic, the cost and availability of credit and interest rates;</w:t>
      </w:r>
    </w:p>
    <w:p>
      <w:pPr>
        <w:spacing w:after="0" w:line="204" w:lineRule="exact"/>
        <w:rPr>
          <w:sz w:val="20"/>
          <w:szCs w:val="20"/>
          <w:color w:val="auto"/>
        </w:rPr>
      </w:pPr>
    </w:p>
    <w:p>
      <w:pPr>
        <w:ind w:left="660" w:right="20" w:hanging="247"/>
        <w:spacing w:after="0" w:line="260" w:lineRule="auto"/>
        <w:tabs>
          <w:tab w:leader="none" w:pos="1297" w:val="left"/>
        </w:tabs>
        <w:numPr>
          <w:ilvl w:val="0"/>
          <w:numId w:val="26"/>
        </w:numPr>
        <w:rPr>
          <w:rFonts w:ascii="Arial" w:cs="Arial" w:eastAsia="Arial" w:hAnsi="Arial"/>
          <w:sz w:val="20"/>
          <w:szCs w:val="20"/>
          <w:color w:val="auto"/>
        </w:rPr>
      </w:pPr>
      <w:r>
        <w:rPr>
          <w:rFonts w:ascii="Arial" w:cs="Arial" w:eastAsia="Arial" w:hAnsi="Arial"/>
          <w:sz w:val="20"/>
          <w:szCs w:val="20"/>
          <w:color w:val="auto"/>
        </w:rPr>
        <w:t>Our ability to protect our information technology systems from interruption or security breach, including cyber security threats, and to protect consumer data and personal employee information;</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200" w:lineRule="exact"/>
        <w:rPr>
          <w:sz w:val="20"/>
          <w:szCs w:val="20"/>
          <w:color w:val="auto"/>
        </w:rPr>
      </w:pPr>
    </w:p>
    <w:p>
      <w:pPr>
        <w:spacing w:after="0" w:line="391" w:lineRule="exact"/>
        <w:rPr>
          <w:sz w:val="20"/>
          <w:szCs w:val="20"/>
          <w:color w:val="auto"/>
        </w:rPr>
      </w:pPr>
    </w:p>
    <w:p>
      <w:pPr>
        <w:ind w:left="1300" w:hanging="887"/>
        <w:spacing w:after="0"/>
        <w:tabs>
          <w:tab w:leader="none" w:pos="1300" w:val="left"/>
        </w:tabs>
        <w:numPr>
          <w:ilvl w:val="0"/>
          <w:numId w:val="27"/>
        </w:numPr>
        <w:rPr>
          <w:rFonts w:ascii="Arial" w:cs="Arial" w:eastAsia="Arial" w:hAnsi="Arial"/>
          <w:sz w:val="20"/>
          <w:szCs w:val="20"/>
          <w:color w:val="auto"/>
        </w:rPr>
      </w:pPr>
      <w:r>
        <w:rPr>
          <w:rFonts w:ascii="Arial" w:cs="Arial" w:eastAsia="Arial" w:hAnsi="Arial"/>
          <w:sz w:val="20"/>
          <w:szCs w:val="20"/>
          <w:color w:val="auto"/>
        </w:rPr>
        <w:t>Fluctuations in the price and availability of commodities;</w:t>
      </w:r>
    </w:p>
    <w:p>
      <w:pPr>
        <w:spacing w:after="0" w:line="242" w:lineRule="exact"/>
        <w:rPr>
          <w:rFonts w:ascii="Arial" w:cs="Arial" w:eastAsia="Arial" w:hAnsi="Arial"/>
          <w:sz w:val="20"/>
          <w:szCs w:val="20"/>
          <w:color w:val="auto"/>
        </w:rPr>
      </w:pPr>
    </w:p>
    <w:p>
      <w:pPr>
        <w:ind w:left="660" w:hanging="247"/>
        <w:spacing w:after="0" w:line="287" w:lineRule="auto"/>
        <w:tabs>
          <w:tab w:leader="none" w:pos="1299" w:val="left"/>
        </w:tabs>
        <w:numPr>
          <w:ilvl w:val="0"/>
          <w:numId w:val="27"/>
        </w:numPr>
        <w:rPr>
          <w:rFonts w:ascii="Arial" w:cs="Arial" w:eastAsia="Arial" w:hAnsi="Arial"/>
          <w:sz w:val="19"/>
          <w:szCs w:val="19"/>
          <w:color w:val="auto"/>
        </w:rPr>
      </w:pPr>
      <w:r>
        <w:rPr>
          <w:rFonts w:ascii="Arial" w:cs="Arial" w:eastAsia="Arial" w:hAnsi="Arial"/>
          <w:sz w:val="19"/>
          <w:szCs w:val="19"/>
          <w:color w:val="auto"/>
        </w:rPr>
        <w:t>Our ability to comply with governmental laws and regulations, the costs of compliance with such laws and regulations and the effects of changes to applicable laws and regulations, including tax laws and unanticipated liabilities;</w:t>
      </w:r>
    </w:p>
    <w:p>
      <w:pPr>
        <w:spacing w:after="0" w:line="179" w:lineRule="exact"/>
        <w:rPr>
          <w:rFonts w:ascii="Arial" w:cs="Arial" w:eastAsia="Arial" w:hAnsi="Arial"/>
          <w:sz w:val="19"/>
          <w:szCs w:val="19"/>
          <w:color w:val="auto"/>
        </w:rPr>
      </w:pPr>
    </w:p>
    <w:p>
      <w:pPr>
        <w:ind w:left="1300" w:hanging="887"/>
        <w:spacing w:after="0"/>
        <w:tabs>
          <w:tab w:leader="none" w:pos="1300" w:val="left"/>
        </w:tabs>
        <w:numPr>
          <w:ilvl w:val="0"/>
          <w:numId w:val="27"/>
        </w:numPr>
        <w:rPr>
          <w:rFonts w:ascii="Arial" w:cs="Arial" w:eastAsia="Arial" w:hAnsi="Arial"/>
          <w:sz w:val="20"/>
          <w:szCs w:val="20"/>
          <w:color w:val="auto"/>
        </w:rPr>
      </w:pPr>
      <w:r>
        <w:rPr>
          <w:rFonts w:ascii="Arial" w:cs="Arial" w:eastAsia="Arial" w:hAnsi="Arial"/>
          <w:sz w:val="20"/>
          <w:szCs w:val="20"/>
          <w:color w:val="auto"/>
        </w:rPr>
        <w:t>Our ability to effectively respond to changes in patterns of consumer traffic, consumer tastes and dietary habits;</w:t>
      </w:r>
    </w:p>
    <w:p>
      <w:pPr>
        <w:spacing w:after="0" w:line="243" w:lineRule="exact"/>
        <w:rPr>
          <w:sz w:val="20"/>
          <w:szCs w:val="20"/>
          <w:color w:val="auto"/>
        </w:rPr>
      </w:pPr>
    </w:p>
    <w:p>
      <w:pPr>
        <w:jc w:val="both"/>
        <w:ind w:left="660" w:hanging="242"/>
        <w:spacing w:after="0" w:line="269" w:lineRule="auto"/>
        <w:rPr>
          <w:sz w:val="20"/>
          <w:szCs w:val="20"/>
          <w:color w:val="auto"/>
        </w:rPr>
      </w:pPr>
      <w:r>
        <w:rPr>
          <w:rFonts w:ascii="Arial" w:cs="Arial" w:eastAsia="Arial" w:hAnsi="Arial"/>
          <w:sz w:val="19"/>
          <w:szCs w:val="19"/>
          <w:color w:val="auto"/>
        </w:rPr>
        <w:t>(x)Our ability to implement our remodeling, relocation and expansion plans due to uncertainty in locating and acquiring attractive sites on acceptable terms, obtaining required permits and approvals, recruiting and training necessary personnel, obtaining adequate financing and estimating the performance of newly opened, remodeled or relocated restaurants;</w:t>
      </w:r>
    </w:p>
    <w:p>
      <w:pPr>
        <w:spacing w:after="0" w:line="197" w:lineRule="exact"/>
        <w:rPr>
          <w:sz w:val="20"/>
          <w:szCs w:val="20"/>
          <w:color w:val="auto"/>
        </w:rPr>
      </w:pPr>
    </w:p>
    <w:p>
      <w:pPr>
        <w:ind w:left="660" w:hanging="247"/>
        <w:spacing w:after="0" w:line="260" w:lineRule="auto"/>
        <w:tabs>
          <w:tab w:leader="none" w:pos="1297" w:val="left"/>
        </w:tabs>
        <w:numPr>
          <w:ilvl w:val="0"/>
          <w:numId w:val="28"/>
        </w:numPr>
        <w:rPr>
          <w:rFonts w:ascii="Arial" w:cs="Arial" w:eastAsia="Arial" w:hAnsi="Arial"/>
          <w:sz w:val="20"/>
          <w:szCs w:val="20"/>
          <w:color w:val="auto"/>
        </w:rPr>
      </w:pPr>
      <w:r>
        <w:rPr>
          <w:rFonts w:ascii="Arial" w:cs="Arial" w:eastAsia="Arial" w:hAnsi="Arial"/>
          <w:sz w:val="20"/>
          <w:szCs w:val="20"/>
          <w:color w:val="auto"/>
        </w:rPr>
        <w:t>The effects of international economic, political and social conditions and legal systems on our foreign operations and on foreign currency exchange rates;</w:t>
      </w:r>
    </w:p>
    <w:p>
      <w:pPr>
        <w:spacing w:after="0" w:line="203" w:lineRule="exact"/>
        <w:rPr>
          <w:rFonts w:ascii="Arial" w:cs="Arial" w:eastAsia="Arial" w:hAnsi="Arial"/>
          <w:sz w:val="20"/>
          <w:szCs w:val="20"/>
          <w:color w:val="auto"/>
        </w:rPr>
      </w:pPr>
    </w:p>
    <w:p>
      <w:pPr>
        <w:ind w:left="660" w:hanging="247"/>
        <w:spacing w:after="0" w:line="260" w:lineRule="auto"/>
        <w:tabs>
          <w:tab w:leader="none" w:pos="1297" w:val="left"/>
        </w:tabs>
        <w:numPr>
          <w:ilvl w:val="0"/>
          <w:numId w:val="28"/>
        </w:numPr>
        <w:rPr>
          <w:rFonts w:ascii="Arial" w:cs="Arial" w:eastAsia="Arial" w:hAnsi="Arial"/>
          <w:sz w:val="20"/>
          <w:szCs w:val="20"/>
          <w:color w:val="auto"/>
        </w:rPr>
      </w:pPr>
      <w:r>
        <w:rPr>
          <w:rFonts w:ascii="Arial" w:cs="Arial" w:eastAsia="Arial" w:hAnsi="Arial"/>
          <w:sz w:val="20"/>
          <w:szCs w:val="20"/>
          <w:color w:val="auto"/>
        </w:rPr>
        <w:t>Our ability to preserve and grow the reputation and value of our brands, particularly in light of changes in consumer engagement with social media platforms;</w:t>
      </w:r>
    </w:p>
    <w:p>
      <w:pPr>
        <w:spacing w:after="0" w:line="203" w:lineRule="exact"/>
        <w:rPr>
          <w:rFonts w:ascii="Arial" w:cs="Arial" w:eastAsia="Arial" w:hAnsi="Arial"/>
          <w:sz w:val="20"/>
          <w:szCs w:val="20"/>
          <w:color w:val="auto"/>
        </w:rPr>
      </w:pPr>
    </w:p>
    <w:p>
      <w:pPr>
        <w:ind w:left="660" w:right="20" w:hanging="247"/>
        <w:spacing w:after="0" w:line="260" w:lineRule="auto"/>
        <w:tabs>
          <w:tab w:leader="none" w:pos="1299" w:val="left"/>
        </w:tabs>
        <w:numPr>
          <w:ilvl w:val="0"/>
          <w:numId w:val="28"/>
        </w:numPr>
        <w:rPr>
          <w:rFonts w:ascii="Arial" w:cs="Arial" w:eastAsia="Arial" w:hAnsi="Arial"/>
          <w:sz w:val="20"/>
          <w:szCs w:val="20"/>
          <w:color w:val="auto"/>
        </w:rPr>
      </w:pPr>
      <w:r>
        <w:rPr>
          <w:rFonts w:ascii="Arial" w:cs="Arial" w:eastAsia="Arial" w:hAnsi="Arial"/>
          <w:sz w:val="20"/>
          <w:szCs w:val="20"/>
          <w:color w:val="auto"/>
        </w:rPr>
        <w:t>Any impairment in the carrying value of our goodwill or other intangible or long-lived assets and its effect on our financial condition and results of operations;</w:t>
      </w:r>
    </w:p>
    <w:p>
      <w:pPr>
        <w:spacing w:after="0" w:line="203" w:lineRule="exact"/>
        <w:rPr>
          <w:rFonts w:ascii="Arial" w:cs="Arial" w:eastAsia="Arial" w:hAnsi="Arial"/>
          <w:sz w:val="20"/>
          <w:szCs w:val="20"/>
          <w:color w:val="auto"/>
        </w:rPr>
      </w:pPr>
    </w:p>
    <w:p>
      <w:pPr>
        <w:ind w:left="660" w:hanging="247"/>
        <w:spacing w:after="0" w:line="260" w:lineRule="auto"/>
        <w:tabs>
          <w:tab w:leader="none" w:pos="1301" w:val="left"/>
        </w:tabs>
        <w:numPr>
          <w:ilvl w:val="0"/>
          <w:numId w:val="28"/>
        </w:numPr>
        <w:rPr>
          <w:rFonts w:ascii="Arial" w:cs="Arial" w:eastAsia="Arial" w:hAnsi="Arial"/>
          <w:sz w:val="20"/>
          <w:szCs w:val="20"/>
          <w:color w:val="auto"/>
        </w:rPr>
      </w:pPr>
      <w:r>
        <w:rPr>
          <w:rFonts w:ascii="Arial" w:cs="Arial" w:eastAsia="Arial" w:hAnsi="Arial"/>
          <w:sz w:val="20"/>
          <w:szCs w:val="20"/>
          <w:color w:val="auto"/>
        </w:rPr>
        <w:t>Seasonal and periodic fluctuations in our results and the effects of significant adverse weather conditions and other disasters or unforeseen events;</w:t>
      </w:r>
    </w:p>
    <w:p>
      <w:pPr>
        <w:spacing w:after="0" w:line="203" w:lineRule="exact"/>
        <w:rPr>
          <w:rFonts w:ascii="Arial" w:cs="Arial" w:eastAsia="Arial" w:hAnsi="Arial"/>
          <w:sz w:val="20"/>
          <w:szCs w:val="20"/>
          <w:color w:val="auto"/>
        </w:rPr>
      </w:pPr>
    </w:p>
    <w:p>
      <w:pPr>
        <w:jc w:val="both"/>
        <w:ind w:left="660" w:hanging="247"/>
        <w:spacing w:after="0" w:line="269" w:lineRule="auto"/>
        <w:tabs>
          <w:tab w:leader="none" w:pos="1300" w:val="left"/>
        </w:tabs>
        <w:numPr>
          <w:ilvl w:val="0"/>
          <w:numId w:val="28"/>
        </w:numPr>
        <w:rPr>
          <w:rFonts w:ascii="Arial" w:cs="Arial" w:eastAsia="Arial" w:hAnsi="Arial"/>
          <w:sz w:val="19"/>
          <w:szCs w:val="19"/>
          <w:color w:val="auto"/>
        </w:rPr>
      </w:pPr>
      <w:r>
        <w:rPr>
          <w:rFonts w:ascii="Arial" w:cs="Arial" w:eastAsia="Arial" w:hAnsi="Arial"/>
          <w:sz w:val="19"/>
          <w:szCs w:val="19"/>
          <w:color w:val="auto"/>
        </w:rPr>
        <w:t>The effects of our substantial leverage and restrictive covenants in our various credit facilities on our ability to raise additional capital to fund our operations, to make capital expenditures to invest in new or renovate restaurants and to react to changes in the economy or our industry, and our exposure to interest rate risk in connection with our variable-rate debt; and</w:t>
      </w:r>
    </w:p>
    <w:p>
      <w:pPr>
        <w:spacing w:after="0" w:line="196" w:lineRule="exact"/>
        <w:rPr>
          <w:rFonts w:ascii="Arial" w:cs="Arial" w:eastAsia="Arial" w:hAnsi="Arial"/>
          <w:sz w:val="19"/>
          <w:szCs w:val="19"/>
          <w:color w:val="auto"/>
        </w:rPr>
      </w:pPr>
    </w:p>
    <w:p>
      <w:pPr>
        <w:ind w:left="660" w:hanging="247"/>
        <w:spacing w:after="0" w:line="260" w:lineRule="auto"/>
        <w:tabs>
          <w:tab w:leader="none" w:pos="1301" w:val="left"/>
        </w:tabs>
        <w:numPr>
          <w:ilvl w:val="0"/>
          <w:numId w:val="28"/>
        </w:numPr>
        <w:rPr>
          <w:rFonts w:ascii="Arial" w:cs="Arial" w:eastAsia="Arial" w:hAnsi="Arial"/>
          <w:sz w:val="20"/>
          <w:szCs w:val="20"/>
          <w:color w:val="auto"/>
        </w:rPr>
      </w:pPr>
      <w:r>
        <w:rPr>
          <w:rFonts w:ascii="Arial" w:cs="Arial" w:eastAsia="Arial" w:hAnsi="Arial"/>
          <w:sz w:val="20"/>
          <w:szCs w:val="20"/>
          <w:color w:val="auto"/>
        </w:rPr>
        <w:t>Such other factors as discussed in Part I, Item IA. Risk Factors of our Annual Report on Form 10-K for the year ended December 29, 2019.</w:t>
      </w:r>
    </w:p>
    <w:p>
      <w:pPr>
        <w:spacing w:after="0" w:line="204"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In light of these risks and uncertainties, we caution you not to place undue reliance on these forward-looking statements. Any forward-looking statement that we make in this Report speaks only as of the date of such statement, and we undertake no obligation to update any forward-looking statement or to publicly announce the results of any revision to any of those statements to reflect future events or developments. Comparisons of results for current and any prior periods are not intended to express any future trends or indications of future performance, unless specifically expressed as such, and should only be viewed as historical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3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24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We are one of the largest casual dining restaurant companies in the world with a portfolio of leading, differentiated restaurant concepts. As of June 28, 2020, we owned and operated 1,151 restaurants and franchised 309 restaurants across 47 states, Puerto Rico, Guam and 20 countries. We have four founder-inspired concepts: Outback Steakhouse, Carrabba’s Italian Grill, Bonefish Grill and Fleming’s Prime Steakhouse &amp; Wine Bar.</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Executive Summary</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Our financial results for the thirteen weeks ended June 28, 2020 (“second quarter of 2020”) include the following:</w:t>
      </w:r>
    </w:p>
    <w:p>
      <w:pPr>
        <w:spacing w:after="0" w:line="243" w:lineRule="exact"/>
        <w:rPr>
          <w:sz w:val="20"/>
          <w:szCs w:val="20"/>
          <w:color w:val="auto"/>
        </w:rPr>
      </w:pPr>
    </w:p>
    <w:p>
      <w:pPr>
        <w:jc w:val="both"/>
        <w:ind w:left="660" w:hanging="328"/>
        <w:spacing w:after="0" w:line="246" w:lineRule="auto"/>
        <w:tabs>
          <w:tab w:leader="none" w:pos="648" w:val="left"/>
        </w:tabs>
        <w:numPr>
          <w:ilvl w:val="0"/>
          <w:numId w:val="29"/>
        </w:numPr>
        <w:rPr>
          <w:rFonts w:ascii="Arial" w:cs="Arial" w:eastAsia="Arial" w:hAnsi="Arial"/>
          <w:sz w:val="20"/>
          <w:szCs w:val="20"/>
          <w:color w:val="auto"/>
        </w:rPr>
      </w:pPr>
      <w:r>
        <w:rPr>
          <w:rFonts w:ascii="Arial" w:cs="Arial" w:eastAsia="Arial" w:hAnsi="Arial"/>
          <w:sz w:val="20"/>
          <w:szCs w:val="20"/>
          <w:color w:val="auto"/>
        </w:rPr>
        <w:t>A decrease in Total revenues of 43.4% in the second quarter of 2020, as compared to the second quarter of 2019, primarily due to: (i) significantly lower comparable restaurant sales principally attributable to the COVID-19 pandemic, (ii) the net impact of restaurant closures and openings, (iii) lower franchise revenue and (iv) the effect of foreign currency translation of the Brazil Real relative to the U.S. dollar.</w:t>
      </w:r>
    </w:p>
    <w:p>
      <w:pPr>
        <w:spacing w:after="0" w:line="218" w:lineRule="exact"/>
        <w:rPr>
          <w:rFonts w:ascii="Arial" w:cs="Arial" w:eastAsia="Arial" w:hAnsi="Arial"/>
          <w:sz w:val="20"/>
          <w:szCs w:val="20"/>
          <w:color w:val="auto"/>
        </w:rPr>
      </w:pPr>
    </w:p>
    <w:p>
      <w:pPr>
        <w:jc w:val="both"/>
        <w:ind w:left="660" w:hanging="328"/>
        <w:spacing w:after="0" w:line="243" w:lineRule="auto"/>
        <w:tabs>
          <w:tab w:leader="none" w:pos="648" w:val="left"/>
        </w:tabs>
        <w:numPr>
          <w:ilvl w:val="0"/>
          <w:numId w:val="29"/>
        </w:numPr>
        <w:rPr>
          <w:rFonts w:ascii="Arial" w:cs="Arial" w:eastAsia="Arial" w:hAnsi="Arial"/>
          <w:sz w:val="20"/>
          <w:szCs w:val="20"/>
          <w:color w:val="auto"/>
        </w:rPr>
      </w:pPr>
      <w:r>
        <w:rPr>
          <w:rFonts w:ascii="Arial" w:cs="Arial" w:eastAsia="Arial" w:hAnsi="Arial"/>
          <w:sz w:val="20"/>
          <w:szCs w:val="20"/>
          <w:color w:val="auto"/>
        </w:rPr>
        <w:t>Loss from operations of $(111.9) million in the second quarter of 2020, as compared to income from operations of $43.5 million in the second quarter of 2019, was primarily due to: (i) significantly lower comparable restaurant sales and costs incurred in connection with the COVID-19 pandemic, including asset impairment charges, incremental delivery related costs and relief pay (net of tax credits) and (ii) higher labor costs and commodity inflation. These decreases are partially offset by: (i) reduced operating, advertising and utilities expense, (ii) cost savings from our restructuring and transformation initiatives and (iii) cost savings from waste reduction initiatives.</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Developments - COVID-19</w:t>
      </w:r>
    </w:p>
    <w:p>
      <w:pPr>
        <w:spacing w:after="0" w:line="249"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In response to the COVID-19 pandemic, governmental authorities took dramatic action in an effort to slow the spread of the disease. Along with many other restaurant businesses across the country, we temporarily limited our services in the U.S. to carry-out and delivery only beginning March 20, 2020. In early May 2020, we began to reopen our restaurant dining rooms with limited seating capacity in compliance with state and local regulations and as of June 28, 2020 we had reopened substantially all of our restaurant dining rooms with limited seating capacity. The temporary closure of our dining rooms and the limitations on seating capacity in our reopened dining rooms has resulted in significantly reduced traffic in our restaurants.</w:t>
      </w:r>
    </w:p>
    <w:p>
      <w:pPr>
        <w:spacing w:after="0" w:line="22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Recently, there has been a significant increase in reported COVID-19 cases in certain states, including Florida and Texas. This has resulted in some local governments responding by taking additional measures, including implementing a further reduction of in-restaurant capacity in certain locations. Although this is a developing situation, to this point these capacity reductions have had a minimal impact on overall sales trends.</w:t>
      </w:r>
    </w:p>
    <w:p>
      <w:pPr>
        <w:spacing w:after="0" w:line="218"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212529"/>
        </w:rPr>
        <w:t>When we are able to increase the capacity of our reopened dining rooms, it is uncertain whether customer traffic will return to levels prior to the outbreak of COVID-19. Even if consumer demand recovers, governmental restrictions may again limit the capacity of our dining rooms or services we may provide in the future. As a result, we expect our results for the foreseeable future will be significantly adversely impacted.</w:t>
      </w:r>
    </w:p>
    <w:p>
      <w:pPr>
        <w:spacing w:after="0" w:line="17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In response to the pandemic, we have tightly managed expenses while taking steps to secure our liquidity position</w:t>
      </w:r>
      <w:r>
        <w:rPr>
          <w:rFonts w:ascii="Arial" w:cs="Arial" w:eastAsia="Arial" w:hAnsi="Arial"/>
          <w:sz w:val="20"/>
          <w:szCs w:val="20"/>
          <w:color w:val="212529"/>
        </w:rPr>
        <w:t>.</w:t>
      </w:r>
      <w:r>
        <w:rPr>
          <w:rFonts w:ascii="Arial" w:cs="Arial" w:eastAsia="Arial" w:hAnsi="Arial"/>
          <w:sz w:val="20"/>
          <w:szCs w:val="20"/>
          <w:color w:val="auto"/>
        </w:rPr>
        <w:t xml:space="preserve"> See the subsection below e</w:t>
      </w:r>
      <w:r>
        <w:rPr>
          <w:rFonts w:ascii="Arial" w:cs="Arial" w:eastAsia="Arial" w:hAnsi="Arial"/>
          <w:sz w:val="20"/>
          <w:szCs w:val="20"/>
          <w:color w:val="212529"/>
        </w:rPr>
        <w:t>ntitled “</w:t>
      </w:r>
      <w:r>
        <w:rPr>
          <w:rFonts w:ascii="Arial" w:cs="Arial" w:eastAsia="Arial" w:hAnsi="Arial"/>
          <w:sz w:val="20"/>
          <w:szCs w:val="20"/>
          <w:i w:val="1"/>
          <w:iCs w:val="1"/>
          <w:color w:val="212529"/>
        </w:rPr>
        <w:t>Liquidity and Capital Resources</w:t>
      </w:r>
      <w:r>
        <w:rPr>
          <w:rFonts w:ascii="Arial" w:cs="Arial" w:eastAsia="Arial" w:hAnsi="Arial"/>
          <w:sz w:val="20"/>
          <w:szCs w:val="20"/>
          <w:color w:val="212529"/>
        </w:rPr>
        <w:t>” for furthe</w:t>
      </w:r>
      <w:r>
        <w:rPr>
          <w:rFonts w:ascii="Arial" w:cs="Arial" w:eastAsia="Arial" w:hAnsi="Arial"/>
          <w:sz w:val="20"/>
          <w:szCs w:val="20"/>
          <w:color w:val="auto"/>
        </w:rPr>
        <w:t>r details.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3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Key Performance Indicators</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Key measures that we use in evaluating our restaurants and assessing our business include the following:</w:t>
      </w:r>
    </w:p>
    <w:p>
      <w:pPr>
        <w:spacing w:after="0" w:line="243" w:lineRule="exact"/>
        <w:rPr>
          <w:sz w:val="20"/>
          <w:szCs w:val="20"/>
          <w:color w:val="auto"/>
        </w:rPr>
      </w:pPr>
    </w:p>
    <w:p>
      <w:pPr>
        <w:ind w:left="660" w:right="20" w:hanging="328"/>
        <w:spacing w:after="0" w:line="260" w:lineRule="auto"/>
        <w:tabs>
          <w:tab w:leader="none" w:pos="648" w:val="left"/>
        </w:tabs>
        <w:numPr>
          <w:ilvl w:val="0"/>
          <w:numId w:val="30"/>
        </w:numPr>
        <w:rPr>
          <w:rFonts w:ascii="Arial" w:cs="Arial" w:eastAsia="Arial" w:hAnsi="Arial"/>
          <w:sz w:val="20"/>
          <w:szCs w:val="20"/>
          <w:color w:val="auto"/>
        </w:rPr>
      </w:pPr>
      <w:r>
        <w:rPr>
          <w:rFonts w:ascii="Arial" w:cs="Arial" w:eastAsia="Arial" w:hAnsi="Arial"/>
          <w:sz w:val="20"/>
          <w:szCs w:val="20"/>
          <w:i w:val="1"/>
          <w:iCs w:val="1"/>
          <w:color w:val="auto"/>
        </w:rPr>
        <w:t>Average restaurant unit volumes</w:t>
      </w:r>
      <w:r>
        <w:rPr>
          <w:rFonts w:ascii="Arial" w:cs="Arial" w:eastAsia="Arial" w:hAnsi="Arial"/>
          <w:sz w:val="20"/>
          <w:szCs w:val="20"/>
          <w:color w:val="auto"/>
        </w:rPr>
        <w:t>—average sales (excluding gift card breakage) per restaurant to measure changes in customer traffic,</w:t>
      </w:r>
      <w:r>
        <w:rPr>
          <w:rFonts w:ascii="Arial" w:cs="Arial" w:eastAsia="Arial" w:hAnsi="Arial"/>
          <w:sz w:val="20"/>
          <w:szCs w:val="20"/>
          <w:i w:val="1"/>
          <w:iCs w:val="1"/>
          <w:color w:val="auto"/>
        </w:rPr>
        <w:t xml:space="preserve"> </w:t>
      </w:r>
      <w:r>
        <w:rPr>
          <w:rFonts w:ascii="Arial" w:cs="Arial" w:eastAsia="Arial" w:hAnsi="Arial"/>
          <w:sz w:val="20"/>
          <w:szCs w:val="20"/>
          <w:color w:val="auto"/>
        </w:rPr>
        <w:t>pricing and development of the brand;</w:t>
      </w:r>
    </w:p>
    <w:p>
      <w:pPr>
        <w:spacing w:after="0" w:line="203" w:lineRule="exact"/>
        <w:rPr>
          <w:rFonts w:ascii="Arial" w:cs="Arial" w:eastAsia="Arial" w:hAnsi="Arial"/>
          <w:sz w:val="20"/>
          <w:szCs w:val="20"/>
          <w:color w:val="auto"/>
        </w:rPr>
      </w:pPr>
    </w:p>
    <w:p>
      <w:pPr>
        <w:jc w:val="both"/>
        <w:ind w:left="660" w:hanging="328"/>
        <w:spacing w:after="0" w:line="250" w:lineRule="auto"/>
        <w:tabs>
          <w:tab w:leader="none" w:pos="648" w:val="left"/>
        </w:tabs>
        <w:numPr>
          <w:ilvl w:val="0"/>
          <w:numId w:val="30"/>
        </w:numPr>
        <w:rPr>
          <w:rFonts w:ascii="Arial" w:cs="Arial" w:eastAsia="Arial" w:hAnsi="Arial"/>
          <w:sz w:val="20"/>
          <w:szCs w:val="20"/>
          <w:i w:val="1"/>
          <w:iCs w:val="1"/>
          <w:color w:val="auto"/>
        </w:rPr>
      </w:pPr>
      <w:r>
        <w:rPr>
          <w:rFonts w:ascii="Arial" w:cs="Arial" w:eastAsia="Arial" w:hAnsi="Arial"/>
          <w:sz w:val="20"/>
          <w:szCs w:val="20"/>
          <w:i w:val="1"/>
          <w:iCs w:val="1"/>
          <w:color w:val="auto"/>
        </w:rPr>
        <w:t>Comparable restaurant sales</w:t>
      </w:r>
      <w:r>
        <w:rPr>
          <w:rFonts w:ascii="Arial" w:cs="Arial" w:eastAsia="Arial" w:hAnsi="Arial"/>
          <w:sz w:val="20"/>
          <w:szCs w:val="20"/>
          <w:color w:val="auto"/>
        </w:rPr>
        <w:t>—year-over-year comparison of sales volumes (excluding gift card breakage) for Company-owned</w:t>
      </w:r>
      <w:r>
        <w:rPr>
          <w:rFonts w:ascii="Arial" w:cs="Arial" w:eastAsia="Arial" w:hAnsi="Arial"/>
          <w:sz w:val="20"/>
          <w:szCs w:val="20"/>
          <w:i w:val="1"/>
          <w:iCs w:val="1"/>
          <w:color w:val="auto"/>
        </w:rPr>
        <w:t xml:space="preserve"> </w:t>
      </w:r>
      <w:r>
        <w:rPr>
          <w:rFonts w:ascii="Arial" w:cs="Arial" w:eastAsia="Arial" w:hAnsi="Arial"/>
          <w:sz w:val="20"/>
          <w:szCs w:val="20"/>
          <w:color w:val="auto"/>
        </w:rPr>
        <w:t>restaurants that are open 18 months or more in order to remove the impact of new restaurant openings in comparing the operations of existing restaurants;</w:t>
      </w:r>
    </w:p>
    <w:p>
      <w:pPr>
        <w:spacing w:after="0" w:line="212" w:lineRule="exact"/>
        <w:rPr>
          <w:rFonts w:ascii="Arial" w:cs="Arial" w:eastAsia="Arial" w:hAnsi="Arial"/>
          <w:sz w:val="20"/>
          <w:szCs w:val="20"/>
          <w:i w:val="1"/>
          <w:iCs w:val="1"/>
          <w:color w:val="auto"/>
        </w:rPr>
      </w:pPr>
    </w:p>
    <w:p>
      <w:pPr>
        <w:ind w:left="660" w:hanging="328"/>
        <w:spacing w:after="0" w:line="260" w:lineRule="auto"/>
        <w:tabs>
          <w:tab w:leader="none" w:pos="648" w:val="left"/>
        </w:tabs>
        <w:numPr>
          <w:ilvl w:val="0"/>
          <w:numId w:val="30"/>
        </w:numPr>
        <w:rPr>
          <w:rFonts w:ascii="Arial" w:cs="Arial" w:eastAsia="Arial" w:hAnsi="Arial"/>
          <w:sz w:val="20"/>
          <w:szCs w:val="20"/>
          <w:color w:val="auto"/>
        </w:rPr>
      </w:pPr>
      <w:r>
        <w:rPr>
          <w:rFonts w:ascii="Arial" w:cs="Arial" w:eastAsia="Arial" w:hAnsi="Arial"/>
          <w:sz w:val="20"/>
          <w:szCs w:val="20"/>
          <w:i w:val="1"/>
          <w:iCs w:val="1"/>
          <w:color w:val="auto"/>
        </w:rPr>
        <w:t>System-wide sales</w:t>
      </w:r>
      <w:r>
        <w:rPr>
          <w:rFonts w:ascii="Arial" w:cs="Arial" w:eastAsia="Arial" w:hAnsi="Arial"/>
          <w:sz w:val="20"/>
          <w:szCs w:val="20"/>
          <w:color w:val="auto"/>
        </w:rPr>
        <w:t>—total restaurant sales volume for all Company-owned and franchise restaurants, regardless of ownership, to</w:t>
      </w:r>
      <w:r>
        <w:rPr>
          <w:rFonts w:ascii="Arial" w:cs="Arial" w:eastAsia="Arial" w:hAnsi="Arial"/>
          <w:sz w:val="20"/>
          <w:szCs w:val="20"/>
          <w:i w:val="1"/>
          <w:iCs w:val="1"/>
          <w:color w:val="auto"/>
        </w:rPr>
        <w:t xml:space="preserve"> </w:t>
      </w:r>
      <w:r>
        <w:rPr>
          <w:rFonts w:ascii="Arial" w:cs="Arial" w:eastAsia="Arial" w:hAnsi="Arial"/>
          <w:sz w:val="20"/>
          <w:szCs w:val="20"/>
          <w:color w:val="auto"/>
        </w:rPr>
        <w:t>interpret the overall health of our brands;</w:t>
      </w:r>
    </w:p>
    <w:p>
      <w:pPr>
        <w:spacing w:after="0" w:line="203" w:lineRule="exact"/>
        <w:rPr>
          <w:rFonts w:ascii="Arial" w:cs="Arial" w:eastAsia="Arial" w:hAnsi="Arial"/>
          <w:sz w:val="20"/>
          <w:szCs w:val="20"/>
          <w:color w:val="auto"/>
        </w:rPr>
      </w:pPr>
    </w:p>
    <w:p>
      <w:pPr>
        <w:ind w:left="660" w:hanging="328"/>
        <w:spacing w:after="0" w:line="260" w:lineRule="auto"/>
        <w:tabs>
          <w:tab w:leader="none" w:pos="648" w:val="left"/>
        </w:tabs>
        <w:numPr>
          <w:ilvl w:val="0"/>
          <w:numId w:val="30"/>
        </w:numPr>
        <w:rPr>
          <w:rFonts w:ascii="Arial" w:cs="Arial" w:eastAsia="Arial" w:hAnsi="Arial"/>
          <w:sz w:val="20"/>
          <w:szCs w:val="20"/>
          <w:i w:val="1"/>
          <w:iCs w:val="1"/>
          <w:color w:val="auto"/>
        </w:rPr>
      </w:pPr>
      <w:r>
        <w:rPr>
          <w:rFonts w:ascii="Arial" w:cs="Arial" w:eastAsia="Arial" w:hAnsi="Arial"/>
          <w:sz w:val="20"/>
          <w:szCs w:val="20"/>
          <w:i w:val="1"/>
          <w:iCs w:val="1"/>
          <w:color w:val="auto"/>
        </w:rPr>
        <w:t xml:space="preserve">Restaurant-level operating margin, (Loss) income from operations, Net (loss) income and Diluted (loss) earnings per share </w:t>
      </w:r>
      <w:r>
        <w:rPr>
          <w:rFonts w:ascii="Arial" w:cs="Arial" w:eastAsia="Arial" w:hAnsi="Arial"/>
          <w:sz w:val="20"/>
          <w:szCs w:val="20"/>
          <w:color w:val="auto"/>
        </w:rPr>
        <w:t>—</w:t>
      </w:r>
      <w:r>
        <w:rPr>
          <w:rFonts w:ascii="Arial" w:cs="Arial" w:eastAsia="Arial" w:hAnsi="Arial"/>
          <w:sz w:val="20"/>
          <w:szCs w:val="20"/>
          <w:i w:val="1"/>
          <w:iCs w:val="1"/>
          <w:color w:val="auto"/>
        </w:rPr>
        <w:t xml:space="preserve"> </w:t>
      </w:r>
      <w:r>
        <w:rPr>
          <w:rFonts w:ascii="Arial" w:cs="Arial" w:eastAsia="Arial" w:hAnsi="Arial"/>
          <w:sz w:val="20"/>
          <w:szCs w:val="20"/>
          <w:color w:val="auto"/>
        </w:rPr>
        <w:t>financial measures utilized to evaluate our operating performance.</w:t>
      </w:r>
    </w:p>
    <w:p>
      <w:pPr>
        <w:spacing w:after="0" w:line="203" w:lineRule="exact"/>
        <w:rPr>
          <w:rFonts w:ascii="Arial" w:cs="Arial" w:eastAsia="Arial" w:hAnsi="Arial"/>
          <w:sz w:val="20"/>
          <w:szCs w:val="20"/>
          <w:i w:val="1"/>
          <w:iCs w:val="1"/>
          <w:color w:val="auto"/>
        </w:rPr>
      </w:pPr>
    </w:p>
    <w:p>
      <w:pPr>
        <w:jc w:val="both"/>
        <w:ind w:left="660"/>
        <w:spacing w:after="0" w:line="243" w:lineRule="auto"/>
        <w:rPr>
          <w:rFonts w:ascii="Arial" w:cs="Arial" w:eastAsia="Arial" w:hAnsi="Arial"/>
          <w:sz w:val="20"/>
          <w:szCs w:val="20"/>
          <w:i w:val="1"/>
          <w:iCs w:val="1"/>
          <w:color w:val="auto"/>
        </w:rPr>
      </w:pPr>
      <w:r>
        <w:rPr>
          <w:rFonts w:ascii="Arial" w:cs="Arial" w:eastAsia="Arial" w:hAnsi="Arial"/>
          <w:sz w:val="20"/>
          <w:szCs w:val="20"/>
          <w:color w:val="auto"/>
        </w:rPr>
        <w:t>Restaurant-level operating margin is widely regarded in the industry as a useful metric to evaluate restaurant level operating efficiency and performance of ongoing restaurant-level operations, and we use it for these purposes, overall and particularly within our two segments. Our restaurant-level operating margin is expressed as the percentage of our Restaurant sales that Cost of sales, Labor and other related and Other restaurant operating (including advertising expenses) represent, in each case as such items are reflected in our Consolidated Statements of Operations. The following categories of our revenue and operating expenses are not included in restaurant-level operating margin because we do not consider them reflective of operating performance at the restaurant-level within a period:</w:t>
      </w:r>
    </w:p>
    <w:p>
      <w:pPr>
        <w:spacing w:after="0" w:line="219" w:lineRule="exact"/>
        <w:rPr>
          <w:rFonts w:ascii="Arial" w:cs="Arial" w:eastAsia="Arial" w:hAnsi="Arial"/>
          <w:sz w:val="20"/>
          <w:szCs w:val="20"/>
          <w:i w:val="1"/>
          <w:iCs w:val="1"/>
          <w:color w:val="auto"/>
        </w:rPr>
      </w:pPr>
    </w:p>
    <w:p>
      <w:pPr>
        <w:ind w:left="1300" w:right="20" w:hanging="401"/>
        <w:spacing w:after="0" w:line="247" w:lineRule="auto"/>
        <w:tabs>
          <w:tab w:leader="none" w:pos="1298" w:val="left"/>
        </w:tabs>
        <w:numPr>
          <w:ilvl w:val="1"/>
          <w:numId w:val="30"/>
        </w:numPr>
        <w:rPr>
          <w:rFonts w:ascii="Arial" w:cs="Arial" w:eastAsia="Arial" w:hAnsi="Arial"/>
          <w:sz w:val="20"/>
          <w:szCs w:val="20"/>
          <w:color w:val="auto"/>
        </w:rPr>
      </w:pPr>
      <w:r>
        <w:rPr>
          <w:rFonts w:ascii="Arial" w:cs="Arial" w:eastAsia="Arial" w:hAnsi="Arial"/>
          <w:sz w:val="20"/>
          <w:szCs w:val="20"/>
          <w:color w:val="auto"/>
        </w:rPr>
        <w:t>Franchise and other revenues which are earned primarily from franchise royalties and other non-food and beverage revenue streams, such as rental and sublease income.</w:t>
      </w:r>
    </w:p>
    <w:p>
      <w:pPr>
        <w:spacing w:after="0" w:line="1" w:lineRule="exact"/>
        <w:rPr>
          <w:rFonts w:ascii="Arial" w:cs="Arial" w:eastAsia="Arial" w:hAnsi="Arial"/>
          <w:sz w:val="20"/>
          <w:szCs w:val="20"/>
          <w:color w:val="auto"/>
        </w:rPr>
      </w:pPr>
    </w:p>
    <w:p>
      <w:pPr>
        <w:ind w:left="1300" w:hanging="401"/>
        <w:spacing w:after="0" w:line="239" w:lineRule="auto"/>
        <w:tabs>
          <w:tab w:leader="none" w:pos="1299" w:val="left"/>
        </w:tabs>
        <w:numPr>
          <w:ilvl w:val="1"/>
          <w:numId w:val="30"/>
        </w:numPr>
        <w:rPr>
          <w:rFonts w:ascii="Arial" w:cs="Arial" w:eastAsia="Arial" w:hAnsi="Arial"/>
          <w:sz w:val="20"/>
          <w:szCs w:val="20"/>
          <w:color w:val="auto"/>
        </w:rPr>
      </w:pPr>
      <w:r>
        <w:rPr>
          <w:rFonts w:ascii="Arial" w:cs="Arial" w:eastAsia="Arial" w:hAnsi="Arial"/>
          <w:sz w:val="20"/>
          <w:szCs w:val="20"/>
          <w:color w:val="auto"/>
        </w:rPr>
        <w:t>Depreciation and amortization which, although substantially all of which is related to restaurant-level assets, represent historical sunk costs rather than cash outlays for the restaurants.</w:t>
      </w:r>
    </w:p>
    <w:p>
      <w:pPr>
        <w:ind w:left="1300" w:right="20" w:hanging="401"/>
        <w:spacing w:after="0" w:line="239" w:lineRule="auto"/>
        <w:tabs>
          <w:tab w:leader="none" w:pos="1300" w:val="left"/>
        </w:tabs>
        <w:numPr>
          <w:ilvl w:val="1"/>
          <w:numId w:val="30"/>
        </w:numPr>
        <w:rPr>
          <w:rFonts w:ascii="Arial" w:cs="Arial" w:eastAsia="Arial" w:hAnsi="Arial"/>
          <w:sz w:val="20"/>
          <w:szCs w:val="20"/>
          <w:color w:val="auto"/>
        </w:rPr>
      </w:pPr>
      <w:r>
        <w:rPr>
          <w:rFonts w:ascii="Arial" w:cs="Arial" w:eastAsia="Arial" w:hAnsi="Arial"/>
          <w:sz w:val="20"/>
          <w:szCs w:val="20"/>
          <w:color w:val="auto"/>
        </w:rPr>
        <w:t>General and administrative expense which includes primarily non-restaurant-level costs associated with support of the restaurants and other activities at our corporate offices.</w:t>
      </w:r>
    </w:p>
    <w:p>
      <w:pPr>
        <w:ind w:left="1300" w:hanging="401"/>
        <w:spacing w:after="0" w:line="244" w:lineRule="auto"/>
        <w:tabs>
          <w:tab w:leader="none" w:pos="1289" w:val="left"/>
        </w:tabs>
        <w:numPr>
          <w:ilvl w:val="1"/>
          <w:numId w:val="30"/>
        </w:numPr>
        <w:rPr>
          <w:rFonts w:ascii="Arial" w:cs="Arial" w:eastAsia="Arial" w:hAnsi="Arial"/>
          <w:sz w:val="20"/>
          <w:szCs w:val="20"/>
          <w:color w:val="auto"/>
        </w:rPr>
      </w:pPr>
      <w:r>
        <w:rPr>
          <w:rFonts w:ascii="Arial" w:cs="Arial" w:eastAsia="Arial" w:hAnsi="Arial"/>
          <w:sz w:val="20"/>
          <w:szCs w:val="20"/>
          <w:color w:val="auto"/>
        </w:rPr>
        <w:t>Asset impairment charges and restaurant closing costs which are not reflective of ongoing restaurant performance in a period.</w:t>
      </w:r>
    </w:p>
    <w:p>
      <w:pPr>
        <w:spacing w:after="0" w:line="218" w:lineRule="exact"/>
        <w:rPr>
          <w:sz w:val="20"/>
          <w:szCs w:val="20"/>
          <w:color w:val="auto"/>
        </w:rPr>
      </w:pPr>
    </w:p>
    <w:p>
      <w:pPr>
        <w:jc w:val="both"/>
        <w:ind w:left="660"/>
        <w:spacing w:after="0" w:line="260" w:lineRule="auto"/>
        <w:rPr>
          <w:sz w:val="20"/>
          <w:szCs w:val="20"/>
          <w:color w:val="auto"/>
        </w:rPr>
      </w:pPr>
      <w:r>
        <w:rPr>
          <w:rFonts w:ascii="Arial" w:cs="Arial" w:eastAsia="Arial" w:hAnsi="Arial"/>
          <w:sz w:val="19"/>
          <w:szCs w:val="19"/>
          <w:color w:val="auto"/>
        </w:rPr>
        <w:t>Restaurant-level operating margin excludes various expenses, as discussed above, that are essential to support the operations of our restaurants and may materially impact our Consolidated Statement of Operations. As a result, restaurant-level operating margin is not indicative of our consolidated results of operations and is presented exclusively as a supplement to, and not a substitute for, Net (loss) income or (Loss) income from operations. In addition, our presentation of restaurant-level operating margin may not be comparable to similarly titled measures used by other companies in our industry;</w:t>
      </w:r>
    </w:p>
    <w:p>
      <w:pPr>
        <w:spacing w:after="0" w:line="207" w:lineRule="exact"/>
        <w:rPr>
          <w:sz w:val="20"/>
          <w:szCs w:val="20"/>
          <w:color w:val="auto"/>
        </w:rPr>
      </w:pPr>
    </w:p>
    <w:p>
      <w:pPr>
        <w:ind w:left="660" w:hanging="328"/>
        <w:spacing w:after="0" w:line="287" w:lineRule="auto"/>
        <w:tabs>
          <w:tab w:leader="none" w:pos="648" w:val="left"/>
        </w:tabs>
        <w:numPr>
          <w:ilvl w:val="0"/>
          <w:numId w:val="31"/>
        </w:numPr>
        <w:rPr>
          <w:rFonts w:ascii="Arial" w:cs="Arial" w:eastAsia="Arial" w:hAnsi="Arial"/>
          <w:sz w:val="19"/>
          <w:szCs w:val="19"/>
          <w:i w:val="1"/>
          <w:iCs w:val="1"/>
          <w:color w:val="auto"/>
        </w:rPr>
      </w:pPr>
      <w:r>
        <w:rPr>
          <w:rFonts w:ascii="Arial" w:cs="Arial" w:eastAsia="Arial" w:hAnsi="Arial"/>
          <w:sz w:val="19"/>
          <w:szCs w:val="19"/>
          <w:i w:val="1"/>
          <w:iCs w:val="1"/>
          <w:color w:val="auto"/>
        </w:rPr>
        <w:t>Adjusted restaurant-level operating margin, Adjusted (loss) income from operations, Adjusted net (loss) income and Adjusted diluted (loss) earnings per share</w:t>
      </w:r>
      <w:r>
        <w:rPr>
          <w:rFonts w:ascii="Arial" w:cs="Arial" w:eastAsia="Arial" w:hAnsi="Arial"/>
          <w:sz w:val="19"/>
          <w:szCs w:val="19"/>
          <w:color w:val="auto"/>
        </w:rPr>
        <w:t>—non-GAAP financial measures utilized to evaluate our operating performance.</w:t>
      </w:r>
    </w:p>
    <w:p>
      <w:pPr>
        <w:spacing w:after="0" w:line="165" w:lineRule="exact"/>
        <w:rPr>
          <w:rFonts w:ascii="Arial" w:cs="Arial" w:eastAsia="Arial" w:hAnsi="Arial"/>
          <w:sz w:val="19"/>
          <w:szCs w:val="19"/>
          <w:i w:val="1"/>
          <w:iCs w:val="1"/>
          <w:color w:val="auto"/>
        </w:rPr>
      </w:pPr>
    </w:p>
    <w:p>
      <w:pPr>
        <w:jc w:val="both"/>
        <w:ind w:left="660"/>
        <w:spacing w:after="0" w:line="246" w:lineRule="auto"/>
        <w:rPr>
          <w:rFonts w:ascii="Arial" w:cs="Arial" w:eastAsia="Arial" w:hAnsi="Arial"/>
          <w:sz w:val="19"/>
          <w:szCs w:val="19"/>
          <w:i w:val="1"/>
          <w:iCs w:val="1"/>
          <w:color w:val="auto"/>
        </w:rPr>
      </w:pPr>
      <w:r>
        <w:rPr>
          <w:rFonts w:ascii="Arial" w:cs="Arial" w:eastAsia="Arial" w:hAnsi="Arial"/>
          <w:sz w:val="20"/>
          <w:szCs w:val="20"/>
          <w:color w:val="auto"/>
        </w:rPr>
        <w:t>We believe that our use of non-GAAP financial measures permits investors to assess the operating performance of our business relative to our performance based on U.S. GAAP results and relative to other companies within the restaurant industry by isolating the effects of certain items that may vary from period to period without correlation to core operating performance or that vary widely among similar companies.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348" w:lineRule="exact"/>
        <w:rPr>
          <w:sz w:val="20"/>
          <w:szCs w:val="20"/>
          <w:color w:val="auto"/>
        </w:rPr>
      </w:pPr>
    </w:p>
    <w:p>
      <w:pPr>
        <w:jc w:val="both"/>
        <w:ind w:left="660"/>
        <w:spacing w:after="0" w:line="328" w:lineRule="auto"/>
        <w:rPr>
          <w:sz w:val="20"/>
          <w:szCs w:val="20"/>
          <w:color w:val="auto"/>
        </w:rPr>
      </w:pPr>
      <w:r>
        <w:rPr>
          <w:rFonts w:ascii="Arial" w:cs="Arial" w:eastAsia="Arial" w:hAnsi="Arial"/>
          <w:sz w:val="16"/>
          <w:szCs w:val="16"/>
          <w:color w:val="auto"/>
        </w:rPr>
        <w:t>However, our inclusion of these adjusted measures should not be construed as an indication that our future results will be unaffected by unusual or infrequent items or that the items for which we have made adjustments are unusual or infrequent or will not recur. We believe that the disclosure of these non-GAAP measures is useful to investors as they form part of the basis for how our management team and Board of Directors evaluate our operating performance, allocate resources and administer employee incentive plans; and</w:t>
      </w:r>
    </w:p>
    <w:p>
      <w:pPr>
        <w:spacing w:after="0" w:line="155" w:lineRule="exact"/>
        <w:rPr>
          <w:sz w:val="20"/>
          <w:szCs w:val="20"/>
          <w:color w:val="auto"/>
        </w:rPr>
      </w:pPr>
    </w:p>
    <w:p>
      <w:pPr>
        <w:ind w:left="640" w:hanging="308"/>
        <w:spacing w:after="0"/>
        <w:tabs>
          <w:tab w:leader="none" w:pos="640" w:val="left"/>
        </w:tabs>
        <w:numPr>
          <w:ilvl w:val="0"/>
          <w:numId w:val="32"/>
        </w:numPr>
        <w:rPr>
          <w:rFonts w:ascii="Arial" w:cs="Arial" w:eastAsia="Arial" w:hAnsi="Arial"/>
          <w:sz w:val="20"/>
          <w:szCs w:val="20"/>
          <w:color w:val="auto"/>
        </w:rPr>
      </w:pPr>
      <w:r>
        <w:rPr>
          <w:rFonts w:ascii="Arial" w:cs="Arial" w:eastAsia="Arial" w:hAnsi="Arial"/>
          <w:sz w:val="20"/>
          <w:szCs w:val="20"/>
          <w:i w:val="1"/>
          <w:iCs w:val="1"/>
          <w:color w:val="auto"/>
        </w:rPr>
        <w:t>Customer satisfaction scores</w:t>
      </w:r>
      <w:r>
        <w:rPr>
          <w:rFonts w:ascii="Arial" w:cs="Arial" w:eastAsia="Arial" w:hAnsi="Arial"/>
          <w:sz w:val="20"/>
          <w:szCs w:val="20"/>
          <w:color w:val="auto"/>
        </w:rPr>
        <w:t>—measurement of our customers’ experiences in a variety of key areas.</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Selected Operating Data</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The table below presents the number of our restaurants in operation as of the periods indicated: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380" w:type="dxa"/>
            <w:vAlign w:val="bottom"/>
          </w:tcPr>
          <w:p>
            <w:pPr>
              <w:ind w:left="20"/>
              <w:spacing w:after="0"/>
              <w:rPr>
                <w:sz w:val="20"/>
                <w:szCs w:val="20"/>
                <w:color w:val="auto"/>
              </w:rPr>
            </w:pPr>
            <w:r>
              <w:rPr>
                <w:rFonts w:ascii="Arial" w:cs="Arial" w:eastAsia="Arial" w:hAnsi="Arial"/>
                <w:sz w:val="16"/>
                <w:szCs w:val="16"/>
                <w:b w:val="1"/>
                <w:bCs w:val="1"/>
                <w:color w:val="auto"/>
              </w:rPr>
              <w:t>Number of restaurants (at end of the period):</w:t>
            </w:r>
          </w:p>
        </w:tc>
        <w:tc>
          <w:tcPr>
            <w:tcW w:w="1980" w:type="dxa"/>
            <w:vAlign w:val="bottom"/>
            <w:gridSpan w:val="2"/>
          </w:tcPr>
          <w:p>
            <w:pPr>
              <w:ind w:left="480"/>
              <w:spacing w:after="0"/>
              <w:rPr>
                <w:sz w:val="20"/>
                <w:szCs w:val="20"/>
                <w:color w:val="auto"/>
              </w:rPr>
            </w:pPr>
            <w:r>
              <w:rPr>
                <w:rFonts w:ascii="Arial" w:cs="Arial" w:eastAsia="Arial" w:hAnsi="Arial"/>
                <w:sz w:val="14"/>
                <w:szCs w:val="14"/>
                <w:b w:val="1"/>
                <w:bCs w:val="1"/>
                <w:color w:val="auto"/>
              </w:rPr>
              <w:t>JUNE 28, 2020</w:t>
            </w:r>
          </w:p>
        </w:tc>
        <w:tc>
          <w:tcPr>
            <w:tcW w:w="1880" w:type="dxa"/>
            <w:vAlign w:val="bottom"/>
          </w:tcPr>
          <w:p>
            <w:pPr>
              <w:jc w:val="right"/>
              <w:ind w:right="399"/>
              <w:spacing w:after="0"/>
              <w:rPr>
                <w:sz w:val="20"/>
                <w:szCs w:val="20"/>
                <w:color w:val="auto"/>
              </w:rPr>
            </w:pPr>
            <w:r>
              <w:rPr>
                <w:rFonts w:ascii="Arial" w:cs="Arial" w:eastAsia="Arial" w:hAnsi="Arial"/>
                <w:sz w:val="14"/>
                <w:szCs w:val="14"/>
                <w:b w:val="1"/>
                <w:bCs w:val="1"/>
                <w:color w:val="auto"/>
              </w:rPr>
              <w:t>JUNE 30, 2019</w:t>
            </w:r>
          </w:p>
        </w:tc>
        <w:tc>
          <w:tcPr>
            <w:tcW w:w="0" w:type="dxa"/>
            <w:vAlign w:val="bottom"/>
          </w:tcPr>
          <w:p>
            <w:pPr>
              <w:spacing w:after="0"/>
              <w:rPr>
                <w:sz w:val="1"/>
                <w:szCs w:val="1"/>
                <w:color w:val="auto"/>
              </w:rPr>
            </w:pPr>
          </w:p>
        </w:tc>
      </w:tr>
      <w:tr>
        <w:trPr>
          <w:trHeight w:val="223"/>
        </w:trPr>
        <w:tc>
          <w:tcPr>
            <w:tcW w:w="7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U.S.:</w:t>
            </w:r>
          </w:p>
        </w:tc>
        <w:tc>
          <w:tcPr>
            <w:tcW w:w="188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80" w:type="dxa"/>
            <w:vAlign w:val="bottom"/>
            <w:tcBorders>
              <w:top w:val="single" w:sz="8" w:color="auto"/>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380" w:type="dxa"/>
            <w:vAlign w:val="bottom"/>
          </w:tcPr>
          <w:p>
            <w:pPr>
              <w:ind w:left="120"/>
              <w:spacing w:after="0"/>
              <w:rPr>
                <w:sz w:val="20"/>
                <w:szCs w:val="20"/>
                <w:color w:val="auto"/>
              </w:rPr>
            </w:pPr>
            <w:r>
              <w:rPr>
                <w:rFonts w:ascii="Arial" w:cs="Arial" w:eastAsia="Arial" w:hAnsi="Arial"/>
                <w:sz w:val="16"/>
                <w:szCs w:val="16"/>
                <w:color w:val="auto"/>
              </w:rPr>
              <w:t>Outback Steakhouse</w:t>
            </w: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3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3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Company-owned</w:t>
            </w:r>
          </w:p>
        </w:tc>
        <w:tc>
          <w:tcPr>
            <w:tcW w:w="1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567</w:t>
            </w:r>
          </w:p>
        </w:tc>
        <w:tc>
          <w:tcPr>
            <w:tcW w:w="10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579</w:t>
            </w:r>
          </w:p>
        </w:tc>
        <w:tc>
          <w:tcPr>
            <w:tcW w:w="0" w:type="dxa"/>
            <w:vAlign w:val="bottom"/>
          </w:tcPr>
          <w:p>
            <w:pPr>
              <w:spacing w:after="0"/>
              <w:rPr>
                <w:sz w:val="1"/>
                <w:szCs w:val="1"/>
                <w:color w:val="auto"/>
              </w:rPr>
            </w:pPr>
          </w:p>
        </w:tc>
      </w:tr>
      <w:tr>
        <w:trPr>
          <w:trHeight w:val="270"/>
        </w:trPr>
        <w:tc>
          <w:tcPr>
            <w:tcW w:w="73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Franchised</w:t>
            </w:r>
          </w:p>
        </w:tc>
        <w:tc>
          <w:tcPr>
            <w:tcW w:w="1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141</w:t>
            </w:r>
          </w:p>
        </w:tc>
        <w:tc>
          <w:tcPr>
            <w:tcW w:w="100" w:type="dxa"/>
            <w:vAlign w:val="bottom"/>
            <w:tcBorders>
              <w:bottom w:val="single" w:sz="8" w:color="CCEEFF"/>
            </w:tcBorders>
          </w:tcPr>
          <w:p>
            <w:pPr>
              <w:spacing w:after="0"/>
              <w:rPr>
                <w:sz w:val="23"/>
                <w:szCs w:val="23"/>
                <w:color w:val="auto"/>
              </w:rPr>
            </w:pPr>
          </w:p>
        </w:tc>
        <w:tc>
          <w:tcPr>
            <w:tcW w:w="1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148</w:t>
            </w:r>
          </w:p>
        </w:tc>
        <w:tc>
          <w:tcPr>
            <w:tcW w:w="0" w:type="dxa"/>
            <w:vAlign w:val="bottom"/>
          </w:tcPr>
          <w:p>
            <w:pPr>
              <w:spacing w:after="0"/>
              <w:rPr>
                <w:sz w:val="1"/>
                <w:szCs w:val="1"/>
                <w:color w:val="auto"/>
              </w:rPr>
            </w:pPr>
          </w:p>
        </w:tc>
      </w:tr>
      <w:tr>
        <w:trPr>
          <w:trHeight w:val="263"/>
        </w:trPr>
        <w:tc>
          <w:tcPr>
            <w:tcW w:w="73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w:t>
            </w:r>
          </w:p>
        </w:tc>
        <w:tc>
          <w:tcPr>
            <w:tcW w:w="18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708</w:t>
            </w:r>
          </w:p>
        </w:tc>
        <w:tc>
          <w:tcPr>
            <w:tcW w:w="10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727</w:t>
            </w:r>
          </w:p>
        </w:tc>
        <w:tc>
          <w:tcPr>
            <w:tcW w:w="0" w:type="dxa"/>
            <w:vAlign w:val="bottom"/>
          </w:tcPr>
          <w:p>
            <w:pPr>
              <w:spacing w:after="0"/>
              <w:rPr>
                <w:sz w:val="1"/>
                <w:szCs w:val="1"/>
                <w:color w:val="auto"/>
              </w:rPr>
            </w:pPr>
          </w:p>
        </w:tc>
      </w:tr>
      <w:tr>
        <w:trPr>
          <w:trHeight w:val="204"/>
        </w:trPr>
        <w:tc>
          <w:tcPr>
            <w:tcW w:w="7380" w:type="dxa"/>
            <w:vAlign w:val="bottom"/>
          </w:tcPr>
          <w:p>
            <w:pPr>
              <w:ind w:left="120"/>
              <w:spacing w:after="0"/>
              <w:rPr>
                <w:sz w:val="20"/>
                <w:szCs w:val="20"/>
                <w:color w:val="auto"/>
              </w:rPr>
            </w:pPr>
            <w:r>
              <w:rPr>
                <w:rFonts w:ascii="Arial" w:cs="Arial" w:eastAsia="Arial" w:hAnsi="Arial"/>
                <w:sz w:val="16"/>
                <w:szCs w:val="16"/>
                <w:color w:val="auto"/>
              </w:rPr>
              <w:t>Carrabba’s Italian Grill</w:t>
            </w: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73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3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Company-owned</w:t>
            </w:r>
          </w:p>
        </w:tc>
        <w:tc>
          <w:tcPr>
            <w:tcW w:w="1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199</w:t>
            </w:r>
          </w:p>
        </w:tc>
        <w:tc>
          <w:tcPr>
            <w:tcW w:w="10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205</w:t>
            </w:r>
          </w:p>
        </w:tc>
        <w:tc>
          <w:tcPr>
            <w:tcW w:w="0" w:type="dxa"/>
            <w:vAlign w:val="bottom"/>
          </w:tcPr>
          <w:p>
            <w:pPr>
              <w:spacing w:after="0"/>
              <w:rPr>
                <w:sz w:val="1"/>
                <w:szCs w:val="1"/>
                <w:color w:val="auto"/>
              </w:rPr>
            </w:pPr>
          </w:p>
        </w:tc>
      </w:tr>
      <w:tr>
        <w:trPr>
          <w:trHeight w:val="270"/>
        </w:trPr>
        <w:tc>
          <w:tcPr>
            <w:tcW w:w="73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Franchised</w:t>
            </w:r>
          </w:p>
        </w:tc>
        <w:tc>
          <w:tcPr>
            <w:tcW w:w="1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tcPr>
          <w:p>
            <w:pPr>
              <w:spacing w:after="0"/>
              <w:rPr>
                <w:sz w:val="23"/>
                <w:szCs w:val="23"/>
                <w:color w:val="auto"/>
              </w:rPr>
            </w:pPr>
          </w:p>
        </w:tc>
        <w:tc>
          <w:tcPr>
            <w:tcW w:w="1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63"/>
        </w:trPr>
        <w:tc>
          <w:tcPr>
            <w:tcW w:w="73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Total</w:t>
            </w:r>
          </w:p>
        </w:tc>
        <w:tc>
          <w:tcPr>
            <w:tcW w:w="18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220</w:t>
            </w:r>
          </w:p>
        </w:tc>
        <w:tc>
          <w:tcPr>
            <w:tcW w:w="10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226</w:t>
            </w:r>
          </w:p>
        </w:tc>
        <w:tc>
          <w:tcPr>
            <w:tcW w:w="0" w:type="dxa"/>
            <w:vAlign w:val="bottom"/>
          </w:tcPr>
          <w:p>
            <w:pPr>
              <w:spacing w:after="0"/>
              <w:rPr>
                <w:sz w:val="1"/>
                <w:szCs w:val="1"/>
                <w:color w:val="auto"/>
              </w:rPr>
            </w:pPr>
          </w:p>
        </w:tc>
      </w:tr>
      <w:tr>
        <w:trPr>
          <w:trHeight w:val="203"/>
        </w:trPr>
        <w:tc>
          <w:tcPr>
            <w:tcW w:w="7380" w:type="dxa"/>
            <w:vAlign w:val="bottom"/>
          </w:tcPr>
          <w:p>
            <w:pPr>
              <w:ind w:left="120"/>
              <w:spacing w:after="0"/>
              <w:rPr>
                <w:sz w:val="20"/>
                <w:szCs w:val="20"/>
                <w:color w:val="auto"/>
              </w:rPr>
            </w:pPr>
            <w:r>
              <w:rPr>
                <w:rFonts w:ascii="Arial" w:cs="Arial" w:eastAsia="Arial" w:hAnsi="Arial"/>
                <w:sz w:val="16"/>
                <w:szCs w:val="16"/>
                <w:color w:val="auto"/>
              </w:rPr>
              <w:t>Bonefish Grill</w:t>
            </w: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73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3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Company-owned</w:t>
            </w:r>
          </w:p>
        </w:tc>
        <w:tc>
          <w:tcPr>
            <w:tcW w:w="1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182</w:t>
            </w:r>
          </w:p>
        </w:tc>
        <w:tc>
          <w:tcPr>
            <w:tcW w:w="10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190</w:t>
            </w:r>
          </w:p>
        </w:tc>
        <w:tc>
          <w:tcPr>
            <w:tcW w:w="0" w:type="dxa"/>
            <w:vAlign w:val="bottom"/>
          </w:tcPr>
          <w:p>
            <w:pPr>
              <w:spacing w:after="0"/>
              <w:rPr>
                <w:sz w:val="1"/>
                <w:szCs w:val="1"/>
                <w:color w:val="auto"/>
              </w:rPr>
            </w:pPr>
          </w:p>
        </w:tc>
      </w:tr>
      <w:tr>
        <w:trPr>
          <w:trHeight w:val="270"/>
        </w:trPr>
        <w:tc>
          <w:tcPr>
            <w:tcW w:w="73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Franchised</w:t>
            </w:r>
          </w:p>
        </w:tc>
        <w:tc>
          <w:tcPr>
            <w:tcW w:w="1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tcPr>
          <w:p>
            <w:pPr>
              <w:spacing w:after="0"/>
              <w:rPr>
                <w:sz w:val="23"/>
                <w:szCs w:val="23"/>
                <w:color w:val="auto"/>
              </w:rPr>
            </w:pPr>
          </w:p>
        </w:tc>
        <w:tc>
          <w:tcPr>
            <w:tcW w:w="1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63"/>
        </w:trPr>
        <w:tc>
          <w:tcPr>
            <w:tcW w:w="73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Total</w:t>
            </w:r>
          </w:p>
        </w:tc>
        <w:tc>
          <w:tcPr>
            <w:tcW w:w="18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189</w:t>
            </w:r>
          </w:p>
        </w:tc>
        <w:tc>
          <w:tcPr>
            <w:tcW w:w="10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197</w:t>
            </w:r>
          </w:p>
        </w:tc>
        <w:tc>
          <w:tcPr>
            <w:tcW w:w="0" w:type="dxa"/>
            <w:vAlign w:val="bottom"/>
          </w:tcPr>
          <w:p>
            <w:pPr>
              <w:spacing w:after="0"/>
              <w:rPr>
                <w:sz w:val="1"/>
                <w:szCs w:val="1"/>
                <w:color w:val="auto"/>
              </w:rPr>
            </w:pPr>
          </w:p>
        </w:tc>
      </w:tr>
      <w:tr>
        <w:trPr>
          <w:trHeight w:val="203"/>
        </w:trPr>
        <w:tc>
          <w:tcPr>
            <w:tcW w:w="7380" w:type="dxa"/>
            <w:vAlign w:val="bottom"/>
          </w:tcPr>
          <w:p>
            <w:pPr>
              <w:ind w:left="120"/>
              <w:spacing w:after="0"/>
              <w:rPr>
                <w:sz w:val="20"/>
                <w:szCs w:val="20"/>
                <w:color w:val="auto"/>
              </w:rPr>
            </w:pPr>
            <w:r>
              <w:rPr>
                <w:rFonts w:ascii="Arial" w:cs="Arial" w:eastAsia="Arial" w:hAnsi="Arial"/>
                <w:sz w:val="16"/>
                <w:szCs w:val="16"/>
                <w:color w:val="auto"/>
              </w:rPr>
              <w:t>Fleming’s Prime Steakhouse and Wine Bar</w:t>
            </w: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73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Company-owned</w:t>
            </w:r>
          </w:p>
        </w:tc>
        <w:tc>
          <w:tcPr>
            <w:tcW w:w="18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03"/>
        </w:trPr>
        <w:tc>
          <w:tcPr>
            <w:tcW w:w="7380" w:type="dxa"/>
            <w:vAlign w:val="bottom"/>
          </w:tcPr>
          <w:p>
            <w:pPr>
              <w:ind w:left="120"/>
              <w:spacing w:after="0"/>
              <w:rPr>
                <w:sz w:val="20"/>
                <w:szCs w:val="20"/>
                <w:color w:val="auto"/>
              </w:rPr>
            </w:pPr>
            <w:r>
              <w:rPr>
                <w:rFonts w:ascii="Arial" w:cs="Arial" w:eastAsia="Arial" w:hAnsi="Arial"/>
                <w:sz w:val="16"/>
                <w:szCs w:val="16"/>
                <w:color w:val="auto"/>
              </w:rPr>
              <w:t>Other</w:t>
            </w: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73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2"/>
        </w:trPr>
        <w:tc>
          <w:tcPr>
            <w:tcW w:w="73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Company-owned</w:t>
            </w:r>
          </w:p>
        </w:tc>
        <w:tc>
          <w:tcPr>
            <w:tcW w:w="1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4"/>
                <w:szCs w:val="24"/>
                <w:color w:val="auto"/>
              </w:rPr>
            </w:pPr>
          </w:p>
        </w:tc>
        <w:tc>
          <w:tcPr>
            <w:tcW w:w="18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0"/>
        </w:trPr>
        <w:tc>
          <w:tcPr>
            <w:tcW w:w="7380" w:type="dxa"/>
            <w:vAlign w:val="bottom"/>
            <w:tcBorders>
              <w:top w:val="single" w:sz="8" w:color="CCEEFF"/>
            </w:tcBorders>
          </w:tcPr>
          <w:p>
            <w:pPr>
              <w:ind w:left="660"/>
              <w:spacing w:after="0"/>
              <w:rPr>
                <w:sz w:val="20"/>
                <w:szCs w:val="20"/>
                <w:color w:val="auto"/>
              </w:rPr>
            </w:pPr>
            <w:r>
              <w:rPr>
                <w:rFonts w:ascii="Arial" w:cs="Arial" w:eastAsia="Arial" w:hAnsi="Arial"/>
                <w:sz w:val="16"/>
                <w:szCs w:val="16"/>
                <w:color w:val="auto"/>
              </w:rPr>
              <w:t>U.S. total</w:t>
            </w:r>
          </w:p>
        </w:tc>
        <w:tc>
          <w:tcPr>
            <w:tcW w:w="18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1,187</w:t>
            </w:r>
          </w:p>
        </w:tc>
        <w:tc>
          <w:tcPr>
            <w:tcW w:w="100" w:type="dxa"/>
            <w:vAlign w:val="bottom"/>
            <w:tcBorders>
              <w:top w:val="single" w:sz="8" w:color="CCEEFF"/>
            </w:tcBorders>
          </w:tcPr>
          <w:p>
            <w:pPr>
              <w:spacing w:after="0"/>
              <w:rPr>
                <w:sz w:val="18"/>
                <w:szCs w:val="18"/>
                <w:color w:val="auto"/>
              </w:rPr>
            </w:pPr>
          </w:p>
        </w:tc>
        <w:tc>
          <w:tcPr>
            <w:tcW w:w="18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1,222</w:t>
            </w:r>
          </w:p>
        </w:tc>
        <w:tc>
          <w:tcPr>
            <w:tcW w:w="0" w:type="dxa"/>
            <w:vAlign w:val="bottom"/>
          </w:tcPr>
          <w:p>
            <w:pPr>
              <w:spacing w:after="0"/>
              <w:rPr>
                <w:sz w:val="1"/>
                <w:szCs w:val="1"/>
                <w:color w:val="auto"/>
              </w:rPr>
            </w:pPr>
          </w:p>
        </w:tc>
      </w:tr>
      <w:tr>
        <w:trPr>
          <w:trHeight w:val="40"/>
        </w:trPr>
        <w:tc>
          <w:tcPr>
            <w:tcW w:w="7380" w:type="dxa"/>
            <w:vAlign w:val="bottom"/>
            <w:tcBorders>
              <w:bottom w:val="single" w:sz="8" w:color="CCEEFF"/>
            </w:tcBorders>
          </w:tcPr>
          <w:p>
            <w:pPr>
              <w:spacing w:after="0"/>
              <w:rPr>
                <w:sz w:val="3"/>
                <w:szCs w:val="3"/>
                <w:color w:val="auto"/>
              </w:rPr>
            </w:pPr>
          </w:p>
        </w:tc>
        <w:tc>
          <w:tcPr>
            <w:tcW w:w="1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International:</w:t>
            </w:r>
          </w:p>
        </w:tc>
        <w:tc>
          <w:tcPr>
            <w:tcW w:w="1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80" w:type="dxa"/>
            <w:vAlign w:val="bottom"/>
          </w:tcPr>
          <w:p>
            <w:pPr>
              <w:ind w:left="120"/>
              <w:spacing w:after="0"/>
              <w:rPr>
                <w:sz w:val="20"/>
                <w:szCs w:val="20"/>
                <w:color w:val="auto"/>
              </w:rPr>
            </w:pPr>
            <w:r>
              <w:rPr>
                <w:rFonts w:ascii="Arial" w:cs="Arial" w:eastAsia="Arial" w:hAnsi="Arial"/>
                <w:sz w:val="16"/>
                <w:szCs w:val="16"/>
                <w:color w:val="auto"/>
              </w:rPr>
              <w:t>Company-owned</w:t>
            </w: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3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3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Outback Steakhouse—Brazil (1)</w:t>
            </w:r>
          </w:p>
        </w:tc>
        <w:tc>
          <w:tcPr>
            <w:tcW w:w="1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103</w:t>
            </w:r>
          </w:p>
        </w:tc>
        <w:tc>
          <w:tcPr>
            <w:tcW w:w="10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23"/>
        </w:trPr>
        <w:tc>
          <w:tcPr>
            <w:tcW w:w="7380" w:type="dxa"/>
            <w:vAlign w:val="bottom"/>
          </w:tcPr>
          <w:p>
            <w:pPr>
              <w:ind w:left="220"/>
              <w:spacing w:after="0"/>
              <w:rPr>
                <w:sz w:val="20"/>
                <w:szCs w:val="20"/>
                <w:color w:val="auto"/>
              </w:rPr>
            </w:pPr>
            <w:r>
              <w:rPr>
                <w:rFonts w:ascii="Arial" w:cs="Arial" w:eastAsia="Arial" w:hAnsi="Arial"/>
                <w:sz w:val="16"/>
                <w:szCs w:val="16"/>
                <w:color w:val="auto"/>
              </w:rPr>
              <w:t>Other (2)</w:t>
            </w:r>
          </w:p>
        </w:tc>
        <w:tc>
          <w:tcPr>
            <w:tcW w:w="1880" w:type="dxa"/>
            <w:vAlign w:val="bottom"/>
          </w:tcPr>
          <w:p>
            <w:pPr>
              <w:jc w:val="right"/>
              <w:ind w:right="79"/>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9"/>
                <w:szCs w:val="19"/>
                <w:color w:val="auto"/>
              </w:rPr>
            </w:pPr>
          </w:p>
        </w:tc>
        <w:tc>
          <w:tcPr>
            <w:tcW w:w="1880" w:type="dxa"/>
            <w:vAlign w:val="bottom"/>
          </w:tcPr>
          <w:p>
            <w:pPr>
              <w:jc w:val="right"/>
              <w:ind w:right="59"/>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33"/>
        </w:trPr>
        <w:tc>
          <w:tcPr>
            <w:tcW w:w="73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Franchised</w:t>
            </w:r>
          </w:p>
        </w:tc>
        <w:tc>
          <w:tcPr>
            <w:tcW w:w="1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380" w:type="dxa"/>
            <w:vAlign w:val="bottom"/>
          </w:tcPr>
          <w:p>
            <w:pPr>
              <w:ind w:left="220"/>
              <w:spacing w:after="0"/>
              <w:rPr>
                <w:sz w:val="20"/>
                <w:szCs w:val="20"/>
                <w:color w:val="auto"/>
              </w:rPr>
            </w:pPr>
            <w:r>
              <w:rPr>
                <w:rFonts w:ascii="Arial" w:cs="Arial" w:eastAsia="Arial" w:hAnsi="Arial"/>
                <w:sz w:val="16"/>
                <w:szCs w:val="16"/>
                <w:color w:val="auto"/>
              </w:rPr>
              <w:t>Outback Steakhouse—South Korea (2)</w:t>
            </w:r>
          </w:p>
        </w:tc>
        <w:tc>
          <w:tcPr>
            <w:tcW w:w="1880" w:type="dxa"/>
            <w:vAlign w:val="bottom"/>
          </w:tcPr>
          <w:p>
            <w:pPr>
              <w:jc w:val="right"/>
              <w:ind w:right="79"/>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19"/>
                <w:szCs w:val="19"/>
                <w:color w:val="auto"/>
              </w:rPr>
            </w:pPr>
          </w:p>
        </w:tc>
        <w:tc>
          <w:tcPr>
            <w:tcW w:w="1880" w:type="dxa"/>
            <w:vAlign w:val="bottom"/>
          </w:tcPr>
          <w:p>
            <w:pPr>
              <w:jc w:val="right"/>
              <w:ind w:right="59"/>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33"/>
        </w:trPr>
        <w:tc>
          <w:tcPr>
            <w:tcW w:w="73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1"/>
        </w:trPr>
        <w:tc>
          <w:tcPr>
            <w:tcW w:w="73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Other (3)</w:t>
            </w:r>
          </w:p>
        </w:tc>
        <w:tc>
          <w:tcPr>
            <w:tcW w:w="1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55</w:t>
            </w:r>
          </w:p>
        </w:tc>
        <w:tc>
          <w:tcPr>
            <w:tcW w:w="100" w:type="dxa"/>
            <w:vAlign w:val="bottom"/>
            <w:tcBorders>
              <w:bottom w:val="single" w:sz="8" w:color="CCEEFF"/>
            </w:tcBorders>
            <w:shd w:val="clear" w:color="auto" w:fill="CCEEFF"/>
          </w:tcPr>
          <w:p>
            <w:pPr>
              <w:spacing w:after="0"/>
              <w:rPr>
                <w:sz w:val="24"/>
                <w:szCs w:val="24"/>
                <w:color w:val="auto"/>
              </w:rPr>
            </w:pPr>
          </w:p>
        </w:tc>
        <w:tc>
          <w:tcPr>
            <w:tcW w:w="18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10"/>
        </w:trPr>
        <w:tc>
          <w:tcPr>
            <w:tcW w:w="7380" w:type="dxa"/>
            <w:vAlign w:val="bottom"/>
            <w:tcBorders>
              <w:top w:val="single" w:sz="8" w:color="CCEEFF"/>
            </w:tcBorders>
          </w:tcPr>
          <w:p>
            <w:pPr>
              <w:ind w:left="660"/>
              <w:spacing w:after="0"/>
              <w:rPr>
                <w:sz w:val="20"/>
                <w:szCs w:val="20"/>
                <w:color w:val="auto"/>
              </w:rPr>
            </w:pPr>
            <w:r>
              <w:rPr>
                <w:rFonts w:ascii="Arial" w:cs="Arial" w:eastAsia="Arial" w:hAnsi="Arial"/>
                <w:sz w:val="16"/>
                <w:szCs w:val="16"/>
                <w:color w:val="auto"/>
              </w:rPr>
              <w:t>International total</w:t>
            </w:r>
          </w:p>
        </w:tc>
        <w:tc>
          <w:tcPr>
            <w:tcW w:w="18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273</w:t>
            </w:r>
          </w:p>
        </w:tc>
        <w:tc>
          <w:tcPr>
            <w:tcW w:w="100" w:type="dxa"/>
            <w:vAlign w:val="bottom"/>
            <w:tcBorders>
              <w:top w:val="single" w:sz="8" w:color="CCEEFF"/>
            </w:tcBorders>
          </w:tcPr>
          <w:p>
            <w:pPr>
              <w:spacing w:after="0"/>
              <w:rPr>
                <w:sz w:val="18"/>
                <w:szCs w:val="18"/>
                <w:color w:val="auto"/>
              </w:rPr>
            </w:pPr>
          </w:p>
        </w:tc>
        <w:tc>
          <w:tcPr>
            <w:tcW w:w="18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245</w:t>
            </w:r>
          </w:p>
        </w:tc>
        <w:tc>
          <w:tcPr>
            <w:tcW w:w="0" w:type="dxa"/>
            <w:vAlign w:val="bottom"/>
          </w:tcPr>
          <w:p>
            <w:pPr>
              <w:spacing w:after="0"/>
              <w:rPr>
                <w:sz w:val="1"/>
                <w:szCs w:val="1"/>
                <w:color w:val="auto"/>
              </w:rPr>
            </w:pPr>
          </w:p>
        </w:tc>
      </w:tr>
      <w:tr>
        <w:trPr>
          <w:trHeight w:val="40"/>
        </w:trPr>
        <w:tc>
          <w:tcPr>
            <w:tcW w:w="7380" w:type="dxa"/>
            <w:vAlign w:val="bottom"/>
            <w:tcBorders>
              <w:bottom w:val="single" w:sz="8" w:color="CCEEFF"/>
            </w:tcBorders>
          </w:tcPr>
          <w:p>
            <w:pPr>
              <w:spacing w:after="0"/>
              <w:rPr>
                <w:sz w:val="3"/>
                <w:szCs w:val="3"/>
                <w:color w:val="auto"/>
              </w:rPr>
            </w:pPr>
          </w:p>
        </w:tc>
        <w:tc>
          <w:tcPr>
            <w:tcW w:w="1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8"/>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System-wide total</w:t>
            </w:r>
          </w:p>
        </w:tc>
        <w:tc>
          <w:tcPr>
            <w:tcW w:w="18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1,460</w:t>
            </w:r>
          </w:p>
        </w:tc>
        <w:tc>
          <w:tcPr>
            <w:tcW w:w="10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1,467</w:t>
            </w:r>
          </w:p>
        </w:tc>
        <w:tc>
          <w:tcPr>
            <w:tcW w:w="0" w:type="dxa"/>
            <w:vAlign w:val="bottom"/>
          </w:tcPr>
          <w:p>
            <w:pPr>
              <w:spacing w:after="0"/>
              <w:rPr>
                <w:sz w:val="1"/>
                <w:szCs w:val="1"/>
                <w:color w:val="auto"/>
              </w:rPr>
            </w:pPr>
          </w:p>
        </w:tc>
      </w:tr>
      <w:tr>
        <w:trPr>
          <w:trHeight w:val="20"/>
        </w:trPr>
        <w:tc>
          <w:tcPr>
            <w:tcW w:w="73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____________________</w:t>
            </w: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380" w:type="dxa"/>
            <w:vAlign w:val="bottom"/>
            <w:vMerge w:val="continue"/>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restaurant counts for Brazil are reported as of May 31, 2020 and 2019, respectively, to correspond with the balance sheet dates of this subsidiary.</w:t>
      </w:r>
    </w:p>
    <w:p>
      <w:pPr>
        <w:spacing w:after="0" w:line="16" w:lineRule="exact"/>
        <w:rPr>
          <w:rFonts w:ascii="Arial" w:cs="Arial" w:eastAsia="Arial" w:hAnsi="Arial"/>
          <w:sz w:val="15"/>
          <w:szCs w:val="15"/>
          <w:color w:val="auto"/>
        </w:rPr>
      </w:pPr>
    </w:p>
    <w:p>
      <w:pPr>
        <w:ind w:left="660" w:hanging="652"/>
        <w:spacing w:after="0" w:line="246" w:lineRule="auto"/>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As of June 30, 2019, we had 11 international “dark kitchen” locations that offer delivery and carryout only. One of these locations was included within Company-owned Other and 10 were included in Franchised Outback Steakhouse - South Korea.</w:t>
      </w:r>
    </w:p>
    <w:p>
      <w:pPr>
        <w:ind w:left="660" w:hanging="652"/>
        <w:spacing w:after="0"/>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Includes two and one fast-casual Aussie Grill locations as of June 28, 2020 and June 30, 2019, respectively.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7" w:name="page38"/>
    <w:bookmarkEnd w:id="3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3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 of Operations</w:t>
      </w:r>
    </w:p>
    <w:p>
      <w:pPr>
        <w:spacing w:after="0" w:line="249"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following table sets forth, for the periods indicated, the percentages of certain items in our Consolidated Statements of Operations in relation to Total revenues or Restaurant sales, as indicated: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820" w:type="dxa"/>
            <w:vAlign w:val="bottom"/>
          </w:tcPr>
          <w:p>
            <w:pPr>
              <w:spacing w:after="0"/>
              <w:rPr>
                <w:sz w:val="17"/>
                <w:szCs w:val="17"/>
                <w:color w:val="auto"/>
              </w:rPr>
            </w:pPr>
          </w:p>
        </w:tc>
        <w:tc>
          <w:tcPr>
            <w:tcW w:w="296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4"/>
                <w:szCs w:val="14"/>
                <w:b w:val="1"/>
                <w:bCs w:val="1"/>
                <w:color w:val="auto"/>
              </w:rPr>
              <w:t>THIRTEEN WEEKS ENDED</w:t>
            </w:r>
          </w:p>
        </w:tc>
        <w:tc>
          <w:tcPr>
            <w:tcW w:w="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98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4"/>
                <w:szCs w:val="14"/>
                <w:b w:val="1"/>
                <w:bCs w:val="1"/>
                <w:color w:val="auto"/>
              </w:rPr>
              <w:t>TWENTY-SIX WEEKS ENDED</w:t>
            </w:r>
          </w:p>
        </w:tc>
        <w:tc>
          <w:tcPr>
            <w:tcW w:w="180" w:type="dxa"/>
            <w:vAlign w:val="bottom"/>
            <w:tcBorders>
              <w:bottom w:val="single" w:sz="8" w:color="auto"/>
            </w:tcBorders>
          </w:tcPr>
          <w:p>
            <w:pPr>
              <w:spacing w:after="0"/>
              <w:rPr>
                <w:sz w:val="17"/>
                <w:szCs w:val="17"/>
                <w:color w:val="auto"/>
              </w:rPr>
            </w:pPr>
          </w:p>
        </w:tc>
      </w:tr>
      <w:tr>
        <w:trPr>
          <w:trHeight w:val="209"/>
        </w:trPr>
        <w:tc>
          <w:tcPr>
            <w:tcW w:w="482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rPr>
              <w:t>JUNE 28, 2020</w:t>
            </w: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rPr>
              <w:t>JUNE 30, 2019</w:t>
            </w: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rPr>
              <w:t>JUNE 28, 2020</w:t>
            </w: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rPr>
              <w:t>JUNE 30, 2019</w:t>
            </w:r>
          </w:p>
        </w:tc>
        <w:tc>
          <w:tcPr>
            <w:tcW w:w="180" w:type="dxa"/>
            <w:vAlign w:val="bottom"/>
            <w:tcBorders>
              <w:bottom w:val="single" w:sz="8" w:color="auto"/>
            </w:tcBorders>
          </w:tcPr>
          <w:p>
            <w:pPr>
              <w:spacing w:after="0"/>
              <w:rPr>
                <w:sz w:val="18"/>
                <w:szCs w:val="18"/>
                <w:color w:val="auto"/>
              </w:rPr>
            </w:pPr>
          </w:p>
        </w:tc>
      </w:tr>
      <w:tr>
        <w:trPr>
          <w:trHeight w:val="237"/>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13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r>
      <w:tr>
        <w:trPr>
          <w:trHeight w:val="223"/>
        </w:trPr>
        <w:tc>
          <w:tcPr>
            <w:tcW w:w="4820" w:type="dxa"/>
            <w:vAlign w:val="bottom"/>
          </w:tcPr>
          <w:p>
            <w:pPr>
              <w:ind w:left="120"/>
              <w:spacing w:after="0"/>
              <w:rPr>
                <w:sz w:val="20"/>
                <w:szCs w:val="20"/>
                <w:color w:val="auto"/>
              </w:rPr>
            </w:pPr>
            <w:r>
              <w:rPr>
                <w:rFonts w:ascii="Arial" w:cs="Arial" w:eastAsia="Arial" w:hAnsi="Arial"/>
                <w:sz w:val="16"/>
                <w:szCs w:val="16"/>
                <w:color w:val="auto"/>
              </w:rPr>
              <w:t>Restaurant sales</w:t>
            </w:r>
          </w:p>
        </w:tc>
        <w:tc>
          <w:tcPr>
            <w:tcW w:w="1360" w:type="dxa"/>
            <w:vAlign w:val="bottom"/>
          </w:tcPr>
          <w:p>
            <w:pPr>
              <w:jc w:val="right"/>
              <w:spacing w:after="0"/>
              <w:rPr>
                <w:sz w:val="20"/>
                <w:szCs w:val="20"/>
                <w:color w:val="auto"/>
              </w:rPr>
            </w:pPr>
            <w:r>
              <w:rPr>
                <w:rFonts w:ascii="Arial" w:cs="Arial" w:eastAsia="Arial" w:hAnsi="Arial"/>
                <w:sz w:val="16"/>
                <w:szCs w:val="16"/>
                <w:color w:val="auto"/>
              </w:rPr>
              <w:t>99.6</w:t>
            </w:r>
          </w:p>
        </w:tc>
        <w:tc>
          <w:tcPr>
            <w:tcW w:w="16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98.4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99.1</w:t>
            </w:r>
          </w:p>
        </w:tc>
        <w:tc>
          <w:tcPr>
            <w:tcW w:w="16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98.5</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r>
      <w:tr>
        <w:trPr>
          <w:trHeight w:val="33"/>
        </w:trPr>
        <w:tc>
          <w:tcPr>
            <w:tcW w:w="48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63"/>
        </w:trPr>
        <w:tc>
          <w:tcPr>
            <w:tcW w:w="4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Franchise and other revenues</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2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6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80" w:type="dxa"/>
            <w:vAlign w:val="bottom"/>
            <w:tcBorders>
              <w:bottom w:val="single" w:sz="8" w:color="auto"/>
            </w:tcBorders>
            <w:shd w:val="clear" w:color="auto" w:fill="CCEEFF"/>
          </w:tcPr>
          <w:p>
            <w:pPr>
              <w:spacing w:after="0"/>
              <w:rPr>
                <w:sz w:val="22"/>
                <w:szCs w:val="22"/>
                <w:color w:val="auto"/>
              </w:rPr>
            </w:pPr>
          </w:p>
        </w:tc>
      </w:tr>
      <w:tr>
        <w:trPr>
          <w:trHeight w:val="223"/>
        </w:trPr>
        <w:tc>
          <w:tcPr>
            <w:tcW w:w="4820" w:type="dxa"/>
            <w:vAlign w:val="bottom"/>
          </w:tcPr>
          <w:p>
            <w:pPr>
              <w:ind w:left="780"/>
              <w:spacing w:after="0"/>
              <w:rPr>
                <w:sz w:val="20"/>
                <w:szCs w:val="20"/>
                <w:color w:val="auto"/>
              </w:rPr>
            </w:pPr>
            <w:r>
              <w:rPr>
                <w:rFonts w:ascii="Arial" w:cs="Arial" w:eastAsia="Arial" w:hAnsi="Arial"/>
                <w:sz w:val="16"/>
                <w:szCs w:val="16"/>
                <w:color w:val="auto"/>
              </w:rPr>
              <w:t>Total revenues</w:t>
            </w:r>
          </w:p>
        </w:tc>
        <w:tc>
          <w:tcPr>
            <w:tcW w:w="1360" w:type="dxa"/>
            <w:vAlign w:val="bottom"/>
          </w:tcPr>
          <w:p>
            <w:pPr>
              <w:jc w:val="right"/>
              <w:spacing w:after="0"/>
              <w:rPr>
                <w:sz w:val="20"/>
                <w:szCs w:val="20"/>
                <w:color w:val="auto"/>
              </w:rPr>
            </w:pPr>
            <w:r>
              <w:rPr>
                <w:rFonts w:ascii="Arial" w:cs="Arial" w:eastAsia="Arial" w:hAnsi="Arial"/>
                <w:sz w:val="16"/>
                <w:szCs w:val="16"/>
                <w:color w:val="auto"/>
              </w:rPr>
              <w:t>100.0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100.0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100.0</w:t>
            </w:r>
          </w:p>
        </w:tc>
        <w:tc>
          <w:tcPr>
            <w:tcW w:w="180" w:type="dxa"/>
            <w:vAlign w:val="bottom"/>
          </w:tcPr>
          <w:p>
            <w:pPr>
              <w:spacing w:after="0"/>
              <w:rPr>
                <w:sz w:val="19"/>
                <w:szCs w:val="19"/>
                <w:color w:val="auto"/>
              </w:rPr>
            </w:pPr>
          </w:p>
        </w:tc>
      </w:tr>
      <w:tr>
        <w:trPr>
          <w:trHeight w:val="33"/>
        </w:trPr>
        <w:tc>
          <w:tcPr>
            <w:tcW w:w="48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6"/>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Costs and expenses</w:t>
            </w:r>
          </w:p>
        </w:tc>
        <w:tc>
          <w:tcPr>
            <w:tcW w:w="13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r>
      <w:tr>
        <w:trPr>
          <w:trHeight w:val="224"/>
        </w:trPr>
        <w:tc>
          <w:tcPr>
            <w:tcW w:w="4820" w:type="dxa"/>
            <w:vAlign w:val="bottom"/>
          </w:tcPr>
          <w:p>
            <w:pPr>
              <w:ind w:left="120"/>
              <w:spacing w:after="0"/>
              <w:rPr>
                <w:sz w:val="20"/>
                <w:szCs w:val="20"/>
                <w:color w:val="auto"/>
              </w:rPr>
            </w:pPr>
            <w:r>
              <w:rPr>
                <w:rFonts w:ascii="Arial" w:cs="Arial" w:eastAsia="Arial" w:hAnsi="Arial"/>
                <w:sz w:val="16"/>
                <w:szCs w:val="16"/>
                <w:color w:val="auto"/>
              </w:rPr>
              <w:t>Cost of sales (1)</w:t>
            </w:r>
          </w:p>
        </w:tc>
        <w:tc>
          <w:tcPr>
            <w:tcW w:w="1360" w:type="dxa"/>
            <w:vAlign w:val="bottom"/>
          </w:tcPr>
          <w:p>
            <w:pPr>
              <w:jc w:val="right"/>
              <w:spacing w:after="0"/>
              <w:rPr>
                <w:sz w:val="20"/>
                <w:szCs w:val="20"/>
                <w:color w:val="auto"/>
              </w:rPr>
            </w:pPr>
            <w:r>
              <w:rPr>
                <w:rFonts w:ascii="Arial" w:cs="Arial" w:eastAsia="Arial" w:hAnsi="Arial"/>
                <w:sz w:val="16"/>
                <w:szCs w:val="16"/>
                <w:color w:val="auto"/>
              </w:rPr>
              <w:t>31.4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31.1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31.8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31.4</w:t>
            </w:r>
          </w:p>
        </w:tc>
        <w:tc>
          <w:tcPr>
            <w:tcW w:w="180" w:type="dxa"/>
            <w:vAlign w:val="bottom"/>
          </w:tcPr>
          <w:p>
            <w:pPr>
              <w:spacing w:after="0"/>
              <w:rPr>
                <w:sz w:val="19"/>
                <w:szCs w:val="19"/>
                <w:color w:val="auto"/>
              </w:rPr>
            </w:pPr>
          </w:p>
        </w:tc>
      </w:tr>
      <w:tr>
        <w:trPr>
          <w:trHeight w:val="33"/>
        </w:trPr>
        <w:tc>
          <w:tcPr>
            <w:tcW w:w="48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4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Labor and other related (1)</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35.7</w:t>
            </w: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32.7</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29.3</w:t>
            </w:r>
          </w:p>
        </w:tc>
        <w:tc>
          <w:tcPr>
            <w:tcW w:w="180" w:type="dxa"/>
            <w:vAlign w:val="bottom"/>
            <w:tcBorders>
              <w:bottom w:val="single" w:sz="8" w:color="CCEEFF"/>
            </w:tcBorders>
            <w:shd w:val="clear" w:color="auto" w:fill="CCEEFF"/>
          </w:tcPr>
          <w:p>
            <w:pPr>
              <w:spacing w:after="0"/>
              <w:rPr>
                <w:sz w:val="20"/>
                <w:szCs w:val="20"/>
                <w:color w:val="auto"/>
              </w:rPr>
            </w:pPr>
          </w:p>
        </w:tc>
      </w:tr>
      <w:tr>
        <w:trPr>
          <w:trHeight w:val="223"/>
        </w:trPr>
        <w:tc>
          <w:tcPr>
            <w:tcW w:w="4820" w:type="dxa"/>
            <w:vAlign w:val="bottom"/>
          </w:tcPr>
          <w:p>
            <w:pPr>
              <w:ind w:left="120"/>
              <w:spacing w:after="0"/>
              <w:rPr>
                <w:sz w:val="20"/>
                <w:szCs w:val="20"/>
                <w:color w:val="auto"/>
              </w:rPr>
            </w:pPr>
            <w:r>
              <w:rPr>
                <w:rFonts w:ascii="Arial" w:cs="Arial" w:eastAsia="Arial" w:hAnsi="Arial"/>
                <w:sz w:val="16"/>
                <w:szCs w:val="16"/>
                <w:color w:val="auto"/>
              </w:rPr>
              <w:t>Other restaurant operating (1)</w:t>
            </w:r>
          </w:p>
        </w:tc>
        <w:tc>
          <w:tcPr>
            <w:tcW w:w="1360" w:type="dxa"/>
            <w:vAlign w:val="bottom"/>
          </w:tcPr>
          <w:p>
            <w:pPr>
              <w:jc w:val="right"/>
              <w:spacing w:after="0"/>
              <w:rPr>
                <w:sz w:val="20"/>
                <w:szCs w:val="20"/>
                <w:color w:val="auto"/>
              </w:rPr>
            </w:pPr>
            <w:r>
              <w:rPr>
                <w:rFonts w:ascii="Arial" w:cs="Arial" w:eastAsia="Arial" w:hAnsi="Arial"/>
                <w:sz w:val="16"/>
                <w:szCs w:val="16"/>
                <w:color w:val="auto"/>
              </w:rPr>
              <w:t>30.9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24.0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27.0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23.2</w:t>
            </w:r>
          </w:p>
        </w:tc>
        <w:tc>
          <w:tcPr>
            <w:tcW w:w="180" w:type="dxa"/>
            <w:vAlign w:val="bottom"/>
          </w:tcPr>
          <w:p>
            <w:pPr>
              <w:spacing w:after="0"/>
              <w:rPr>
                <w:sz w:val="19"/>
                <w:szCs w:val="19"/>
                <w:color w:val="auto"/>
              </w:rPr>
            </w:pPr>
          </w:p>
        </w:tc>
      </w:tr>
      <w:tr>
        <w:trPr>
          <w:trHeight w:val="33"/>
        </w:trPr>
        <w:tc>
          <w:tcPr>
            <w:tcW w:w="48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6"/>
        </w:trPr>
        <w:tc>
          <w:tcPr>
            <w:tcW w:w="4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Depreciation and amortization</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80" w:type="dxa"/>
            <w:vAlign w:val="bottom"/>
            <w:tcBorders>
              <w:bottom w:val="single" w:sz="8" w:color="CCEEFF"/>
            </w:tcBorders>
            <w:shd w:val="clear" w:color="auto" w:fill="CCEEFF"/>
          </w:tcPr>
          <w:p>
            <w:pPr>
              <w:spacing w:after="0"/>
              <w:rPr>
                <w:sz w:val="20"/>
                <w:szCs w:val="20"/>
                <w:color w:val="auto"/>
              </w:rPr>
            </w:pPr>
          </w:p>
        </w:tc>
      </w:tr>
      <w:tr>
        <w:trPr>
          <w:trHeight w:val="224"/>
        </w:trPr>
        <w:tc>
          <w:tcPr>
            <w:tcW w:w="4820" w:type="dxa"/>
            <w:vAlign w:val="bottom"/>
          </w:tcPr>
          <w:p>
            <w:pPr>
              <w:ind w:left="120"/>
              <w:spacing w:after="0"/>
              <w:rPr>
                <w:sz w:val="20"/>
                <w:szCs w:val="20"/>
                <w:color w:val="auto"/>
              </w:rPr>
            </w:pPr>
            <w:r>
              <w:rPr>
                <w:rFonts w:ascii="Arial" w:cs="Arial" w:eastAsia="Arial" w:hAnsi="Arial"/>
                <w:sz w:val="16"/>
                <w:szCs w:val="16"/>
                <w:color w:val="auto"/>
              </w:rPr>
              <w:t>General and administrative</w:t>
            </w:r>
          </w:p>
        </w:tc>
        <w:tc>
          <w:tcPr>
            <w:tcW w:w="1360" w:type="dxa"/>
            <w:vAlign w:val="bottom"/>
          </w:tcPr>
          <w:p>
            <w:pPr>
              <w:jc w:val="right"/>
              <w:spacing w:after="0"/>
              <w:rPr>
                <w:sz w:val="20"/>
                <w:szCs w:val="20"/>
                <w:color w:val="auto"/>
              </w:rPr>
            </w:pPr>
            <w:r>
              <w:rPr>
                <w:rFonts w:ascii="Arial" w:cs="Arial" w:eastAsia="Arial" w:hAnsi="Arial"/>
                <w:sz w:val="16"/>
                <w:szCs w:val="16"/>
                <w:color w:val="auto"/>
              </w:rPr>
              <w:t>9.6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6.6</w:t>
            </w:r>
          </w:p>
        </w:tc>
        <w:tc>
          <w:tcPr>
            <w:tcW w:w="180" w:type="dxa"/>
            <w:vAlign w:val="bottom"/>
          </w:tcPr>
          <w:p>
            <w:pPr>
              <w:spacing w:after="0"/>
              <w:rPr>
                <w:sz w:val="19"/>
                <w:szCs w:val="19"/>
                <w:color w:val="auto"/>
              </w:rPr>
            </w:pPr>
          </w:p>
        </w:tc>
      </w:tr>
      <w:tr>
        <w:trPr>
          <w:trHeight w:val="33"/>
        </w:trPr>
        <w:tc>
          <w:tcPr>
            <w:tcW w:w="48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Provision for impaired assets and restaurant closings</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2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80" w:type="dxa"/>
            <w:vAlign w:val="bottom"/>
            <w:tcBorders>
              <w:bottom w:val="single" w:sz="8" w:color="auto"/>
            </w:tcBorders>
            <w:shd w:val="clear" w:color="auto" w:fill="CCEEFF"/>
          </w:tcPr>
          <w:p>
            <w:pPr>
              <w:spacing w:after="0"/>
              <w:rPr>
                <w:sz w:val="21"/>
                <w:szCs w:val="21"/>
                <w:color w:val="auto"/>
              </w:rPr>
            </w:pPr>
          </w:p>
        </w:tc>
      </w:tr>
      <w:tr>
        <w:trPr>
          <w:trHeight w:val="270"/>
        </w:trPr>
        <w:tc>
          <w:tcPr>
            <w:tcW w:w="4820" w:type="dxa"/>
            <w:vAlign w:val="bottom"/>
            <w:tcBorders>
              <w:bottom w:val="single" w:sz="8" w:color="CCEEFF"/>
            </w:tcBorders>
          </w:tcPr>
          <w:p>
            <w:pPr>
              <w:ind w:left="780"/>
              <w:spacing w:after="0"/>
              <w:rPr>
                <w:sz w:val="20"/>
                <w:szCs w:val="20"/>
                <w:color w:val="auto"/>
              </w:rPr>
            </w:pPr>
            <w:r>
              <w:rPr>
                <w:rFonts w:ascii="Arial" w:cs="Arial" w:eastAsia="Arial" w:hAnsi="Arial"/>
                <w:sz w:val="16"/>
                <w:szCs w:val="16"/>
                <w:color w:val="auto"/>
              </w:rPr>
              <w:t>Total costs and expenses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119.3</w:t>
            </w:r>
          </w:p>
        </w:tc>
        <w:tc>
          <w:tcPr>
            <w:tcW w:w="1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95.7</w:t>
            </w:r>
          </w:p>
        </w:tc>
        <w:tc>
          <w:tcPr>
            <w:tcW w:w="2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109.7</w:t>
            </w:r>
          </w:p>
        </w:tc>
        <w:tc>
          <w:tcPr>
            <w:tcW w:w="16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94.1</w:t>
            </w:r>
          </w:p>
        </w:tc>
        <w:tc>
          <w:tcPr>
            <w:tcW w:w="180" w:type="dxa"/>
            <w:vAlign w:val="bottom"/>
            <w:tcBorders>
              <w:bottom w:val="single" w:sz="8" w:color="auto"/>
            </w:tcBorders>
          </w:tcPr>
          <w:p>
            <w:pPr>
              <w:spacing w:after="0"/>
              <w:rPr>
                <w:sz w:val="23"/>
                <w:szCs w:val="23"/>
                <w:color w:val="auto"/>
              </w:rPr>
            </w:pPr>
          </w:p>
        </w:tc>
      </w:tr>
      <w:tr>
        <w:trPr>
          <w:trHeight w:val="217"/>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income from operations</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80" w:type="dxa"/>
            <w:vAlign w:val="bottom"/>
            <w:shd w:val="clear" w:color="auto" w:fill="CCEEFF"/>
          </w:tcPr>
          <w:p>
            <w:pPr>
              <w:spacing w:after="0"/>
              <w:rPr>
                <w:sz w:val="18"/>
                <w:szCs w:val="18"/>
                <w:color w:val="auto"/>
              </w:rPr>
            </w:pPr>
          </w:p>
        </w:tc>
      </w:tr>
      <w:tr>
        <w:trPr>
          <w:trHeight w:val="33"/>
        </w:trPr>
        <w:tc>
          <w:tcPr>
            <w:tcW w:w="48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r>
    </w:tbl>
    <w:p>
      <w:pPr>
        <w:spacing w:after="0" w:line="17" w:lineRule="exact"/>
        <w:rPr>
          <w:sz w:val="20"/>
          <w:szCs w:val="20"/>
          <w:color w:val="auto"/>
        </w:rPr>
      </w:pPr>
    </w:p>
    <w:p>
      <w:pPr>
        <w:sectPr>
          <w:pgSz w:w="11900" w:h="16838" w:orient="portrait"/>
          <w:cols w:equalWidth="0" w:num="1">
            <w:col w:w="11240"/>
          </w:cols>
          <w:pgMar w:left="320" w:top="121" w:right="339" w:bottom="1440" w:gutter="0" w:footer="0" w:header="0"/>
        </w:sectPr>
      </w:pPr>
    </w:p>
    <w:p>
      <w:pPr>
        <w:ind w:left="20"/>
        <w:spacing w:after="0"/>
        <w:rPr>
          <w:sz w:val="20"/>
          <w:szCs w:val="20"/>
          <w:color w:val="auto"/>
        </w:rPr>
      </w:pPr>
      <w:r>
        <w:rPr>
          <w:rFonts w:ascii="Arial" w:cs="Arial" w:eastAsia="Arial" w:hAnsi="Arial"/>
          <w:sz w:val="16"/>
          <w:szCs w:val="16"/>
          <w:color w:val="auto"/>
        </w:rPr>
        <w:t>Loss on modification of debt</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income (expense), net</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Interest expense, net</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(Loss) income before (benefit) provision for income taxes</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(Benefit) provision for income taxes</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(loss) income</w:t>
      </w:r>
    </w:p>
    <w:p>
      <w:pPr>
        <w:spacing w:after="0" w:line="86" w:lineRule="exact"/>
        <w:rPr>
          <w:sz w:val="20"/>
          <w:szCs w:val="20"/>
          <w:color w:val="auto"/>
        </w:rPr>
      </w:pPr>
    </w:p>
    <w:p>
      <w:pPr>
        <w:ind w:left="20" w:firstLine="103"/>
        <w:spacing w:after="0" w:line="391" w:lineRule="auto"/>
        <w:rPr>
          <w:sz w:val="20"/>
          <w:szCs w:val="20"/>
          <w:color w:val="auto"/>
        </w:rPr>
      </w:pPr>
      <w:r>
        <w:rPr>
          <w:rFonts w:ascii="Arial" w:cs="Arial" w:eastAsia="Arial" w:hAnsi="Arial"/>
          <w:sz w:val="16"/>
          <w:szCs w:val="16"/>
          <w:color w:val="auto"/>
        </w:rPr>
        <w:t>Less: net (loss) income attributable to noncontrolling interests Net (loss) income attributable to Bloomin’ Brands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15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r>
      <w:tr>
        <w:trPr>
          <w:trHeight w:val="257"/>
        </w:trPr>
        <w:tc>
          <w:tcPr>
            <w:tcW w:w="1520" w:type="dxa"/>
            <w:vAlign w:val="bottom"/>
          </w:tcPr>
          <w:p>
            <w:pPr>
              <w:jc w:val="right"/>
              <w:ind w:right="139"/>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6"/>
        </w:trPr>
        <w:tc>
          <w:tcPr>
            <w:tcW w:w="1520" w:type="dxa"/>
            <w:vAlign w:val="bottom"/>
          </w:tcPr>
          <w:p>
            <w:pPr>
              <w:jc w:val="right"/>
              <w:ind w:right="99"/>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20" w:type="dxa"/>
            <w:vAlign w:val="bottom"/>
          </w:tcPr>
          <w:p>
            <w:pPr>
              <w:jc w:val="right"/>
              <w:ind w:right="79"/>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2"/>
                <w:szCs w:val="22"/>
                <w:color w:val="auto"/>
              </w:rPr>
            </w:pPr>
          </w:p>
        </w:tc>
        <w:tc>
          <w:tcPr>
            <w:tcW w:w="1520" w:type="dxa"/>
            <w:vAlign w:val="bottom"/>
            <w:gridSpan w:val="2"/>
          </w:tcPr>
          <w:p>
            <w:pPr>
              <w:jc w:val="right"/>
              <w:ind w:right="99"/>
              <w:spacing w:after="0"/>
              <w:rPr>
                <w:sz w:val="20"/>
                <w:szCs w:val="20"/>
                <w:color w:val="auto"/>
              </w:rPr>
            </w:pPr>
            <w:r>
              <w:rPr>
                <w:rFonts w:ascii="Arial" w:cs="Arial" w:eastAsia="Arial" w:hAnsi="Arial"/>
                <w:sz w:val="16"/>
                <w:szCs w:val="16"/>
                <w:color w:val="auto"/>
              </w:rPr>
              <w:t>(1.1)</w:t>
            </w:r>
          </w:p>
        </w:tc>
      </w:tr>
      <w:tr>
        <w:trPr>
          <w:trHeight w:val="40"/>
        </w:trPr>
        <w:tc>
          <w:tcPr>
            <w:tcW w:w="15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r>
      <w:tr>
        <w:trPr>
          <w:trHeight w:val="223"/>
        </w:trPr>
        <w:tc>
          <w:tcPr>
            <w:tcW w:w="1520" w:type="dxa"/>
            <w:vAlign w:val="bottom"/>
          </w:tcPr>
          <w:p>
            <w:pPr>
              <w:jc w:val="right"/>
              <w:ind w:right="99"/>
              <w:spacing w:after="0"/>
              <w:rPr>
                <w:sz w:val="20"/>
                <w:szCs w:val="20"/>
                <w:color w:val="auto"/>
              </w:rPr>
            </w:pPr>
            <w:r>
              <w:rPr>
                <w:rFonts w:ascii="Arial" w:cs="Arial" w:eastAsia="Arial" w:hAnsi="Arial"/>
                <w:sz w:val="16"/>
                <w:szCs w:val="16"/>
                <w:color w:val="auto"/>
              </w:rPr>
              <w:t>(22.2)</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jc w:val="right"/>
              <w:ind w:right="79"/>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4.8</w:t>
            </w:r>
          </w:p>
        </w:tc>
        <w:tc>
          <w:tcPr>
            <w:tcW w:w="220" w:type="dxa"/>
            <w:vAlign w:val="bottom"/>
          </w:tcPr>
          <w:p>
            <w:pPr>
              <w:spacing w:after="0"/>
              <w:rPr>
                <w:sz w:val="19"/>
                <w:szCs w:val="19"/>
                <w:color w:val="auto"/>
              </w:rPr>
            </w:pPr>
          </w:p>
        </w:tc>
      </w:tr>
      <w:tr>
        <w:trPr>
          <w:trHeight w:val="256"/>
        </w:trPr>
        <w:tc>
          <w:tcPr>
            <w:tcW w:w="1520" w:type="dxa"/>
            <w:vAlign w:val="bottom"/>
          </w:tcPr>
          <w:p>
            <w:pPr>
              <w:jc w:val="right"/>
              <w:ind w:right="99"/>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0.1</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20" w:type="dxa"/>
            <w:vAlign w:val="bottom"/>
          </w:tcPr>
          <w:p>
            <w:pPr>
              <w:jc w:val="right"/>
              <w:ind w:right="79"/>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0.4</w:t>
            </w:r>
          </w:p>
        </w:tc>
        <w:tc>
          <w:tcPr>
            <w:tcW w:w="220" w:type="dxa"/>
            <w:vAlign w:val="bottom"/>
          </w:tcPr>
          <w:p>
            <w:pPr>
              <w:spacing w:after="0"/>
              <w:rPr>
                <w:sz w:val="22"/>
                <w:szCs w:val="22"/>
                <w:color w:val="auto"/>
              </w:rPr>
            </w:pPr>
          </w:p>
        </w:tc>
      </w:tr>
      <w:tr>
        <w:trPr>
          <w:trHeight w:val="40"/>
        </w:trPr>
        <w:tc>
          <w:tcPr>
            <w:tcW w:w="15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r>
      <w:tr>
        <w:trPr>
          <w:trHeight w:val="223"/>
        </w:trPr>
        <w:tc>
          <w:tcPr>
            <w:tcW w:w="1520" w:type="dxa"/>
            <w:vAlign w:val="bottom"/>
          </w:tcPr>
          <w:p>
            <w:pPr>
              <w:jc w:val="right"/>
              <w:ind w:right="99"/>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jc w:val="right"/>
              <w:ind w:right="79"/>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4.4</w:t>
            </w:r>
          </w:p>
        </w:tc>
        <w:tc>
          <w:tcPr>
            <w:tcW w:w="220" w:type="dxa"/>
            <w:vAlign w:val="bottom"/>
          </w:tcPr>
          <w:p>
            <w:pPr>
              <w:spacing w:after="0"/>
              <w:rPr>
                <w:sz w:val="19"/>
                <w:szCs w:val="19"/>
                <w:color w:val="auto"/>
              </w:rPr>
            </w:pPr>
          </w:p>
        </w:tc>
      </w:tr>
      <w:tr>
        <w:trPr>
          <w:trHeight w:val="256"/>
        </w:trPr>
        <w:tc>
          <w:tcPr>
            <w:tcW w:w="1520" w:type="dxa"/>
            <w:vAlign w:val="bottom"/>
          </w:tcPr>
          <w:p>
            <w:pPr>
              <w:jc w:val="right"/>
              <w:ind w:right="99"/>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0.1</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0.1</w:t>
            </w:r>
          </w:p>
        </w:tc>
        <w:tc>
          <w:tcPr>
            <w:tcW w:w="220" w:type="dxa"/>
            <w:vAlign w:val="bottom"/>
          </w:tcPr>
          <w:p>
            <w:pPr>
              <w:spacing w:after="0"/>
              <w:rPr>
                <w:sz w:val="22"/>
                <w:szCs w:val="22"/>
                <w:color w:val="auto"/>
              </w:rPr>
            </w:pPr>
          </w:p>
        </w:tc>
      </w:tr>
      <w:tr>
        <w:trPr>
          <w:trHeight w:val="40"/>
        </w:trPr>
        <w:tc>
          <w:tcPr>
            <w:tcW w:w="15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r>
      <w:tr>
        <w:trPr>
          <w:trHeight w:val="224"/>
        </w:trPr>
        <w:tc>
          <w:tcPr>
            <w:tcW w:w="1520" w:type="dxa"/>
            <w:vAlign w:val="bottom"/>
          </w:tcPr>
          <w:p>
            <w:pPr>
              <w:jc w:val="right"/>
              <w:spacing w:after="0"/>
              <w:rPr>
                <w:sz w:val="20"/>
                <w:szCs w:val="20"/>
                <w:color w:val="auto"/>
              </w:rPr>
            </w:pPr>
            <w:r>
              <w:rPr>
                <w:rFonts w:ascii="Arial" w:cs="Arial" w:eastAsia="Arial" w:hAnsi="Arial"/>
                <w:sz w:val="16"/>
                <w:szCs w:val="16"/>
                <w:color w:val="auto"/>
              </w:rPr>
              <w:t>(15.9) %</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2.8</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(8.0) %</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20"/>
        </w:trPr>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-3054985</wp:posOffset>
            </wp:positionH>
            <wp:positionV relativeFrom="paragraph">
              <wp:posOffset>-1224915</wp:posOffset>
            </wp:positionV>
            <wp:extent cx="7132320" cy="1625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-3054985</wp:posOffset>
            </wp:positionH>
            <wp:positionV relativeFrom="paragraph">
              <wp:posOffset>-890905</wp:posOffset>
            </wp:positionV>
            <wp:extent cx="71323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-3054985</wp:posOffset>
            </wp:positionH>
            <wp:positionV relativeFrom="paragraph">
              <wp:posOffset>-548005</wp:posOffset>
            </wp:positionV>
            <wp:extent cx="713232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-3054985</wp:posOffset>
            </wp:positionH>
            <wp:positionV relativeFrom="paragraph">
              <wp:posOffset>-205105</wp:posOffset>
            </wp:positionV>
            <wp:extent cx="7132320" cy="1885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37" w:lineRule="exact"/>
        <w:rPr>
          <w:sz w:val="20"/>
          <w:szCs w:val="20"/>
          <w:color w:val="auto"/>
        </w:rPr>
      </w:pPr>
    </w:p>
    <w:p>
      <w:pPr>
        <w:sectPr>
          <w:pgSz w:w="11900" w:h="16838" w:orient="portrait"/>
          <w:cols w:equalWidth="0" w:num="2">
            <w:col w:w="4140" w:space="680"/>
            <w:col w:w="6420"/>
          </w:cols>
          <w:pgMar w:left="320" w:top="121" w:right="339" w:bottom="1440" w:gutter="0" w:footer="0" w:header="0"/>
          <w:type w:val="continuous"/>
        </w:sectPr>
      </w:pPr>
    </w:p>
    <w:p>
      <w:pPr>
        <w:spacing w:after="0"/>
        <w:rPr>
          <w:sz w:val="20"/>
          <w:szCs w:val="20"/>
          <w:color w:val="auto"/>
        </w:rPr>
      </w:pPr>
      <w:r>
        <w:rPr>
          <w:rFonts w:ascii="Arial" w:cs="Arial" w:eastAsia="Arial" w:hAnsi="Arial"/>
          <w:sz w:val="20"/>
          <w:szCs w:val="20"/>
          <w:color w:val="auto"/>
        </w:rPr>
        <w:t>________________</w:t>
      </w:r>
    </w:p>
    <w:p>
      <w:pPr>
        <w:spacing w:after="0" w:line="20" w:lineRule="exact"/>
        <w:rPr>
          <w:sz w:val="20"/>
          <w:szCs w:val="20"/>
          <w:color w:val="auto"/>
        </w:rPr>
      </w:pPr>
    </w:p>
    <w:p>
      <w:pPr>
        <w:ind w:left="660" w:hanging="652"/>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As a percentage of Restaurant sales.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 Less than 1/10</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of one percent of Total revenues.</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RESTAURANT SALES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Following is a summary of the change in Restaurant sales for the periods indicated: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700" w:type="dxa"/>
            <w:vAlign w:val="bottom"/>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240" w:type="dxa"/>
            <w:vAlign w:val="bottom"/>
          </w:tcPr>
          <w:p>
            <w:pPr>
              <w:spacing w:after="0"/>
              <w:rPr>
                <w:sz w:val="17"/>
                <w:szCs w:val="17"/>
                <w:color w:val="auto"/>
              </w:rPr>
            </w:pPr>
          </w:p>
        </w:tc>
        <w:tc>
          <w:tcPr>
            <w:tcW w:w="2480" w:type="dxa"/>
            <w:vAlign w:val="bottom"/>
            <w:gridSpan w:val="2"/>
          </w:tcPr>
          <w:p>
            <w:pPr>
              <w:ind w:left="140"/>
              <w:spacing w:after="0"/>
              <w:rPr>
                <w:sz w:val="20"/>
                <w:szCs w:val="20"/>
                <w:color w:val="auto"/>
              </w:rPr>
            </w:pPr>
            <w:r>
              <w:rPr>
                <w:rFonts w:ascii="Arial" w:cs="Arial" w:eastAsia="Arial" w:hAnsi="Arial"/>
                <w:sz w:val="14"/>
                <w:szCs w:val="14"/>
                <w:b w:val="1"/>
                <w:bCs w:val="1"/>
                <w:color w:val="auto"/>
              </w:rPr>
              <w:t>THIRTEEN WEEKS ENDED</w:t>
            </w:r>
          </w:p>
        </w:tc>
        <w:tc>
          <w:tcPr>
            <w:tcW w:w="240" w:type="dxa"/>
            <w:vAlign w:val="bottom"/>
          </w:tcPr>
          <w:p>
            <w:pPr>
              <w:spacing w:after="0"/>
              <w:rPr>
                <w:sz w:val="17"/>
                <w:szCs w:val="17"/>
                <w:color w:val="auto"/>
              </w:rPr>
            </w:pPr>
          </w:p>
        </w:tc>
        <w:tc>
          <w:tcPr>
            <w:tcW w:w="2580" w:type="dxa"/>
            <w:vAlign w:val="bottom"/>
          </w:tcPr>
          <w:p>
            <w:pPr>
              <w:jc w:val="right"/>
              <w:ind w:right="320"/>
              <w:spacing w:after="0"/>
              <w:rPr>
                <w:sz w:val="20"/>
                <w:szCs w:val="20"/>
                <w:color w:val="auto"/>
              </w:rPr>
            </w:pPr>
            <w:r>
              <w:rPr>
                <w:rFonts w:ascii="Arial" w:cs="Arial" w:eastAsia="Arial" w:hAnsi="Arial"/>
                <w:sz w:val="14"/>
                <w:szCs w:val="14"/>
                <w:b w:val="1"/>
                <w:bCs w:val="1"/>
                <w:color w:val="auto"/>
              </w:rPr>
              <w:t>TWENTY-SIX WEEKS ENDED</w:t>
            </w:r>
          </w:p>
        </w:tc>
      </w:tr>
      <w:tr>
        <w:trPr>
          <w:trHeight w:val="237"/>
        </w:trPr>
        <w:tc>
          <w:tcPr>
            <w:tcW w:w="5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For the periods ended June 30, 2019</w:t>
            </w:r>
          </w:p>
        </w:tc>
        <w:tc>
          <w:tcPr>
            <w:tcW w:w="24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2380" w:type="dxa"/>
            <w:vAlign w:val="bottom"/>
            <w:tcBorders>
              <w:top w:val="single" w:sz="8" w:color="auto"/>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1,005.7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2580" w:type="dxa"/>
            <w:vAlign w:val="bottom"/>
            <w:tcBorders>
              <w:top w:val="single" w:sz="8" w:color="auto"/>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2,117.3</w:t>
            </w:r>
          </w:p>
        </w:tc>
      </w:tr>
      <w:tr>
        <w:trPr>
          <w:trHeight w:val="223"/>
        </w:trPr>
        <w:tc>
          <w:tcPr>
            <w:tcW w:w="5700" w:type="dxa"/>
            <w:vAlign w:val="bottom"/>
          </w:tcPr>
          <w:p>
            <w:pPr>
              <w:ind w:left="20"/>
              <w:spacing w:after="0"/>
              <w:rPr>
                <w:sz w:val="20"/>
                <w:szCs w:val="20"/>
                <w:color w:val="auto"/>
              </w:rPr>
            </w:pPr>
            <w:r>
              <w:rPr>
                <w:rFonts w:ascii="Arial" w:cs="Arial" w:eastAsia="Arial" w:hAnsi="Arial"/>
                <w:sz w:val="16"/>
                <w:szCs w:val="16"/>
                <w:color w:val="auto"/>
              </w:rPr>
              <w:t>Change from:</w:t>
            </w:r>
          </w:p>
        </w:tc>
        <w:tc>
          <w:tcPr>
            <w:tcW w:w="2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80" w:type="dxa"/>
            <w:vAlign w:val="bottom"/>
          </w:tcPr>
          <w:p>
            <w:pPr>
              <w:spacing w:after="0"/>
              <w:rPr>
                <w:sz w:val="19"/>
                <w:szCs w:val="19"/>
                <w:color w:val="auto"/>
              </w:rPr>
            </w:pPr>
          </w:p>
        </w:tc>
      </w:tr>
      <w:tr>
        <w:trPr>
          <w:trHeight w:val="33"/>
        </w:trPr>
        <w:tc>
          <w:tcPr>
            <w:tcW w:w="5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37"/>
        </w:trPr>
        <w:tc>
          <w:tcPr>
            <w:tcW w:w="57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Comparable restaurant sales</w:t>
            </w:r>
          </w:p>
        </w:tc>
        <w:tc>
          <w:tcPr>
            <w:tcW w:w="240" w:type="dxa"/>
            <w:vAlign w:val="bottom"/>
            <w:tcBorders>
              <w:bottom w:val="single" w:sz="8" w:color="CCEEFF"/>
            </w:tcBorders>
            <w:shd w:val="clear" w:color="auto" w:fill="CCEEFF"/>
          </w:tcPr>
          <w:p>
            <w:pPr>
              <w:spacing w:after="0"/>
              <w:rPr>
                <w:sz w:val="20"/>
                <w:szCs w:val="20"/>
                <w:color w:val="auto"/>
              </w:rPr>
            </w:pPr>
          </w:p>
        </w:tc>
        <w:tc>
          <w:tcPr>
            <w:tcW w:w="2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(408.1)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25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(505.3)</w:t>
            </w:r>
          </w:p>
        </w:tc>
      </w:tr>
      <w:tr>
        <w:trPr>
          <w:trHeight w:val="223"/>
        </w:trPr>
        <w:tc>
          <w:tcPr>
            <w:tcW w:w="5700" w:type="dxa"/>
            <w:vAlign w:val="bottom"/>
          </w:tcPr>
          <w:p>
            <w:pPr>
              <w:ind w:left="340"/>
              <w:spacing w:after="0"/>
              <w:rPr>
                <w:sz w:val="20"/>
                <w:szCs w:val="20"/>
                <w:color w:val="auto"/>
              </w:rPr>
            </w:pPr>
            <w:r>
              <w:rPr>
                <w:rFonts w:ascii="Arial" w:cs="Arial" w:eastAsia="Arial" w:hAnsi="Arial"/>
                <w:sz w:val="16"/>
                <w:szCs w:val="16"/>
                <w:color w:val="auto"/>
              </w:rPr>
              <w:t>Restaurant closures</w:t>
            </w:r>
          </w:p>
        </w:tc>
        <w:tc>
          <w:tcPr>
            <w:tcW w:w="240" w:type="dxa"/>
            <w:vAlign w:val="bottom"/>
          </w:tcPr>
          <w:p>
            <w:pPr>
              <w:spacing w:after="0"/>
              <w:rPr>
                <w:sz w:val="19"/>
                <w:szCs w:val="19"/>
                <w:color w:val="auto"/>
              </w:rPr>
            </w:pPr>
          </w:p>
        </w:tc>
        <w:tc>
          <w:tcPr>
            <w:tcW w:w="2380" w:type="dxa"/>
            <w:vAlign w:val="bottom"/>
          </w:tcPr>
          <w:p>
            <w:pPr>
              <w:jc w:val="right"/>
              <w:ind w:right="40"/>
              <w:spacing w:after="0"/>
              <w:rPr>
                <w:sz w:val="20"/>
                <w:szCs w:val="20"/>
                <w:color w:val="auto"/>
              </w:rPr>
            </w:pPr>
            <w:r>
              <w:rPr>
                <w:rFonts w:ascii="Arial" w:cs="Arial" w:eastAsia="Arial" w:hAnsi="Arial"/>
                <w:sz w:val="16"/>
                <w:szCs w:val="16"/>
                <w:color w:val="auto"/>
              </w:rPr>
              <w:t>(15.2)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80" w:type="dxa"/>
            <w:vAlign w:val="bottom"/>
          </w:tcPr>
          <w:p>
            <w:pPr>
              <w:jc w:val="right"/>
              <w:ind w:right="20"/>
              <w:spacing w:after="0"/>
              <w:rPr>
                <w:sz w:val="20"/>
                <w:szCs w:val="20"/>
                <w:color w:val="auto"/>
              </w:rPr>
            </w:pPr>
            <w:r>
              <w:rPr>
                <w:rFonts w:ascii="Arial" w:cs="Arial" w:eastAsia="Arial" w:hAnsi="Arial"/>
                <w:sz w:val="16"/>
                <w:szCs w:val="16"/>
                <w:color w:val="auto"/>
              </w:rPr>
              <w:t>(23.8)</w:t>
            </w:r>
          </w:p>
        </w:tc>
      </w:tr>
      <w:tr>
        <w:trPr>
          <w:trHeight w:val="33"/>
        </w:trPr>
        <w:tc>
          <w:tcPr>
            <w:tcW w:w="5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37"/>
        </w:trPr>
        <w:tc>
          <w:tcPr>
            <w:tcW w:w="57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Effect of foreign currency translation</w:t>
            </w:r>
          </w:p>
        </w:tc>
        <w:tc>
          <w:tcPr>
            <w:tcW w:w="240" w:type="dxa"/>
            <w:vAlign w:val="bottom"/>
            <w:tcBorders>
              <w:bottom w:val="single" w:sz="8" w:color="CCEEFF"/>
            </w:tcBorders>
            <w:shd w:val="clear" w:color="auto" w:fill="CCEEFF"/>
          </w:tcPr>
          <w:p>
            <w:pPr>
              <w:spacing w:after="0"/>
              <w:rPr>
                <w:sz w:val="20"/>
                <w:szCs w:val="20"/>
                <w:color w:val="auto"/>
              </w:rPr>
            </w:pPr>
          </w:p>
        </w:tc>
        <w:tc>
          <w:tcPr>
            <w:tcW w:w="2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25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(18.7)</w:t>
            </w:r>
          </w:p>
        </w:tc>
      </w:tr>
      <w:tr>
        <w:trPr>
          <w:trHeight w:val="223"/>
        </w:trPr>
        <w:tc>
          <w:tcPr>
            <w:tcW w:w="5700" w:type="dxa"/>
            <w:vAlign w:val="bottom"/>
          </w:tcPr>
          <w:p>
            <w:pPr>
              <w:ind w:left="340"/>
              <w:spacing w:after="0"/>
              <w:rPr>
                <w:sz w:val="20"/>
                <w:szCs w:val="20"/>
                <w:color w:val="auto"/>
              </w:rPr>
            </w:pPr>
            <w:r>
              <w:rPr>
                <w:rFonts w:ascii="Arial" w:cs="Arial" w:eastAsia="Arial" w:hAnsi="Arial"/>
                <w:sz w:val="16"/>
                <w:szCs w:val="16"/>
                <w:color w:val="auto"/>
              </w:rPr>
              <w:t>Divestiture of restaurants through refranchising transactions</w:t>
            </w:r>
          </w:p>
        </w:tc>
        <w:tc>
          <w:tcPr>
            <w:tcW w:w="240" w:type="dxa"/>
            <w:vAlign w:val="bottom"/>
          </w:tcPr>
          <w:p>
            <w:pPr>
              <w:spacing w:after="0"/>
              <w:rPr>
                <w:sz w:val="19"/>
                <w:szCs w:val="19"/>
                <w:color w:val="auto"/>
              </w:rPr>
            </w:pPr>
          </w:p>
        </w:tc>
        <w:tc>
          <w:tcPr>
            <w:tcW w:w="24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2580" w:type="dxa"/>
            <w:vAlign w:val="bottom"/>
          </w:tcPr>
          <w:p>
            <w:pPr>
              <w:jc w:val="right"/>
              <w:ind w:right="20"/>
              <w:spacing w:after="0"/>
              <w:rPr>
                <w:sz w:val="20"/>
                <w:szCs w:val="20"/>
                <w:color w:val="auto"/>
              </w:rPr>
            </w:pPr>
            <w:r>
              <w:rPr>
                <w:rFonts w:ascii="Arial" w:cs="Arial" w:eastAsia="Arial" w:hAnsi="Arial"/>
                <w:sz w:val="16"/>
                <w:szCs w:val="16"/>
                <w:color w:val="auto"/>
              </w:rPr>
              <w:t>(11.2)</w:t>
            </w:r>
          </w:p>
        </w:tc>
      </w:tr>
      <w:tr>
        <w:trPr>
          <w:trHeight w:val="33"/>
        </w:trPr>
        <w:tc>
          <w:tcPr>
            <w:tcW w:w="5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64"/>
        </w:trPr>
        <w:tc>
          <w:tcPr>
            <w:tcW w:w="57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Restaurant openings</w:t>
            </w:r>
          </w:p>
        </w:tc>
        <w:tc>
          <w:tcPr>
            <w:tcW w:w="240" w:type="dxa"/>
            <w:vAlign w:val="bottom"/>
            <w:tcBorders>
              <w:bottom w:val="single" w:sz="8" w:color="auto"/>
            </w:tcBorders>
            <w:shd w:val="clear" w:color="auto" w:fill="CCEEFF"/>
          </w:tcPr>
          <w:p>
            <w:pPr>
              <w:spacing w:after="0"/>
              <w:rPr>
                <w:sz w:val="22"/>
                <w:szCs w:val="22"/>
                <w:color w:val="auto"/>
              </w:rPr>
            </w:pPr>
          </w:p>
        </w:tc>
        <w:tc>
          <w:tcPr>
            <w:tcW w:w="23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25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14.2</w:t>
            </w:r>
          </w:p>
        </w:tc>
      </w:tr>
      <w:tr>
        <w:trPr>
          <w:trHeight w:val="253"/>
        </w:trPr>
        <w:tc>
          <w:tcPr>
            <w:tcW w:w="5700" w:type="dxa"/>
            <w:vAlign w:val="bottom"/>
          </w:tcPr>
          <w:p>
            <w:pPr>
              <w:ind w:left="20"/>
              <w:spacing w:after="0"/>
              <w:rPr>
                <w:sz w:val="20"/>
                <w:szCs w:val="20"/>
                <w:color w:val="auto"/>
              </w:rPr>
            </w:pPr>
            <w:r>
              <w:rPr>
                <w:rFonts w:ascii="Arial" w:cs="Arial" w:eastAsia="Arial" w:hAnsi="Arial"/>
                <w:sz w:val="16"/>
                <w:szCs w:val="16"/>
                <w:color w:val="auto"/>
              </w:rPr>
              <w:t>For the periods ended June 28, 2020</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23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576.3</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25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1,572.5</w:t>
            </w:r>
          </w:p>
        </w:tc>
      </w:tr>
      <w:tr>
        <w:trPr>
          <w:trHeight w:val="24"/>
        </w:trPr>
        <w:tc>
          <w:tcPr>
            <w:tcW w:w="5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r>
    </w:tbl>
    <w:p>
      <w:pPr>
        <w:spacing w:after="0" w:line="29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decrease in Restaurant sales during the thirteen weeks ended June 28, 2020 was primarily due to: (i) significantly lower comparable restaurant sales principally attributable to the COVID-19 pandemic, (ii) the closure of 43 restaurants since March 31, 2019 and (iii) the effect of foreign currency translation of the Brazilian Real</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8" w:name="page39"/>
    <w:bookmarkEnd w:id="3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34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relative to the U.S. dollar. The decrease in Restaurant sales was partially offset by the opening of 26 new restaurants not included in our comparable restaurant sales base.</w:t>
      </w:r>
    </w:p>
    <w:p>
      <w:pPr>
        <w:spacing w:after="0" w:line="20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The decrease in Restaurant sales during the twenty-six weeks ended June 28, 2020 was primarily due to: (i) significantly lower comparable restaurant sales principally attributable to the COVID-19 pandemic, (ii) the closure of 49 restaurants since December 30, 2018, (iii) the effect of foreign currency translation of the Brazilian Real relative to the U.S. dollar and (iv) domestic refranchising. The decrease in restaurant sales was partially offset by the opening of 28 new restaurants not included in our comparable restaurant sales base.</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Average Restaurant Unit Volumes and Operating Weeks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Following is a summary of the average restaurant unit volumes and operating weeks, for the periods indicated: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9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4"/>
          </w:tcPr>
          <w:p>
            <w:pPr>
              <w:jc w:val="right"/>
              <w:ind w:right="540"/>
              <w:spacing w:after="0"/>
              <w:rPr>
                <w:sz w:val="20"/>
                <w:szCs w:val="20"/>
                <w:color w:val="auto"/>
              </w:rPr>
            </w:pPr>
            <w:r>
              <w:rPr>
                <w:rFonts w:ascii="Arial" w:cs="Arial" w:eastAsia="Arial" w:hAnsi="Arial"/>
                <w:sz w:val="14"/>
                <w:szCs w:val="14"/>
                <w:b w:val="1"/>
                <w:bCs w:val="1"/>
                <w:color w:val="auto"/>
              </w:rPr>
              <w:t>THIRTEEN WEEKS ENDED</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4"/>
          </w:tcPr>
          <w:p>
            <w:pPr>
              <w:jc w:val="right"/>
              <w:ind w:right="460"/>
              <w:spacing w:after="0"/>
              <w:rPr>
                <w:sz w:val="20"/>
                <w:szCs w:val="20"/>
                <w:color w:val="auto"/>
              </w:rPr>
            </w:pPr>
            <w:r>
              <w:rPr>
                <w:rFonts w:ascii="Arial" w:cs="Arial" w:eastAsia="Arial" w:hAnsi="Arial"/>
                <w:sz w:val="14"/>
                <w:szCs w:val="14"/>
                <w:b w:val="1"/>
                <w:bCs w:val="1"/>
                <w:color w:val="auto"/>
              </w:rPr>
              <w:t>TWENTY-SIX WEEKS ENDED</w:t>
            </w:r>
          </w:p>
        </w:tc>
      </w:tr>
      <w:tr>
        <w:trPr>
          <w:trHeight w:val="209"/>
        </w:trPr>
        <w:tc>
          <w:tcPr>
            <w:tcW w:w="4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28, 2020</w:t>
            </w:r>
          </w:p>
        </w:tc>
        <w:tc>
          <w:tcPr>
            <w:tcW w:w="200" w:type="dxa"/>
            <w:vAlign w:val="bottom"/>
          </w:tcPr>
          <w:p>
            <w:pPr>
              <w:spacing w:after="0"/>
              <w:rPr>
                <w:sz w:val="18"/>
                <w:szCs w:val="18"/>
                <w:color w:val="auto"/>
              </w:rPr>
            </w:pPr>
          </w:p>
        </w:tc>
        <w:tc>
          <w:tcPr>
            <w:tcW w:w="142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2019</w:t>
            </w:r>
          </w:p>
        </w:tc>
        <w:tc>
          <w:tcPr>
            <w:tcW w:w="200" w:type="dxa"/>
            <w:vAlign w:val="bottom"/>
          </w:tcPr>
          <w:p>
            <w:pPr>
              <w:spacing w:after="0"/>
              <w:rPr>
                <w:sz w:val="18"/>
                <w:szCs w:val="18"/>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28, 2020</w:t>
            </w:r>
          </w:p>
        </w:tc>
        <w:tc>
          <w:tcPr>
            <w:tcW w:w="200" w:type="dxa"/>
            <w:vAlign w:val="bottom"/>
          </w:tcPr>
          <w:p>
            <w:pPr>
              <w:spacing w:after="0"/>
              <w:rPr>
                <w:sz w:val="18"/>
                <w:szCs w:val="18"/>
                <w:color w:val="auto"/>
              </w:rPr>
            </w:pPr>
          </w:p>
        </w:tc>
        <w:tc>
          <w:tcPr>
            <w:tcW w:w="1300" w:type="dxa"/>
            <w:vAlign w:val="bottom"/>
          </w:tcPr>
          <w:p>
            <w:pPr>
              <w:jc w:val="right"/>
              <w:ind w:right="220"/>
              <w:spacing w:after="0"/>
              <w:rPr>
                <w:sz w:val="20"/>
                <w:szCs w:val="20"/>
                <w:color w:val="auto"/>
              </w:rPr>
            </w:pPr>
            <w:r>
              <w:rPr>
                <w:rFonts w:ascii="Arial" w:cs="Arial" w:eastAsia="Arial" w:hAnsi="Arial"/>
                <w:sz w:val="14"/>
                <w:szCs w:val="14"/>
                <w:b w:val="1"/>
                <w:bCs w:val="1"/>
                <w:color w:val="auto"/>
              </w:rPr>
              <w:t>JUNE 30, 2019</w:t>
            </w:r>
          </w:p>
        </w:tc>
      </w:tr>
      <w:tr>
        <w:trPr>
          <w:trHeight w:val="223"/>
        </w:trPr>
        <w:tc>
          <w:tcPr>
            <w:tcW w:w="4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Average restaurant unit volumes (weekly):</w:t>
            </w:r>
          </w:p>
        </w:tc>
        <w:tc>
          <w:tcPr>
            <w:tcW w:w="200" w:type="dxa"/>
            <w:vAlign w:val="bottom"/>
            <w:tcBorders>
              <w:top w:val="single" w:sz="8" w:color="auto"/>
              <w:bottom w:val="single" w:sz="8" w:color="CCEEFF"/>
            </w:tcBorders>
            <w:shd w:val="clear" w:color="auto" w:fill="CCEEFF"/>
          </w:tcPr>
          <w:p>
            <w:pPr>
              <w:spacing w:after="0"/>
              <w:rPr>
                <w:sz w:val="19"/>
                <w:szCs w:val="19"/>
                <w:color w:val="auto"/>
              </w:rPr>
            </w:pPr>
          </w:p>
        </w:tc>
        <w:tc>
          <w:tcPr>
            <w:tcW w:w="130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CCEEFF"/>
            </w:tcBorders>
            <w:shd w:val="clear" w:color="auto" w:fill="CCEEFF"/>
          </w:tcPr>
          <w:p>
            <w:pPr>
              <w:spacing w:after="0"/>
              <w:rPr>
                <w:sz w:val="19"/>
                <w:szCs w:val="19"/>
                <w:color w:val="auto"/>
              </w:rPr>
            </w:pPr>
          </w:p>
        </w:tc>
        <w:tc>
          <w:tcPr>
            <w:tcW w:w="130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CCEEFF"/>
            </w:tcBorders>
            <w:shd w:val="clear" w:color="auto" w:fill="CCEEFF"/>
          </w:tcPr>
          <w:p>
            <w:pPr>
              <w:spacing w:after="0"/>
              <w:rPr>
                <w:sz w:val="19"/>
                <w:szCs w:val="19"/>
                <w:color w:val="auto"/>
              </w:rPr>
            </w:pPr>
          </w:p>
        </w:tc>
        <w:tc>
          <w:tcPr>
            <w:tcW w:w="130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CCEEFF"/>
            </w:tcBorders>
            <w:shd w:val="clear" w:color="auto" w:fill="CCEEFF"/>
          </w:tcPr>
          <w:p>
            <w:pPr>
              <w:spacing w:after="0"/>
              <w:rPr>
                <w:sz w:val="19"/>
                <w:szCs w:val="19"/>
                <w:color w:val="auto"/>
              </w:rPr>
            </w:pPr>
          </w:p>
        </w:tc>
        <w:tc>
          <w:tcPr>
            <w:tcW w:w="1300" w:type="dxa"/>
            <w:vAlign w:val="bottom"/>
            <w:tcBorders>
              <w:top w:val="single" w:sz="8" w:color="auto"/>
              <w:bottom w:val="single" w:sz="8" w:color="CCEEFF"/>
            </w:tcBorders>
            <w:shd w:val="clear" w:color="auto" w:fill="CCEEFF"/>
          </w:tcPr>
          <w:p>
            <w:pPr>
              <w:spacing w:after="0"/>
              <w:rPr>
                <w:sz w:val="19"/>
                <w:szCs w:val="19"/>
                <w:color w:val="auto"/>
              </w:rPr>
            </w:pPr>
          </w:p>
        </w:tc>
      </w:tr>
      <w:tr>
        <w:trPr>
          <w:trHeight w:val="223"/>
        </w:trPr>
        <w:tc>
          <w:tcPr>
            <w:tcW w:w="4920" w:type="dxa"/>
            <w:vAlign w:val="bottom"/>
          </w:tcPr>
          <w:p>
            <w:pPr>
              <w:ind w:left="120"/>
              <w:spacing w:after="0"/>
              <w:rPr>
                <w:sz w:val="20"/>
                <w:szCs w:val="20"/>
                <w:color w:val="auto"/>
              </w:rPr>
            </w:pPr>
            <w:r>
              <w:rPr>
                <w:rFonts w:ascii="Arial" w:cs="Arial" w:eastAsia="Arial" w:hAnsi="Arial"/>
                <w:sz w:val="16"/>
                <w:szCs w:val="16"/>
                <w:color w:val="auto"/>
              </w:rPr>
              <w:t>U.S.</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33"/>
        </w:trPr>
        <w:tc>
          <w:tcPr>
            <w:tcW w:w="4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49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Outback Steakhouse</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46,278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69,497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58,201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73,344</w:t>
            </w:r>
          </w:p>
        </w:tc>
      </w:tr>
      <w:tr>
        <w:trPr>
          <w:trHeight w:val="224"/>
        </w:trPr>
        <w:tc>
          <w:tcPr>
            <w:tcW w:w="4920" w:type="dxa"/>
            <w:vAlign w:val="bottom"/>
          </w:tcPr>
          <w:p>
            <w:pPr>
              <w:ind w:left="220"/>
              <w:spacing w:after="0"/>
              <w:rPr>
                <w:sz w:val="20"/>
                <w:szCs w:val="20"/>
                <w:color w:val="auto"/>
              </w:rPr>
            </w:pPr>
            <w:r>
              <w:rPr>
                <w:rFonts w:ascii="Arial" w:cs="Arial" w:eastAsia="Arial" w:hAnsi="Arial"/>
                <w:sz w:val="16"/>
                <w:szCs w:val="16"/>
                <w:color w:val="auto"/>
              </w:rPr>
              <w:t>Carrabba’s Italian Grill</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61"/>
              <w:spacing w:after="0"/>
              <w:rPr>
                <w:sz w:val="20"/>
                <w:szCs w:val="20"/>
                <w:color w:val="auto"/>
              </w:rPr>
            </w:pPr>
            <w:r>
              <w:rPr>
                <w:rFonts w:ascii="Arial" w:cs="Arial" w:eastAsia="Arial" w:hAnsi="Arial"/>
                <w:sz w:val="16"/>
                <w:szCs w:val="16"/>
                <w:color w:val="auto"/>
              </w:rPr>
              <w:t>35,394</w:t>
            </w:r>
          </w:p>
        </w:tc>
        <w:tc>
          <w:tcPr>
            <w:tcW w:w="10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60"/>
              <w:spacing w:after="0"/>
              <w:rPr>
                <w:sz w:val="20"/>
                <w:szCs w:val="20"/>
                <w:color w:val="auto"/>
              </w:rPr>
            </w:pPr>
            <w:r>
              <w:rPr>
                <w:rFonts w:ascii="Arial" w:cs="Arial" w:eastAsia="Arial" w:hAnsi="Arial"/>
                <w:sz w:val="16"/>
                <w:szCs w:val="16"/>
                <w:color w:val="auto"/>
              </w:rPr>
              <w:t>56,285</w:t>
            </w:r>
          </w:p>
        </w:tc>
        <w:tc>
          <w:tcPr>
            <w:tcW w:w="12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81"/>
              <w:spacing w:after="0"/>
              <w:rPr>
                <w:sz w:val="20"/>
                <w:szCs w:val="20"/>
                <w:color w:val="auto"/>
              </w:rPr>
            </w:pPr>
            <w:r>
              <w:rPr>
                <w:rFonts w:ascii="Arial" w:cs="Arial" w:eastAsia="Arial" w:hAnsi="Arial"/>
                <w:sz w:val="16"/>
                <w:szCs w:val="16"/>
                <w:color w:val="auto"/>
              </w:rPr>
              <w:t>45,395</w:t>
            </w:r>
          </w:p>
        </w:tc>
        <w:tc>
          <w:tcPr>
            <w:tcW w:w="10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60"/>
              <w:spacing w:after="0"/>
              <w:rPr>
                <w:sz w:val="20"/>
                <w:szCs w:val="20"/>
                <w:color w:val="auto"/>
              </w:rPr>
            </w:pPr>
            <w:r>
              <w:rPr>
                <w:rFonts w:ascii="Arial" w:cs="Arial" w:eastAsia="Arial" w:hAnsi="Arial"/>
                <w:sz w:val="16"/>
                <w:szCs w:val="16"/>
                <w:color w:val="auto"/>
              </w:rPr>
              <w:t>58,188</w:t>
            </w:r>
          </w:p>
        </w:tc>
      </w:tr>
      <w:tr>
        <w:trPr>
          <w:trHeight w:val="33"/>
        </w:trPr>
        <w:tc>
          <w:tcPr>
            <w:tcW w:w="4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49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Bonefish Grill</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25,866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60,018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40,292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61,833</w:t>
            </w:r>
          </w:p>
        </w:tc>
      </w:tr>
      <w:tr>
        <w:trPr>
          <w:trHeight w:val="223"/>
        </w:trPr>
        <w:tc>
          <w:tcPr>
            <w:tcW w:w="4920" w:type="dxa"/>
            <w:vAlign w:val="bottom"/>
          </w:tcPr>
          <w:p>
            <w:pPr>
              <w:ind w:left="220"/>
              <w:spacing w:after="0"/>
              <w:rPr>
                <w:sz w:val="20"/>
                <w:szCs w:val="20"/>
                <w:color w:val="auto"/>
              </w:rPr>
            </w:pPr>
            <w:r>
              <w:rPr>
                <w:rFonts w:ascii="Arial" w:cs="Arial" w:eastAsia="Arial" w:hAnsi="Arial"/>
                <w:sz w:val="16"/>
                <w:szCs w:val="16"/>
                <w:color w:val="auto"/>
              </w:rPr>
              <w:t>Fleming’s Prime Steakhouse &amp; Wine Bar</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61"/>
              <w:spacing w:after="0"/>
              <w:rPr>
                <w:sz w:val="20"/>
                <w:szCs w:val="20"/>
                <w:color w:val="auto"/>
              </w:rPr>
            </w:pPr>
            <w:r>
              <w:rPr>
                <w:rFonts w:ascii="Arial" w:cs="Arial" w:eastAsia="Arial" w:hAnsi="Arial"/>
                <w:sz w:val="16"/>
                <w:szCs w:val="16"/>
                <w:color w:val="auto"/>
              </w:rPr>
              <w:t>36,649</w:t>
            </w:r>
          </w:p>
        </w:tc>
        <w:tc>
          <w:tcPr>
            <w:tcW w:w="10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60"/>
              <w:spacing w:after="0"/>
              <w:rPr>
                <w:sz w:val="20"/>
                <w:szCs w:val="20"/>
                <w:color w:val="auto"/>
              </w:rPr>
            </w:pPr>
            <w:r>
              <w:rPr>
                <w:rFonts w:ascii="Arial" w:cs="Arial" w:eastAsia="Arial" w:hAnsi="Arial"/>
                <w:sz w:val="16"/>
                <w:szCs w:val="16"/>
                <w:color w:val="auto"/>
              </w:rPr>
              <w:t>81,754</w:t>
            </w:r>
          </w:p>
        </w:tc>
        <w:tc>
          <w:tcPr>
            <w:tcW w:w="12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81"/>
              <w:spacing w:after="0"/>
              <w:rPr>
                <w:sz w:val="20"/>
                <w:szCs w:val="20"/>
                <w:color w:val="auto"/>
              </w:rPr>
            </w:pPr>
            <w:r>
              <w:rPr>
                <w:rFonts w:ascii="Arial" w:cs="Arial" w:eastAsia="Arial" w:hAnsi="Arial"/>
                <w:sz w:val="16"/>
                <w:szCs w:val="16"/>
                <w:color w:val="auto"/>
              </w:rPr>
              <w:t>59,027</w:t>
            </w:r>
          </w:p>
        </w:tc>
        <w:tc>
          <w:tcPr>
            <w:tcW w:w="10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60"/>
              <w:spacing w:after="0"/>
              <w:rPr>
                <w:sz w:val="20"/>
                <w:szCs w:val="20"/>
                <w:color w:val="auto"/>
              </w:rPr>
            </w:pPr>
            <w:r>
              <w:rPr>
                <w:rFonts w:ascii="Arial" w:cs="Arial" w:eastAsia="Arial" w:hAnsi="Arial"/>
                <w:sz w:val="16"/>
                <w:szCs w:val="16"/>
                <w:color w:val="auto"/>
              </w:rPr>
              <w:t>86,496</w:t>
            </w:r>
          </w:p>
        </w:tc>
      </w:tr>
      <w:tr>
        <w:trPr>
          <w:trHeight w:val="33"/>
        </w:trPr>
        <w:tc>
          <w:tcPr>
            <w:tcW w:w="4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6"/>
        </w:trPr>
        <w:tc>
          <w:tcPr>
            <w:tcW w:w="49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International</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24"/>
        </w:trPr>
        <w:tc>
          <w:tcPr>
            <w:tcW w:w="4920" w:type="dxa"/>
            <w:vAlign w:val="bottom"/>
          </w:tcPr>
          <w:p>
            <w:pPr>
              <w:ind w:left="220"/>
              <w:spacing w:after="0"/>
              <w:rPr>
                <w:sz w:val="20"/>
                <w:szCs w:val="20"/>
                <w:color w:val="auto"/>
              </w:rPr>
            </w:pPr>
            <w:r>
              <w:rPr>
                <w:rFonts w:ascii="Arial" w:cs="Arial" w:eastAsia="Arial" w:hAnsi="Arial"/>
                <w:sz w:val="16"/>
                <w:szCs w:val="16"/>
                <w:color w:val="auto"/>
              </w:rPr>
              <w:t>Outback Steakhouse - Brazil (1)</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61"/>
              <w:spacing w:after="0"/>
              <w:rPr>
                <w:sz w:val="20"/>
                <w:szCs w:val="20"/>
                <w:color w:val="auto"/>
              </w:rPr>
            </w:pPr>
            <w:r>
              <w:rPr>
                <w:rFonts w:ascii="Arial" w:cs="Arial" w:eastAsia="Arial" w:hAnsi="Arial"/>
                <w:sz w:val="16"/>
                <w:szCs w:val="16"/>
                <w:color w:val="auto"/>
              </w:rPr>
              <w:t>17,731</w:t>
            </w:r>
          </w:p>
        </w:tc>
        <w:tc>
          <w:tcPr>
            <w:tcW w:w="10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60"/>
              <w:spacing w:after="0"/>
              <w:rPr>
                <w:sz w:val="20"/>
                <w:szCs w:val="20"/>
                <w:color w:val="auto"/>
              </w:rPr>
            </w:pPr>
            <w:r>
              <w:rPr>
                <w:rFonts w:ascii="Arial" w:cs="Arial" w:eastAsia="Arial" w:hAnsi="Arial"/>
                <w:sz w:val="16"/>
                <w:szCs w:val="16"/>
                <w:color w:val="auto"/>
              </w:rPr>
              <w:t>66,829</w:t>
            </w:r>
          </w:p>
        </w:tc>
        <w:tc>
          <w:tcPr>
            <w:tcW w:w="12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81"/>
              <w:spacing w:after="0"/>
              <w:rPr>
                <w:sz w:val="20"/>
                <w:szCs w:val="20"/>
                <w:color w:val="auto"/>
              </w:rPr>
            </w:pPr>
            <w:r>
              <w:rPr>
                <w:rFonts w:ascii="Arial" w:cs="Arial" w:eastAsia="Arial" w:hAnsi="Arial"/>
                <w:sz w:val="16"/>
                <w:szCs w:val="16"/>
                <w:color w:val="auto"/>
              </w:rPr>
              <w:t>43,512</w:t>
            </w:r>
          </w:p>
        </w:tc>
        <w:tc>
          <w:tcPr>
            <w:tcW w:w="10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60"/>
              <w:spacing w:after="0"/>
              <w:rPr>
                <w:sz w:val="20"/>
                <w:szCs w:val="20"/>
                <w:color w:val="auto"/>
              </w:rPr>
            </w:pPr>
            <w:r>
              <w:rPr>
                <w:rFonts w:ascii="Arial" w:cs="Arial" w:eastAsia="Arial" w:hAnsi="Arial"/>
                <w:sz w:val="16"/>
                <w:szCs w:val="16"/>
                <w:color w:val="auto"/>
              </w:rPr>
              <w:t>70,754</w:t>
            </w:r>
          </w:p>
        </w:tc>
      </w:tr>
      <w:tr>
        <w:trPr>
          <w:trHeight w:val="33"/>
        </w:trPr>
        <w:tc>
          <w:tcPr>
            <w:tcW w:w="4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weeks:</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23"/>
        </w:trPr>
        <w:tc>
          <w:tcPr>
            <w:tcW w:w="4920" w:type="dxa"/>
            <w:vAlign w:val="bottom"/>
          </w:tcPr>
          <w:p>
            <w:pPr>
              <w:ind w:left="120"/>
              <w:spacing w:after="0"/>
              <w:rPr>
                <w:sz w:val="20"/>
                <w:szCs w:val="20"/>
                <w:color w:val="auto"/>
              </w:rPr>
            </w:pPr>
            <w:r>
              <w:rPr>
                <w:rFonts w:ascii="Arial" w:cs="Arial" w:eastAsia="Arial" w:hAnsi="Arial"/>
                <w:sz w:val="16"/>
                <w:szCs w:val="16"/>
                <w:color w:val="auto"/>
              </w:rPr>
              <w:t>U.S.</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33"/>
        </w:trPr>
        <w:tc>
          <w:tcPr>
            <w:tcW w:w="4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49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Outback Steakhouse</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7,466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7,538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14,965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15,065</w:t>
            </w:r>
          </w:p>
        </w:tc>
      </w:tr>
      <w:tr>
        <w:trPr>
          <w:trHeight w:val="223"/>
        </w:trPr>
        <w:tc>
          <w:tcPr>
            <w:tcW w:w="4920" w:type="dxa"/>
            <w:vAlign w:val="bottom"/>
          </w:tcPr>
          <w:p>
            <w:pPr>
              <w:ind w:left="220"/>
              <w:spacing w:after="0"/>
              <w:rPr>
                <w:sz w:val="20"/>
                <w:szCs w:val="20"/>
                <w:color w:val="auto"/>
              </w:rPr>
            </w:pPr>
            <w:r>
              <w:rPr>
                <w:rFonts w:ascii="Arial" w:cs="Arial" w:eastAsia="Arial" w:hAnsi="Arial"/>
                <w:sz w:val="16"/>
                <w:szCs w:val="16"/>
                <w:color w:val="auto"/>
              </w:rPr>
              <w:t>Carrabba’s Italian Grill</w:t>
            </w:r>
          </w:p>
        </w:tc>
        <w:tc>
          <w:tcPr>
            <w:tcW w:w="200" w:type="dxa"/>
            <w:vAlign w:val="bottom"/>
          </w:tcPr>
          <w:p>
            <w:pPr>
              <w:spacing w:after="0"/>
              <w:rPr>
                <w:sz w:val="19"/>
                <w:szCs w:val="19"/>
                <w:color w:val="auto"/>
              </w:rPr>
            </w:pPr>
          </w:p>
        </w:tc>
        <w:tc>
          <w:tcPr>
            <w:tcW w:w="1300" w:type="dxa"/>
            <w:vAlign w:val="bottom"/>
          </w:tcPr>
          <w:p>
            <w:pPr>
              <w:jc w:val="right"/>
              <w:ind w:right="61"/>
              <w:spacing w:after="0"/>
              <w:rPr>
                <w:sz w:val="20"/>
                <w:szCs w:val="20"/>
                <w:color w:val="auto"/>
              </w:rPr>
            </w:pPr>
            <w:r>
              <w:rPr>
                <w:rFonts w:ascii="Arial" w:cs="Arial" w:eastAsia="Arial" w:hAnsi="Arial"/>
                <w:sz w:val="16"/>
                <w:szCs w:val="16"/>
                <w:color w:val="auto"/>
              </w:rPr>
              <w:t>2,648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ind w:right="60"/>
              <w:spacing w:after="0"/>
              <w:rPr>
                <w:sz w:val="20"/>
                <w:szCs w:val="20"/>
                <w:color w:val="auto"/>
              </w:rPr>
            </w:pPr>
            <w:r>
              <w:rPr>
                <w:rFonts w:ascii="Arial" w:cs="Arial" w:eastAsia="Arial" w:hAnsi="Arial"/>
                <w:sz w:val="16"/>
                <w:szCs w:val="16"/>
                <w:color w:val="auto"/>
              </w:rPr>
              <w:t>2,665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ind w:right="81"/>
              <w:spacing w:after="0"/>
              <w:rPr>
                <w:sz w:val="20"/>
                <w:szCs w:val="20"/>
                <w:color w:val="auto"/>
              </w:rPr>
            </w:pPr>
            <w:r>
              <w:rPr>
                <w:rFonts w:ascii="Arial" w:cs="Arial" w:eastAsia="Arial" w:hAnsi="Arial"/>
                <w:sz w:val="16"/>
                <w:szCs w:val="16"/>
                <w:color w:val="auto"/>
              </w:rPr>
              <w:t>5,300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ind w:right="60"/>
              <w:spacing w:after="0"/>
              <w:rPr>
                <w:sz w:val="20"/>
                <w:szCs w:val="20"/>
                <w:color w:val="auto"/>
              </w:rPr>
            </w:pPr>
            <w:r>
              <w:rPr>
                <w:rFonts w:ascii="Arial" w:cs="Arial" w:eastAsia="Arial" w:hAnsi="Arial"/>
                <w:sz w:val="16"/>
                <w:szCs w:val="16"/>
                <w:color w:val="auto"/>
              </w:rPr>
              <w:t>5,559</w:t>
            </w:r>
          </w:p>
        </w:tc>
      </w:tr>
      <w:tr>
        <w:trPr>
          <w:trHeight w:val="33"/>
        </w:trPr>
        <w:tc>
          <w:tcPr>
            <w:tcW w:w="4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49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Bonefish Grill</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2,464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2,467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4,934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4,925</w:t>
            </w:r>
          </w:p>
        </w:tc>
      </w:tr>
      <w:tr>
        <w:trPr>
          <w:trHeight w:val="223"/>
        </w:trPr>
        <w:tc>
          <w:tcPr>
            <w:tcW w:w="4920" w:type="dxa"/>
            <w:vAlign w:val="bottom"/>
          </w:tcPr>
          <w:p>
            <w:pPr>
              <w:ind w:left="220"/>
              <w:spacing w:after="0"/>
              <w:rPr>
                <w:sz w:val="20"/>
                <w:szCs w:val="20"/>
                <w:color w:val="auto"/>
              </w:rPr>
            </w:pPr>
            <w:r>
              <w:rPr>
                <w:rFonts w:ascii="Arial" w:cs="Arial" w:eastAsia="Arial" w:hAnsi="Arial"/>
                <w:sz w:val="16"/>
                <w:szCs w:val="16"/>
                <w:color w:val="auto"/>
              </w:rPr>
              <w:t>Fleming’s Prime Steakhouse &amp; Wine Bar</w:t>
            </w:r>
          </w:p>
        </w:tc>
        <w:tc>
          <w:tcPr>
            <w:tcW w:w="200" w:type="dxa"/>
            <w:vAlign w:val="bottom"/>
          </w:tcPr>
          <w:p>
            <w:pPr>
              <w:spacing w:after="0"/>
              <w:rPr>
                <w:sz w:val="19"/>
                <w:szCs w:val="19"/>
                <w:color w:val="auto"/>
              </w:rPr>
            </w:pPr>
          </w:p>
        </w:tc>
        <w:tc>
          <w:tcPr>
            <w:tcW w:w="1300" w:type="dxa"/>
            <w:vAlign w:val="bottom"/>
          </w:tcPr>
          <w:p>
            <w:pPr>
              <w:jc w:val="right"/>
              <w:ind w:right="61"/>
              <w:spacing w:after="0"/>
              <w:rPr>
                <w:sz w:val="20"/>
                <w:szCs w:val="20"/>
                <w:color w:val="auto"/>
              </w:rPr>
            </w:pPr>
            <w:r>
              <w:rPr>
                <w:rFonts w:ascii="Arial" w:cs="Arial" w:eastAsia="Arial" w:hAnsi="Arial"/>
                <w:sz w:val="16"/>
                <w:szCs w:val="16"/>
                <w:color w:val="auto"/>
              </w:rPr>
              <w:t>850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ind w:right="60"/>
              <w:spacing w:after="0"/>
              <w:rPr>
                <w:sz w:val="20"/>
                <w:szCs w:val="20"/>
                <w:color w:val="auto"/>
              </w:rPr>
            </w:pPr>
            <w:r>
              <w:rPr>
                <w:rFonts w:ascii="Arial" w:cs="Arial" w:eastAsia="Arial" w:hAnsi="Arial"/>
                <w:sz w:val="16"/>
                <w:szCs w:val="16"/>
                <w:color w:val="auto"/>
              </w:rPr>
              <w:t>910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ind w:right="81"/>
              <w:spacing w:after="0"/>
              <w:rPr>
                <w:sz w:val="20"/>
                <w:szCs w:val="20"/>
                <w:color w:val="auto"/>
              </w:rPr>
            </w:pPr>
            <w:r>
              <w:rPr>
                <w:rFonts w:ascii="Arial" w:cs="Arial" w:eastAsia="Arial" w:hAnsi="Arial"/>
                <w:sz w:val="16"/>
                <w:szCs w:val="16"/>
                <w:color w:val="auto"/>
              </w:rPr>
              <w:t>1,730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ind w:right="60"/>
              <w:spacing w:after="0"/>
              <w:rPr>
                <w:sz w:val="20"/>
                <w:szCs w:val="20"/>
                <w:color w:val="auto"/>
              </w:rPr>
            </w:pPr>
            <w:r>
              <w:rPr>
                <w:rFonts w:ascii="Arial" w:cs="Arial" w:eastAsia="Arial" w:hAnsi="Arial"/>
                <w:sz w:val="16"/>
                <w:szCs w:val="16"/>
                <w:color w:val="auto"/>
              </w:rPr>
              <w:t>1,820</w:t>
            </w:r>
          </w:p>
        </w:tc>
      </w:tr>
      <w:tr>
        <w:trPr>
          <w:trHeight w:val="33"/>
        </w:trPr>
        <w:tc>
          <w:tcPr>
            <w:tcW w:w="4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49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International</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23"/>
        </w:trPr>
        <w:tc>
          <w:tcPr>
            <w:tcW w:w="4920" w:type="dxa"/>
            <w:vAlign w:val="bottom"/>
          </w:tcPr>
          <w:p>
            <w:pPr>
              <w:ind w:left="220"/>
              <w:spacing w:after="0"/>
              <w:rPr>
                <w:sz w:val="20"/>
                <w:szCs w:val="20"/>
                <w:color w:val="auto"/>
              </w:rPr>
            </w:pPr>
            <w:r>
              <w:rPr>
                <w:rFonts w:ascii="Arial" w:cs="Arial" w:eastAsia="Arial" w:hAnsi="Arial"/>
                <w:sz w:val="16"/>
                <w:szCs w:val="16"/>
                <w:color w:val="auto"/>
              </w:rPr>
              <w:t>Outback Steakhouse - Brazil</w:t>
            </w:r>
          </w:p>
        </w:tc>
        <w:tc>
          <w:tcPr>
            <w:tcW w:w="200" w:type="dxa"/>
            <w:vAlign w:val="bottom"/>
          </w:tcPr>
          <w:p>
            <w:pPr>
              <w:spacing w:after="0"/>
              <w:rPr>
                <w:sz w:val="19"/>
                <w:szCs w:val="19"/>
                <w:color w:val="auto"/>
              </w:rPr>
            </w:pPr>
          </w:p>
        </w:tc>
        <w:tc>
          <w:tcPr>
            <w:tcW w:w="1300" w:type="dxa"/>
            <w:vAlign w:val="bottom"/>
          </w:tcPr>
          <w:p>
            <w:pPr>
              <w:jc w:val="right"/>
              <w:ind w:right="61"/>
              <w:spacing w:after="0"/>
              <w:rPr>
                <w:sz w:val="20"/>
                <w:szCs w:val="20"/>
                <w:color w:val="auto"/>
              </w:rPr>
            </w:pPr>
            <w:r>
              <w:rPr>
                <w:rFonts w:ascii="Arial" w:cs="Arial" w:eastAsia="Arial" w:hAnsi="Arial"/>
                <w:sz w:val="16"/>
                <w:szCs w:val="16"/>
                <w:color w:val="auto"/>
              </w:rPr>
              <w:t>1,354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ind w:right="60"/>
              <w:spacing w:after="0"/>
              <w:rPr>
                <w:sz w:val="20"/>
                <w:szCs w:val="20"/>
                <w:color w:val="auto"/>
              </w:rPr>
            </w:pPr>
            <w:r>
              <w:rPr>
                <w:rFonts w:ascii="Arial" w:cs="Arial" w:eastAsia="Arial" w:hAnsi="Arial"/>
                <w:sz w:val="16"/>
                <w:szCs w:val="16"/>
                <w:color w:val="auto"/>
              </w:rPr>
              <w:t>1,257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ind w:right="81"/>
              <w:spacing w:after="0"/>
              <w:rPr>
                <w:sz w:val="20"/>
                <w:szCs w:val="20"/>
                <w:color w:val="auto"/>
              </w:rPr>
            </w:pPr>
            <w:r>
              <w:rPr>
                <w:rFonts w:ascii="Arial" w:cs="Arial" w:eastAsia="Arial" w:hAnsi="Arial"/>
                <w:sz w:val="16"/>
                <w:szCs w:val="16"/>
                <w:color w:val="auto"/>
              </w:rPr>
              <w:t>2,657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ind w:right="60"/>
              <w:spacing w:after="0"/>
              <w:rPr>
                <w:sz w:val="20"/>
                <w:szCs w:val="20"/>
                <w:color w:val="auto"/>
              </w:rPr>
            </w:pPr>
            <w:r>
              <w:rPr>
                <w:rFonts w:ascii="Arial" w:cs="Arial" w:eastAsia="Arial" w:hAnsi="Arial"/>
                <w:sz w:val="16"/>
                <w:szCs w:val="16"/>
                <w:color w:val="auto"/>
              </w:rPr>
              <w:t>2,453</w:t>
            </w:r>
          </w:p>
        </w:tc>
      </w:tr>
      <w:tr>
        <w:trPr>
          <w:trHeight w:val="305"/>
        </w:trPr>
        <w:tc>
          <w:tcPr>
            <w:tcW w:w="4920" w:type="dxa"/>
            <w:vAlign w:val="bottom"/>
          </w:tcPr>
          <w:p>
            <w:pPr>
              <w:spacing w:after="0"/>
              <w:rPr>
                <w:sz w:val="20"/>
                <w:szCs w:val="20"/>
                <w:color w:val="auto"/>
              </w:rPr>
            </w:pPr>
            <w:r>
              <w:rPr>
                <w:rFonts w:ascii="Arial" w:cs="Arial" w:eastAsia="Arial" w:hAnsi="Arial"/>
                <w:sz w:val="16"/>
                <w:szCs w:val="16"/>
                <w:color w:val="auto"/>
              </w:rPr>
              <w:t>____________________</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ind w:left="660" w:right="20" w:hanging="652"/>
        <w:spacing w:after="0" w:line="278"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 xml:space="preserve">Translated at average exchange rates of 5.15 and 3.91 for the thirteen weeks ended June 28, 2020 and June 30, 2019, respectively, and 4.39 and 3.85 </w:t>
      </w:r>
      <w:r>
        <w:rPr>
          <w:rFonts w:ascii="Arial" w:cs="Arial" w:eastAsia="Arial" w:hAnsi="Arial"/>
          <w:sz w:val="17"/>
          <w:szCs w:val="17"/>
          <w:color w:val="auto"/>
        </w:rPr>
        <w:t>for the</w:t>
      </w:r>
      <w:r>
        <w:rPr>
          <w:rFonts w:ascii="Arial" w:cs="Arial" w:eastAsia="Arial" w:hAnsi="Arial"/>
          <w:sz w:val="16"/>
          <w:szCs w:val="16"/>
          <w:color w:val="auto"/>
        </w:rPr>
        <w:t xml:space="preserve"> twenty-six weeks ended June 28, 2020 and June 30, 2019, respectively.</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BLOOMIN’ BRANDS, INC.</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34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Comparable Restaurant Sales, Traffic and Average Check Per Person Increases (Decreases)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Following is a summary of comparable restaurant sales, traffic and average check per person increases (decreases), for the periods indicated: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260" w:type="dxa"/>
            <w:vAlign w:val="bottom"/>
          </w:tcPr>
          <w:p>
            <w:pPr>
              <w:spacing w:after="0"/>
              <w:rPr>
                <w:sz w:val="17"/>
                <w:szCs w:val="17"/>
                <w:color w:val="auto"/>
              </w:rPr>
            </w:pPr>
          </w:p>
        </w:tc>
        <w:tc>
          <w:tcPr>
            <w:tcW w:w="2740" w:type="dxa"/>
            <w:vAlign w:val="bottom"/>
            <w:tcBorders>
              <w:bottom w:val="single" w:sz="8" w:color="auto"/>
            </w:tcBorders>
            <w:gridSpan w:val="3"/>
          </w:tcPr>
          <w:p>
            <w:pPr>
              <w:jc w:val="right"/>
              <w:ind w:right="279"/>
              <w:spacing w:after="0"/>
              <w:rPr>
                <w:sz w:val="20"/>
                <w:szCs w:val="20"/>
                <w:color w:val="auto"/>
              </w:rPr>
            </w:pPr>
            <w:r>
              <w:rPr>
                <w:rFonts w:ascii="Arial" w:cs="Arial" w:eastAsia="Arial" w:hAnsi="Arial"/>
                <w:sz w:val="14"/>
                <w:szCs w:val="14"/>
                <w:b w:val="1"/>
                <w:bCs w:val="1"/>
                <w:color w:val="auto"/>
              </w:rPr>
              <w:t>THIRTEEN WEEKS ENDED</w:t>
            </w:r>
          </w:p>
        </w:tc>
        <w:tc>
          <w:tcPr>
            <w:tcW w:w="1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740" w:type="dxa"/>
            <w:vAlign w:val="bottom"/>
            <w:tcBorders>
              <w:bottom w:val="single" w:sz="8" w:color="auto"/>
            </w:tcBorders>
            <w:gridSpan w:val="3"/>
          </w:tcPr>
          <w:p>
            <w:pPr>
              <w:jc w:val="right"/>
              <w:ind w:right="179"/>
              <w:spacing w:after="0"/>
              <w:rPr>
                <w:sz w:val="20"/>
                <w:szCs w:val="20"/>
                <w:color w:val="auto"/>
              </w:rPr>
            </w:pPr>
            <w:r>
              <w:rPr>
                <w:rFonts w:ascii="Arial" w:cs="Arial" w:eastAsia="Arial" w:hAnsi="Arial"/>
                <w:sz w:val="14"/>
                <w:szCs w:val="14"/>
                <w:b w:val="1"/>
                <w:bCs w:val="1"/>
                <w:color w:val="auto"/>
              </w:rPr>
              <w:t>TWENTY-SIX WEEKS ENDED</w:t>
            </w:r>
          </w:p>
        </w:tc>
        <w:tc>
          <w:tcPr>
            <w:tcW w:w="200" w:type="dxa"/>
            <w:vAlign w:val="bottom"/>
            <w:tcBorders>
              <w:bottom w:val="single" w:sz="8" w:color="auto"/>
            </w:tcBorders>
          </w:tcPr>
          <w:p>
            <w:pPr>
              <w:spacing w:after="0"/>
              <w:rPr>
                <w:sz w:val="17"/>
                <w:szCs w:val="17"/>
                <w:color w:val="auto"/>
              </w:rPr>
            </w:pPr>
          </w:p>
        </w:tc>
      </w:tr>
      <w:tr>
        <w:trPr>
          <w:trHeight w:val="210"/>
        </w:trPr>
        <w:tc>
          <w:tcPr>
            <w:tcW w:w="5260" w:type="dxa"/>
            <w:vAlign w:val="bottom"/>
          </w:tcPr>
          <w:p>
            <w:pPr>
              <w:spacing w:after="0"/>
              <w:rPr>
                <w:sz w:val="18"/>
                <w:szCs w:val="18"/>
                <w:color w:val="auto"/>
              </w:rPr>
            </w:pPr>
          </w:p>
        </w:tc>
        <w:tc>
          <w:tcPr>
            <w:tcW w:w="1520" w:type="dxa"/>
            <w:vAlign w:val="bottom"/>
            <w:gridSpan w:val="2"/>
          </w:tcPr>
          <w:p>
            <w:pPr>
              <w:ind w:left="240"/>
              <w:spacing w:after="0"/>
              <w:rPr>
                <w:sz w:val="20"/>
                <w:szCs w:val="20"/>
                <w:color w:val="auto"/>
              </w:rPr>
            </w:pPr>
            <w:r>
              <w:rPr>
                <w:rFonts w:ascii="Arial" w:cs="Arial" w:eastAsia="Arial" w:hAnsi="Arial"/>
                <w:sz w:val="14"/>
                <w:szCs w:val="14"/>
                <w:b w:val="1"/>
                <w:bCs w:val="1"/>
                <w:color w:val="auto"/>
              </w:rPr>
              <w:t>JUNE 28, 2020</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JUNE 30, 2019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ind w:left="260"/>
              <w:spacing w:after="0"/>
              <w:rPr>
                <w:sz w:val="20"/>
                <w:szCs w:val="20"/>
                <w:color w:val="auto"/>
              </w:rPr>
            </w:pPr>
            <w:r>
              <w:rPr>
                <w:rFonts w:ascii="Arial" w:cs="Arial" w:eastAsia="Arial" w:hAnsi="Arial"/>
                <w:sz w:val="14"/>
                <w:szCs w:val="14"/>
                <w:b w:val="1"/>
                <w:bCs w:val="1"/>
                <w:color w:val="auto"/>
              </w:rPr>
              <w:t>JUNE 28, 2020</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JUNE 30, 2019</w:t>
            </w:r>
          </w:p>
        </w:tc>
        <w:tc>
          <w:tcPr>
            <w:tcW w:w="200" w:type="dxa"/>
            <w:vAlign w:val="bottom"/>
          </w:tcPr>
          <w:p>
            <w:pPr>
              <w:spacing w:after="0"/>
              <w:rPr>
                <w:sz w:val="18"/>
                <w:szCs w:val="18"/>
                <w:color w:val="auto"/>
              </w:rPr>
            </w:pPr>
          </w:p>
        </w:tc>
      </w:tr>
      <w:tr>
        <w:trPr>
          <w:trHeight w:val="223"/>
        </w:trPr>
        <w:tc>
          <w:tcPr>
            <w:tcW w:w="5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Year over year percentage change:</w:t>
            </w:r>
          </w:p>
        </w:tc>
        <w:tc>
          <w:tcPr>
            <w:tcW w:w="140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2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CCEEFF"/>
            </w:tcBorders>
            <w:shd w:val="clear" w:color="auto" w:fill="CCEEFF"/>
          </w:tcPr>
          <w:p>
            <w:pPr>
              <w:spacing w:after="0"/>
              <w:rPr>
                <w:sz w:val="19"/>
                <w:szCs w:val="19"/>
                <w:color w:val="auto"/>
              </w:rPr>
            </w:pPr>
          </w:p>
        </w:tc>
      </w:tr>
      <w:tr>
        <w:trPr>
          <w:trHeight w:val="224"/>
        </w:trPr>
        <w:tc>
          <w:tcPr>
            <w:tcW w:w="5260" w:type="dxa"/>
            <w:vAlign w:val="bottom"/>
          </w:tcPr>
          <w:p>
            <w:pPr>
              <w:ind w:left="120"/>
              <w:spacing w:after="0"/>
              <w:rPr>
                <w:sz w:val="20"/>
                <w:szCs w:val="20"/>
                <w:color w:val="auto"/>
              </w:rPr>
            </w:pPr>
            <w:r>
              <w:rPr>
                <w:rFonts w:ascii="Arial" w:cs="Arial" w:eastAsia="Arial" w:hAnsi="Arial"/>
                <w:sz w:val="16"/>
                <w:szCs w:val="16"/>
                <w:color w:val="auto"/>
              </w:rPr>
              <w:t>Comparable restaurant sales (stores open 18 months or more):</w:t>
            </w: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33"/>
        </w:trPr>
        <w:tc>
          <w:tcPr>
            <w:tcW w:w="5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37"/>
        </w:trPr>
        <w:tc>
          <w:tcPr>
            <w:tcW w:w="5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U.S. (1)</w:t>
            </w:r>
          </w:p>
        </w:tc>
        <w:tc>
          <w:tcPr>
            <w:tcW w:w="1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r>
      <w:tr>
        <w:trPr>
          <w:trHeight w:val="223"/>
        </w:trPr>
        <w:tc>
          <w:tcPr>
            <w:tcW w:w="5260" w:type="dxa"/>
            <w:vAlign w:val="bottom"/>
          </w:tcPr>
          <w:p>
            <w:pPr>
              <w:ind w:left="340"/>
              <w:spacing w:after="0"/>
              <w:rPr>
                <w:sz w:val="20"/>
                <w:szCs w:val="20"/>
                <w:color w:val="auto"/>
              </w:rPr>
            </w:pPr>
            <w:r>
              <w:rPr>
                <w:rFonts w:ascii="Arial" w:cs="Arial" w:eastAsia="Arial" w:hAnsi="Arial"/>
                <w:sz w:val="16"/>
                <w:szCs w:val="16"/>
                <w:color w:val="auto"/>
              </w:rPr>
              <w:t>Outback Steakhouse</w:t>
            </w:r>
          </w:p>
        </w:tc>
        <w:tc>
          <w:tcPr>
            <w:tcW w:w="1400" w:type="dxa"/>
            <w:vAlign w:val="bottom"/>
          </w:tcPr>
          <w:p>
            <w:pPr>
              <w:jc w:val="right"/>
              <w:spacing w:after="0"/>
              <w:rPr>
                <w:sz w:val="20"/>
                <w:szCs w:val="20"/>
                <w:color w:val="auto"/>
              </w:rPr>
            </w:pPr>
            <w:r>
              <w:rPr>
                <w:rFonts w:ascii="Arial" w:cs="Arial" w:eastAsia="Arial" w:hAnsi="Arial"/>
                <w:sz w:val="16"/>
                <w:szCs w:val="16"/>
                <w:color w:val="auto"/>
              </w:rPr>
              <w:t>(32.9) %</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(20.6) %</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5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r>
      <w:tr>
        <w:trPr>
          <w:trHeight w:val="236"/>
        </w:trPr>
        <w:tc>
          <w:tcPr>
            <w:tcW w:w="5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Carrabba’s Italian Grill</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(36.7) %</w:t>
            </w:r>
          </w:p>
        </w:tc>
        <w:tc>
          <w:tcPr>
            <w:tcW w:w="1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(1.6) %</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(22.2) %</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(0.6) %</w:t>
            </w:r>
          </w:p>
        </w:tc>
      </w:tr>
      <w:tr>
        <w:trPr>
          <w:trHeight w:val="224"/>
        </w:trPr>
        <w:tc>
          <w:tcPr>
            <w:tcW w:w="5260" w:type="dxa"/>
            <w:vAlign w:val="bottom"/>
          </w:tcPr>
          <w:p>
            <w:pPr>
              <w:ind w:left="340"/>
              <w:spacing w:after="0"/>
              <w:rPr>
                <w:sz w:val="20"/>
                <w:szCs w:val="20"/>
                <w:color w:val="auto"/>
              </w:rPr>
            </w:pPr>
            <w:r>
              <w:rPr>
                <w:rFonts w:ascii="Arial" w:cs="Arial" w:eastAsia="Arial" w:hAnsi="Arial"/>
                <w:sz w:val="16"/>
                <w:szCs w:val="16"/>
                <w:color w:val="auto"/>
              </w:rPr>
              <w:t>Bonefish Grill</w:t>
            </w:r>
          </w:p>
        </w:tc>
        <w:tc>
          <w:tcPr>
            <w:tcW w:w="1400" w:type="dxa"/>
            <w:vAlign w:val="bottom"/>
          </w:tcPr>
          <w:p>
            <w:pPr>
              <w:jc w:val="right"/>
              <w:spacing w:after="0"/>
              <w:rPr>
                <w:sz w:val="20"/>
                <w:szCs w:val="20"/>
                <w:color w:val="auto"/>
              </w:rPr>
            </w:pPr>
            <w:r>
              <w:rPr>
                <w:rFonts w:ascii="Arial" w:cs="Arial" w:eastAsia="Arial" w:hAnsi="Arial"/>
                <w:sz w:val="16"/>
                <w:szCs w:val="16"/>
                <w:color w:val="auto"/>
              </w:rPr>
              <w:t>(56.8) %</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0.1</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(34.7) %</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5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37"/>
        </w:trPr>
        <w:tc>
          <w:tcPr>
            <w:tcW w:w="5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Fleming’s Prime Steakhouse &amp; Wine Bar</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(56.3) %</w:t>
            </w: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(33.6) %</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4"/>
        </w:trPr>
        <w:tc>
          <w:tcPr>
            <w:tcW w:w="5260" w:type="dxa"/>
            <w:vAlign w:val="bottom"/>
          </w:tcPr>
          <w:p>
            <w:pPr>
              <w:ind w:left="340"/>
              <w:spacing w:after="0"/>
              <w:rPr>
                <w:sz w:val="20"/>
                <w:szCs w:val="20"/>
                <w:color w:val="auto"/>
              </w:rPr>
            </w:pPr>
            <w:r>
              <w:rPr>
                <w:rFonts w:ascii="Arial" w:cs="Arial" w:eastAsia="Arial" w:hAnsi="Arial"/>
                <w:sz w:val="16"/>
                <w:szCs w:val="16"/>
                <w:color w:val="auto"/>
              </w:rPr>
              <w:t>Combined U.S.</w:t>
            </w:r>
          </w:p>
        </w:tc>
        <w:tc>
          <w:tcPr>
            <w:tcW w:w="1400" w:type="dxa"/>
            <w:vAlign w:val="bottom"/>
          </w:tcPr>
          <w:p>
            <w:pPr>
              <w:jc w:val="right"/>
              <w:spacing w:after="0"/>
              <w:rPr>
                <w:sz w:val="20"/>
                <w:szCs w:val="20"/>
                <w:color w:val="auto"/>
              </w:rPr>
            </w:pPr>
            <w:r>
              <w:rPr>
                <w:rFonts w:ascii="Arial" w:cs="Arial" w:eastAsia="Arial" w:hAnsi="Arial"/>
                <w:sz w:val="16"/>
                <w:szCs w:val="16"/>
                <w:color w:val="auto"/>
              </w:rPr>
              <w:t>(39.4) %</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0.6</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(24.2) %</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5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36"/>
        </w:trPr>
        <w:tc>
          <w:tcPr>
            <w:tcW w:w="5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International</w:t>
            </w:r>
          </w:p>
        </w:tc>
        <w:tc>
          <w:tcPr>
            <w:tcW w:w="1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r>
      <w:tr>
        <w:trPr>
          <w:trHeight w:val="224"/>
        </w:trPr>
        <w:tc>
          <w:tcPr>
            <w:tcW w:w="5260" w:type="dxa"/>
            <w:vAlign w:val="bottom"/>
          </w:tcPr>
          <w:p>
            <w:pPr>
              <w:ind w:left="340"/>
              <w:spacing w:after="0"/>
              <w:rPr>
                <w:sz w:val="20"/>
                <w:szCs w:val="20"/>
                <w:color w:val="auto"/>
              </w:rPr>
            </w:pPr>
            <w:r>
              <w:rPr>
                <w:rFonts w:ascii="Arial" w:cs="Arial" w:eastAsia="Arial" w:hAnsi="Arial"/>
                <w:sz w:val="16"/>
                <w:szCs w:val="16"/>
                <w:color w:val="auto"/>
              </w:rPr>
              <w:t>Outback Steakhouse - Brazil (2)</w:t>
            </w:r>
          </w:p>
        </w:tc>
        <w:tc>
          <w:tcPr>
            <w:tcW w:w="1400" w:type="dxa"/>
            <w:vAlign w:val="bottom"/>
          </w:tcPr>
          <w:p>
            <w:pPr>
              <w:jc w:val="right"/>
              <w:spacing w:after="0"/>
              <w:rPr>
                <w:sz w:val="20"/>
                <w:szCs w:val="20"/>
                <w:color w:val="auto"/>
              </w:rPr>
            </w:pPr>
            <w:r>
              <w:rPr>
                <w:rFonts w:ascii="Arial" w:cs="Arial" w:eastAsia="Arial" w:hAnsi="Arial"/>
                <w:sz w:val="16"/>
                <w:szCs w:val="16"/>
                <w:color w:val="auto"/>
              </w:rPr>
              <w:t>(63.9) %</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3.5</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(27.4) %</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3.6</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5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7"/>
        </w:trPr>
        <w:tc>
          <w:tcPr>
            <w:tcW w:w="526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r>
      <w:tr>
        <w:trPr>
          <w:trHeight w:val="224"/>
        </w:trPr>
        <w:tc>
          <w:tcPr>
            <w:tcW w:w="5260" w:type="dxa"/>
            <w:vAlign w:val="bottom"/>
          </w:tcPr>
          <w:p>
            <w:pPr>
              <w:ind w:left="120"/>
              <w:spacing w:after="0"/>
              <w:rPr>
                <w:sz w:val="20"/>
                <w:szCs w:val="20"/>
                <w:color w:val="auto"/>
              </w:rPr>
            </w:pPr>
            <w:r>
              <w:rPr>
                <w:rFonts w:ascii="Arial" w:cs="Arial" w:eastAsia="Arial" w:hAnsi="Arial"/>
                <w:sz w:val="16"/>
                <w:szCs w:val="16"/>
                <w:color w:val="auto"/>
              </w:rPr>
              <w:t>Traffic:</w:t>
            </w: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33"/>
        </w:trPr>
        <w:tc>
          <w:tcPr>
            <w:tcW w:w="5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37"/>
        </w:trPr>
        <w:tc>
          <w:tcPr>
            <w:tcW w:w="5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U.S.</w:t>
            </w:r>
          </w:p>
        </w:tc>
        <w:tc>
          <w:tcPr>
            <w:tcW w:w="1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r>
      <w:tr>
        <w:trPr>
          <w:trHeight w:val="223"/>
        </w:trPr>
        <w:tc>
          <w:tcPr>
            <w:tcW w:w="5260" w:type="dxa"/>
            <w:vAlign w:val="bottom"/>
          </w:tcPr>
          <w:p>
            <w:pPr>
              <w:ind w:left="340"/>
              <w:spacing w:after="0"/>
              <w:rPr>
                <w:sz w:val="20"/>
                <w:szCs w:val="20"/>
                <w:color w:val="auto"/>
              </w:rPr>
            </w:pPr>
            <w:r>
              <w:rPr>
                <w:rFonts w:ascii="Arial" w:cs="Arial" w:eastAsia="Arial" w:hAnsi="Arial"/>
                <w:sz w:val="16"/>
                <w:szCs w:val="16"/>
                <w:color w:val="auto"/>
              </w:rPr>
              <w:t>Outback Steakhouse</w:t>
            </w:r>
          </w:p>
        </w:tc>
        <w:tc>
          <w:tcPr>
            <w:tcW w:w="1400" w:type="dxa"/>
            <w:vAlign w:val="bottom"/>
          </w:tcPr>
          <w:p>
            <w:pPr>
              <w:jc w:val="right"/>
              <w:spacing w:after="0"/>
              <w:rPr>
                <w:sz w:val="20"/>
                <w:szCs w:val="20"/>
                <w:color w:val="auto"/>
              </w:rPr>
            </w:pPr>
            <w:r>
              <w:rPr>
                <w:rFonts w:ascii="Arial" w:cs="Arial" w:eastAsia="Arial" w:hAnsi="Arial"/>
                <w:sz w:val="16"/>
                <w:szCs w:val="16"/>
                <w:color w:val="auto"/>
              </w:rPr>
              <w:t>(31.0) %</w:t>
            </w:r>
          </w:p>
        </w:tc>
        <w:tc>
          <w:tcPr>
            <w:tcW w:w="12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(1.6) %</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(20.2) %</w:t>
            </w:r>
          </w:p>
        </w:tc>
        <w:tc>
          <w:tcPr>
            <w:tcW w:w="10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(1.0) %</w:t>
            </w:r>
          </w:p>
        </w:tc>
      </w:tr>
      <w:tr>
        <w:trPr>
          <w:trHeight w:val="33"/>
        </w:trPr>
        <w:tc>
          <w:tcPr>
            <w:tcW w:w="5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r>
      <w:tr>
        <w:trPr>
          <w:trHeight w:val="237"/>
        </w:trPr>
        <w:tc>
          <w:tcPr>
            <w:tcW w:w="5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Carrabba’s Italian Grill</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(28.1) %</w:t>
            </w:r>
          </w:p>
        </w:tc>
        <w:tc>
          <w:tcPr>
            <w:tcW w:w="1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 %</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(1.4) %</w:t>
            </w:r>
          </w:p>
        </w:tc>
      </w:tr>
      <w:tr>
        <w:trPr>
          <w:trHeight w:val="223"/>
        </w:trPr>
        <w:tc>
          <w:tcPr>
            <w:tcW w:w="5260" w:type="dxa"/>
            <w:vAlign w:val="bottom"/>
          </w:tcPr>
          <w:p>
            <w:pPr>
              <w:ind w:left="340"/>
              <w:spacing w:after="0"/>
              <w:rPr>
                <w:sz w:val="20"/>
                <w:szCs w:val="20"/>
                <w:color w:val="auto"/>
              </w:rPr>
            </w:pPr>
            <w:r>
              <w:rPr>
                <w:rFonts w:ascii="Arial" w:cs="Arial" w:eastAsia="Arial" w:hAnsi="Arial"/>
                <w:sz w:val="16"/>
                <w:szCs w:val="16"/>
                <w:color w:val="auto"/>
              </w:rPr>
              <w:t>Bonefish Grill (3)</w:t>
            </w:r>
          </w:p>
        </w:tc>
        <w:tc>
          <w:tcPr>
            <w:tcW w:w="1400" w:type="dxa"/>
            <w:vAlign w:val="bottom"/>
          </w:tcPr>
          <w:p>
            <w:pPr>
              <w:jc w:val="right"/>
              <w:spacing w:after="0"/>
              <w:rPr>
                <w:sz w:val="20"/>
                <w:szCs w:val="20"/>
                <w:color w:val="auto"/>
              </w:rPr>
            </w:pPr>
            <w:r>
              <w:rPr>
                <w:rFonts w:ascii="Arial" w:cs="Arial" w:eastAsia="Arial" w:hAnsi="Arial"/>
                <w:sz w:val="16"/>
                <w:szCs w:val="16"/>
                <w:color w:val="auto"/>
              </w:rPr>
              <w:t>(29.8) %</w:t>
            </w:r>
          </w:p>
        </w:tc>
        <w:tc>
          <w:tcPr>
            <w:tcW w:w="12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(1.5) %</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(20.6) %</w:t>
            </w:r>
          </w:p>
        </w:tc>
        <w:tc>
          <w:tcPr>
            <w:tcW w:w="10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(1.7) %</w:t>
            </w:r>
          </w:p>
        </w:tc>
      </w:tr>
      <w:tr>
        <w:trPr>
          <w:trHeight w:val="33"/>
        </w:trPr>
        <w:tc>
          <w:tcPr>
            <w:tcW w:w="5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36"/>
        </w:trPr>
        <w:tc>
          <w:tcPr>
            <w:tcW w:w="5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Fleming’s Prime Steakhouse &amp; Wine Bar</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(43.5) %</w:t>
            </w: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(28.0) %</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4"/>
        </w:trPr>
        <w:tc>
          <w:tcPr>
            <w:tcW w:w="5260" w:type="dxa"/>
            <w:vAlign w:val="bottom"/>
          </w:tcPr>
          <w:p>
            <w:pPr>
              <w:ind w:left="340"/>
              <w:spacing w:after="0"/>
              <w:rPr>
                <w:sz w:val="20"/>
                <w:szCs w:val="20"/>
                <w:color w:val="auto"/>
              </w:rPr>
            </w:pPr>
            <w:r>
              <w:rPr>
                <w:rFonts w:ascii="Arial" w:cs="Arial" w:eastAsia="Arial" w:hAnsi="Arial"/>
                <w:sz w:val="16"/>
                <w:szCs w:val="16"/>
                <w:color w:val="auto"/>
              </w:rPr>
              <w:t>Combined U.S. (3)</w:t>
            </w:r>
          </w:p>
        </w:tc>
        <w:tc>
          <w:tcPr>
            <w:tcW w:w="1400" w:type="dxa"/>
            <w:vAlign w:val="bottom"/>
          </w:tcPr>
          <w:p>
            <w:pPr>
              <w:jc w:val="right"/>
              <w:spacing w:after="0"/>
              <w:rPr>
                <w:sz w:val="20"/>
                <w:szCs w:val="20"/>
                <w:color w:val="auto"/>
              </w:rPr>
            </w:pPr>
            <w:r>
              <w:rPr>
                <w:rFonts w:ascii="Arial" w:cs="Arial" w:eastAsia="Arial" w:hAnsi="Arial"/>
                <w:sz w:val="16"/>
                <w:szCs w:val="16"/>
                <w:color w:val="auto"/>
              </w:rPr>
              <w:t>(30.6) %</w:t>
            </w:r>
          </w:p>
        </w:tc>
        <w:tc>
          <w:tcPr>
            <w:tcW w:w="12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(1.4) %</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(19.8) %</w:t>
            </w:r>
          </w:p>
        </w:tc>
        <w:tc>
          <w:tcPr>
            <w:tcW w:w="10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(1.2) %</w:t>
            </w:r>
          </w:p>
        </w:tc>
      </w:tr>
      <w:tr>
        <w:trPr>
          <w:trHeight w:val="33"/>
        </w:trPr>
        <w:tc>
          <w:tcPr>
            <w:tcW w:w="5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36"/>
        </w:trPr>
        <w:tc>
          <w:tcPr>
            <w:tcW w:w="5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International</w:t>
            </w:r>
          </w:p>
        </w:tc>
        <w:tc>
          <w:tcPr>
            <w:tcW w:w="1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r>
      <w:tr>
        <w:trPr>
          <w:trHeight w:val="224"/>
        </w:trPr>
        <w:tc>
          <w:tcPr>
            <w:tcW w:w="5260" w:type="dxa"/>
            <w:vAlign w:val="bottom"/>
          </w:tcPr>
          <w:p>
            <w:pPr>
              <w:ind w:left="340"/>
              <w:spacing w:after="0"/>
              <w:rPr>
                <w:sz w:val="20"/>
                <w:szCs w:val="20"/>
                <w:color w:val="auto"/>
              </w:rPr>
            </w:pPr>
            <w:r>
              <w:rPr>
                <w:rFonts w:ascii="Arial" w:cs="Arial" w:eastAsia="Arial" w:hAnsi="Arial"/>
                <w:sz w:val="16"/>
                <w:szCs w:val="16"/>
                <w:color w:val="auto"/>
              </w:rPr>
              <w:t>Outback Steakhouse - Brazil</w:t>
            </w:r>
          </w:p>
        </w:tc>
        <w:tc>
          <w:tcPr>
            <w:tcW w:w="1400" w:type="dxa"/>
            <w:vAlign w:val="bottom"/>
          </w:tcPr>
          <w:p>
            <w:pPr>
              <w:jc w:val="right"/>
              <w:spacing w:after="0"/>
              <w:rPr>
                <w:sz w:val="20"/>
                <w:szCs w:val="20"/>
                <w:color w:val="auto"/>
              </w:rPr>
            </w:pPr>
            <w:r>
              <w:rPr>
                <w:rFonts w:ascii="Arial" w:cs="Arial" w:eastAsia="Arial" w:hAnsi="Arial"/>
                <w:sz w:val="16"/>
                <w:szCs w:val="16"/>
                <w:color w:val="auto"/>
              </w:rPr>
              <w:t>(48.5) %</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(19.0) %</w:t>
            </w:r>
          </w:p>
        </w:tc>
        <w:tc>
          <w:tcPr>
            <w:tcW w:w="10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(0.7) %</w:t>
            </w:r>
          </w:p>
        </w:tc>
      </w:tr>
      <w:tr>
        <w:trPr>
          <w:trHeight w:val="33"/>
        </w:trPr>
        <w:tc>
          <w:tcPr>
            <w:tcW w:w="5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7"/>
        </w:trPr>
        <w:tc>
          <w:tcPr>
            <w:tcW w:w="526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r>
      <w:tr>
        <w:trPr>
          <w:trHeight w:val="223"/>
        </w:trPr>
        <w:tc>
          <w:tcPr>
            <w:tcW w:w="5260" w:type="dxa"/>
            <w:vAlign w:val="bottom"/>
          </w:tcPr>
          <w:p>
            <w:pPr>
              <w:ind w:left="120"/>
              <w:spacing w:after="0"/>
              <w:rPr>
                <w:sz w:val="20"/>
                <w:szCs w:val="20"/>
                <w:color w:val="auto"/>
              </w:rPr>
            </w:pPr>
            <w:r>
              <w:rPr>
                <w:rFonts w:ascii="Arial" w:cs="Arial" w:eastAsia="Arial" w:hAnsi="Arial"/>
                <w:sz w:val="16"/>
                <w:szCs w:val="16"/>
                <w:color w:val="auto"/>
              </w:rPr>
              <w:t>Average check per person (4):</w:t>
            </w: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33"/>
        </w:trPr>
        <w:tc>
          <w:tcPr>
            <w:tcW w:w="5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37"/>
        </w:trPr>
        <w:tc>
          <w:tcPr>
            <w:tcW w:w="5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U.S.</w:t>
            </w:r>
          </w:p>
        </w:tc>
        <w:tc>
          <w:tcPr>
            <w:tcW w:w="1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r>
      <w:tr>
        <w:trPr>
          <w:trHeight w:val="223"/>
        </w:trPr>
        <w:tc>
          <w:tcPr>
            <w:tcW w:w="5260" w:type="dxa"/>
            <w:vAlign w:val="bottom"/>
          </w:tcPr>
          <w:p>
            <w:pPr>
              <w:ind w:left="340"/>
              <w:spacing w:after="0"/>
              <w:rPr>
                <w:sz w:val="20"/>
                <w:szCs w:val="20"/>
                <w:color w:val="auto"/>
              </w:rPr>
            </w:pPr>
            <w:r>
              <w:rPr>
                <w:rFonts w:ascii="Arial" w:cs="Arial" w:eastAsia="Arial" w:hAnsi="Arial"/>
                <w:sz w:val="16"/>
                <w:szCs w:val="16"/>
                <w:color w:val="auto"/>
              </w:rPr>
              <w:t>Outback Steakhouse</w:t>
            </w:r>
          </w:p>
        </w:tc>
        <w:tc>
          <w:tcPr>
            <w:tcW w:w="1400" w:type="dxa"/>
            <w:vAlign w:val="bottom"/>
          </w:tcPr>
          <w:p>
            <w:pPr>
              <w:jc w:val="right"/>
              <w:spacing w:after="0"/>
              <w:rPr>
                <w:sz w:val="20"/>
                <w:szCs w:val="20"/>
                <w:color w:val="auto"/>
              </w:rPr>
            </w:pPr>
            <w:r>
              <w:rPr>
                <w:rFonts w:ascii="Arial" w:cs="Arial" w:eastAsia="Arial" w:hAnsi="Arial"/>
                <w:sz w:val="16"/>
                <w:szCs w:val="16"/>
                <w:color w:val="auto"/>
              </w:rPr>
              <w:t>(1.9) %</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2.9</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(0.4) %</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5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37"/>
        </w:trPr>
        <w:tc>
          <w:tcPr>
            <w:tcW w:w="5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Carrabba’s Italian Grill</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 %</w:t>
            </w:r>
          </w:p>
        </w:tc>
        <w:tc>
          <w:tcPr>
            <w:tcW w:w="1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(0.2) %</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 %</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5260" w:type="dxa"/>
            <w:vAlign w:val="bottom"/>
          </w:tcPr>
          <w:p>
            <w:pPr>
              <w:ind w:left="340"/>
              <w:spacing w:after="0"/>
              <w:rPr>
                <w:sz w:val="20"/>
                <w:szCs w:val="20"/>
                <w:color w:val="auto"/>
              </w:rPr>
            </w:pPr>
            <w:r>
              <w:rPr>
                <w:rFonts w:ascii="Arial" w:cs="Arial" w:eastAsia="Arial" w:hAnsi="Arial"/>
                <w:sz w:val="16"/>
                <w:szCs w:val="16"/>
                <w:color w:val="auto"/>
              </w:rPr>
              <w:t>Bonefish Grill</w:t>
            </w:r>
          </w:p>
        </w:tc>
        <w:tc>
          <w:tcPr>
            <w:tcW w:w="1400" w:type="dxa"/>
            <w:vAlign w:val="bottom"/>
          </w:tcPr>
          <w:p>
            <w:pPr>
              <w:jc w:val="right"/>
              <w:spacing w:after="0"/>
              <w:rPr>
                <w:sz w:val="20"/>
                <w:szCs w:val="20"/>
                <w:color w:val="auto"/>
              </w:rPr>
            </w:pPr>
            <w:r>
              <w:rPr>
                <w:rFonts w:ascii="Arial" w:cs="Arial" w:eastAsia="Arial" w:hAnsi="Arial"/>
                <w:sz w:val="16"/>
                <w:szCs w:val="16"/>
                <w:color w:val="auto"/>
              </w:rPr>
              <w:t>(27.0) %</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(14.1) %</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5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37"/>
        </w:trPr>
        <w:tc>
          <w:tcPr>
            <w:tcW w:w="5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Fleming’s Prime Steakhouse &amp; Wine Bar</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 %</w:t>
            </w:r>
          </w:p>
        </w:tc>
        <w:tc>
          <w:tcPr>
            <w:tcW w:w="1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(2.0) %</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 %</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5260" w:type="dxa"/>
            <w:vAlign w:val="bottom"/>
          </w:tcPr>
          <w:p>
            <w:pPr>
              <w:ind w:left="340"/>
              <w:spacing w:after="0"/>
              <w:rPr>
                <w:sz w:val="20"/>
                <w:szCs w:val="20"/>
                <w:color w:val="auto"/>
              </w:rPr>
            </w:pPr>
            <w:r>
              <w:rPr>
                <w:rFonts w:ascii="Arial" w:cs="Arial" w:eastAsia="Arial" w:hAnsi="Arial"/>
                <w:sz w:val="16"/>
                <w:szCs w:val="16"/>
                <w:color w:val="auto"/>
              </w:rPr>
              <w:t>Combined U.S.</w:t>
            </w:r>
          </w:p>
        </w:tc>
        <w:tc>
          <w:tcPr>
            <w:tcW w:w="1400" w:type="dxa"/>
            <w:vAlign w:val="bottom"/>
          </w:tcPr>
          <w:p>
            <w:pPr>
              <w:jc w:val="right"/>
              <w:spacing w:after="0"/>
              <w:rPr>
                <w:sz w:val="20"/>
                <w:szCs w:val="20"/>
                <w:color w:val="auto"/>
              </w:rPr>
            </w:pPr>
            <w:r>
              <w:rPr>
                <w:rFonts w:ascii="Arial" w:cs="Arial" w:eastAsia="Arial" w:hAnsi="Arial"/>
                <w:sz w:val="16"/>
                <w:szCs w:val="16"/>
                <w:color w:val="auto"/>
              </w:rPr>
              <w:t>(8.8) %</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(4.4) %</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5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37"/>
        </w:trPr>
        <w:tc>
          <w:tcPr>
            <w:tcW w:w="5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International</w:t>
            </w:r>
          </w:p>
        </w:tc>
        <w:tc>
          <w:tcPr>
            <w:tcW w:w="1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r>
      <w:tr>
        <w:trPr>
          <w:trHeight w:val="223"/>
        </w:trPr>
        <w:tc>
          <w:tcPr>
            <w:tcW w:w="5260" w:type="dxa"/>
            <w:vAlign w:val="bottom"/>
          </w:tcPr>
          <w:p>
            <w:pPr>
              <w:ind w:left="340"/>
              <w:spacing w:after="0"/>
              <w:rPr>
                <w:sz w:val="20"/>
                <w:szCs w:val="20"/>
                <w:color w:val="auto"/>
              </w:rPr>
            </w:pPr>
            <w:r>
              <w:rPr>
                <w:rFonts w:ascii="Arial" w:cs="Arial" w:eastAsia="Arial" w:hAnsi="Arial"/>
                <w:sz w:val="16"/>
                <w:szCs w:val="16"/>
                <w:color w:val="auto"/>
              </w:rPr>
              <w:t>Outback Steakhouse - Brazil</w:t>
            </w:r>
          </w:p>
        </w:tc>
        <w:tc>
          <w:tcPr>
            <w:tcW w:w="1400" w:type="dxa"/>
            <w:vAlign w:val="bottom"/>
          </w:tcPr>
          <w:p>
            <w:pPr>
              <w:jc w:val="right"/>
              <w:spacing w:after="0"/>
              <w:rPr>
                <w:sz w:val="20"/>
                <w:szCs w:val="20"/>
                <w:color w:val="auto"/>
              </w:rPr>
            </w:pPr>
            <w:r>
              <w:rPr>
                <w:rFonts w:ascii="Arial" w:cs="Arial" w:eastAsia="Arial" w:hAnsi="Arial"/>
                <w:sz w:val="16"/>
                <w:szCs w:val="16"/>
                <w:color w:val="auto"/>
              </w:rPr>
              <w:t>(15.2) %</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(8.4) %</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19" w:lineRule="exact"/>
        <w:rPr>
          <w:sz w:val="20"/>
          <w:szCs w:val="20"/>
          <w:color w:val="auto"/>
        </w:rPr>
      </w:pPr>
    </w:p>
    <w:p>
      <w:pPr>
        <w:ind w:left="660" w:hanging="652"/>
        <w:spacing w:after="0"/>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Relocated restaurants closed more than 60 days are excluded from comparable restaurant sales until at least 18 months after reopening.</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Excludes the effect of fluctuations in foreign currency rates. Includes trading day impact from calendar period reporting.</w:t>
      </w:r>
    </w:p>
    <w:p>
      <w:pPr>
        <w:spacing w:after="0" w:line="5" w:lineRule="exact"/>
        <w:rPr>
          <w:rFonts w:ascii="Arial" w:cs="Arial" w:eastAsia="Arial" w:hAnsi="Arial"/>
          <w:sz w:val="16"/>
          <w:szCs w:val="16"/>
          <w:color w:val="auto"/>
        </w:rPr>
      </w:pPr>
    </w:p>
    <w:p>
      <w:pPr>
        <w:jc w:val="both"/>
        <w:ind w:left="660" w:hanging="652"/>
        <w:spacing w:after="0" w:line="281" w:lineRule="auto"/>
        <w:tabs>
          <w:tab w:leader="none" w:pos="6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 Q2 2020, Bonefish Grill replaced guest count with entrée count to measure restaurant traffic. Bonefish Grill and Combined U.S. traffic for the twenty-six weeks ended June 28, 2020 were calculated using the entrée count methodology for Bonefish Grill as if the new methodology was in effect at the start of the fiscal year, which would have increased traffic for Bonefish Grill and Combined U.S. for the thirteen weekend ended March 29, 2020 by 3.1% and 0.5%, respectively.</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Average check per person includes the impact of menu pricing changes, product mix and discounts.</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34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Franchise and other revenues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9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4"/>
          </w:tcPr>
          <w:p>
            <w:pPr>
              <w:jc w:val="right"/>
              <w:ind w:right="521"/>
              <w:spacing w:after="0"/>
              <w:rPr>
                <w:sz w:val="20"/>
                <w:szCs w:val="20"/>
                <w:color w:val="auto"/>
              </w:rPr>
            </w:pPr>
            <w:r>
              <w:rPr>
                <w:rFonts w:ascii="Arial" w:cs="Arial" w:eastAsia="Arial" w:hAnsi="Arial"/>
                <w:sz w:val="14"/>
                <w:szCs w:val="14"/>
                <w:b w:val="1"/>
                <w:bCs w:val="1"/>
                <w:color w:val="auto"/>
              </w:rPr>
              <w:t>THIRTEEN WEEKS ENDED</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4"/>
          </w:tcPr>
          <w:p>
            <w:pPr>
              <w:jc w:val="right"/>
              <w:ind w:right="461"/>
              <w:spacing w:after="0"/>
              <w:rPr>
                <w:sz w:val="20"/>
                <w:szCs w:val="20"/>
                <w:color w:val="auto"/>
              </w:rPr>
            </w:pPr>
            <w:r>
              <w:rPr>
                <w:rFonts w:ascii="Arial" w:cs="Arial" w:eastAsia="Arial" w:hAnsi="Arial"/>
                <w:sz w:val="14"/>
                <w:szCs w:val="14"/>
                <w:b w:val="1"/>
                <w:bCs w:val="1"/>
                <w:color w:val="auto"/>
              </w:rPr>
              <w:t>TWENTY-SIX WEEKS ENDED</w:t>
            </w:r>
          </w:p>
        </w:tc>
        <w:tc>
          <w:tcPr>
            <w:tcW w:w="0" w:type="dxa"/>
            <w:vAlign w:val="bottom"/>
          </w:tcPr>
          <w:p>
            <w:pPr>
              <w:spacing w:after="0"/>
              <w:rPr>
                <w:sz w:val="1"/>
                <w:szCs w:val="1"/>
                <w:color w:val="auto"/>
              </w:rPr>
            </w:pPr>
          </w:p>
        </w:tc>
      </w:tr>
      <w:tr>
        <w:trPr>
          <w:trHeight w:val="209"/>
        </w:trPr>
        <w:tc>
          <w:tcPr>
            <w:tcW w:w="4940" w:type="dxa"/>
            <w:vAlign w:val="bottom"/>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80" w:type="dxa"/>
            <w:vAlign w:val="bottom"/>
          </w:tcPr>
          <w:p>
            <w:pPr>
              <w:spacing w:after="0"/>
              <w:rPr>
                <w:sz w:val="18"/>
                <w:szCs w:val="18"/>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28, 2020</w:t>
            </w:r>
          </w:p>
        </w:tc>
        <w:tc>
          <w:tcPr>
            <w:tcW w:w="200" w:type="dxa"/>
            <w:vAlign w:val="bottom"/>
          </w:tcPr>
          <w:p>
            <w:pPr>
              <w:spacing w:after="0"/>
              <w:rPr>
                <w:sz w:val="18"/>
                <w:szCs w:val="18"/>
                <w:color w:val="auto"/>
              </w:rPr>
            </w:pPr>
          </w:p>
        </w:tc>
        <w:tc>
          <w:tcPr>
            <w:tcW w:w="142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2019</w:t>
            </w:r>
          </w:p>
        </w:tc>
        <w:tc>
          <w:tcPr>
            <w:tcW w:w="200" w:type="dxa"/>
            <w:vAlign w:val="bottom"/>
          </w:tcPr>
          <w:p>
            <w:pPr>
              <w:spacing w:after="0"/>
              <w:rPr>
                <w:sz w:val="18"/>
                <w:szCs w:val="18"/>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28, 2020</w:t>
            </w:r>
          </w:p>
        </w:tc>
        <w:tc>
          <w:tcPr>
            <w:tcW w:w="200" w:type="dxa"/>
            <w:vAlign w:val="bottom"/>
          </w:tcPr>
          <w:p>
            <w:pPr>
              <w:spacing w:after="0"/>
              <w:rPr>
                <w:sz w:val="18"/>
                <w:szCs w:val="18"/>
                <w:color w:val="auto"/>
              </w:rPr>
            </w:pPr>
          </w:p>
        </w:tc>
        <w:tc>
          <w:tcPr>
            <w:tcW w:w="1300" w:type="dxa"/>
            <w:vAlign w:val="bottom"/>
          </w:tcPr>
          <w:p>
            <w:pPr>
              <w:jc w:val="right"/>
              <w:ind w:right="221"/>
              <w:spacing w:after="0"/>
              <w:rPr>
                <w:sz w:val="20"/>
                <w:szCs w:val="20"/>
                <w:color w:val="auto"/>
              </w:rPr>
            </w:pPr>
            <w:r>
              <w:rPr>
                <w:rFonts w:ascii="Arial" w:cs="Arial" w:eastAsia="Arial" w:hAnsi="Arial"/>
                <w:sz w:val="14"/>
                <w:szCs w:val="14"/>
                <w:b w:val="1"/>
                <w:bCs w:val="1"/>
                <w:color w:val="auto"/>
              </w:rPr>
              <w:t>JUNE 30, 2019</w:t>
            </w:r>
          </w:p>
        </w:tc>
        <w:tc>
          <w:tcPr>
            <w:tcW w:w="0" w:type="dxa"/>
            <w:vAlign w:val="bottom"/>
          </w:tcPr>
          <w:p>
            <w:pPr>
              <w:spacing w:after="0"/>
              <w:rPr>
                <w:sz w:val="1"/>
                <w:szCs w:val="1"/>
                <w:color w:val="auto"/>
              </w:rPr>
            </w:pPr>
          </w:p>
        </w:tc>
      </w:tr>
      <w:tr>
        <w:trPr>
          <w:trHeight w:val="237"/>
        </w:trPr>
        <w:tc>
          <w:tcPr>
            <w:tcW w:w="4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Franchise revenues (1)</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2.0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12.8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11.5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26.6</w:t>
            </w:r>
          </w:p>
        </w:tc>
        <w:tc>
          <w:tcPr>
            <w:tcW w:w="0" w:type="dxa"/>
            <w:vAlign w:val="bottom"/>
          </w:tcPr>
          <w:p>
            <w:pPr>
              <w:spacing w:after="0"/>
              <w:rPr>
                <w:sz w:val="1"/>
                <w:szCs w:val="1"/>
                <w:color w:val="auto"/>
              </w:rPr>
            </w:pPr>
          </w:p>
        </w:tc>
      </w:tr>
      <w:tr>
        <w:trPr>
          <w:trHeight w:val="270"/>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revenues</w:t>
            </w:r>
          </w:p>
        </w:tc>
        <w:tc>
          <w:tcPr>
            <w:tcW w:w="1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72"/>
        </w:trPr>
        <w:tc>
          <w:tcPr>
            <w:tcW w:w="49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Franchise and other revenues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16.2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6"/>
                <w:szCs w:val="16"/>
                <w:color w:val="auto"/>
              </w:rPr>
              <w:t>14.3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32.7</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____________________</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4940" w:type="dxa"/>
            <w:vAlign w:val="bottom"/>
            <w:vMerge w:val="continue"/>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Represents franchise royalties, advertising fees and initial franchise fees.</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COSTS AND EXPENSES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Cost of sales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8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THIRTEEN WEEKS ENDED</w:t>
            </w:r>
          </w:p>
        </w:tc>
        <w:tc>
          <w:tcPr>
            <w:tcW w:w="4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5"/>
          </w:tcPr>
          <w:p>
            <w:pPr>
              <w:jc w:val="right"/>
              <w:ind w:right="282"/>
              <w:spacing w:after="0"/>
              <w:rPr>
                <w:sz w:val="20"/>
                <w:szCs w:val="20"/>
                <w:color w:val="auto"/>
              </w:rPr>
            </w:pPr>
            <w:r>
              <w:rPr>
                <w:rFonts w:ascii="Arial" w:cs="Arial" w:eastAsia="Arial" w:hAnsi="Arial"/>
                <w:sz w:val="14"/>
                <w:szCs w:val="14"/>
                <w:b w:val="1"/>
                <w:bCs w:val="1"/>
                <w:color w:val="auto"/>
              </w:rPr>
              <w:t>TWENTY-SIX WEEKS ENDED</w:t>
            </w:r>
          </w:p>
        </w:tc>
        <w:tc>
          <w:tcPr>
            <w:tcW w:w="1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9"/>
        </w:trPr>
        <w:tc>
          <w:tcPr>
            <w:tcW w:w="28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b w:val="1"/>
                <w:bCs w:val="1"/>
                <w:color w:val="auto"/>
              </w:rPr>
              <w:t>JUNE 28, 2020</w:t>
            </w: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w:t>
            </w:r>
          </w:p>
        </w:tc>
        <w:tc>
          <w:tcPr>
            <w:tcW w:w="42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w w:val="89"/>
              </w:rPr>
              <w:t>2019</w:t>
            </w: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ind w:right="124"/>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b w:val="1"/>
                <w:bCs w:val="1"/>
                <w:color w:val="auto"/>
              </w:rPr>
              <w:t>JUNE 28, 2020</w:t>
            </w: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JUNE 30, 2019</w:t>
            </w: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ind w:right="144"/>
              <w:spacing w:after="0"/>
              <w:rPr>
                <w:sz w:val="20"/>
                <w:szCs w:val="20"/>
                <w:color w:val="auto"/>
              </w:rPr>
            </w:pPr>
            <w:r>
              <w:rPr>
                <w:rFonts w:ascii="Arial" w:cs="Arial" w:eastAsia="Arial" w:hAnsi="Arial"/>
                <w:sz w:val="14"/>
                <w:szCs w:val="14"/>
                <w:b w:val="1"/>
                <w:bCs w:val="1"/>
                <w:color w:val="auto"/>
              </w:rPr>
              <w:t>Change</w:t>
            </w:r>
          </w:p>
        </w:tc>
      </w:tr>
      <w:tr>
        <w:trPr>
          <w:trHeight w:val="237"/>
        </w:trPr>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 of sales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180.8</w:t>
            </w:r>
          </w:p>
        </w:tc>
        <w:tc>
          <w:tcPr>
            <w:tcW w:w="5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312.7</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500.5</w:t>
            </w:r>
          </w:p>
        </w:tc>
        <w:tc>
          <w:tcPr>
            <w:tcW w:w="5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664.8</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r>
      <w:tr>
        <w:trPr>
          <w:trHeight w:val="223"/>
        </w:trPr>
        <w:tc>
          <w:tcPr>
            <w:tcW w:w="2880" w:type="dxa"/>
            <w:vAlign w:val="bottom"/>
          </w:tcPr>
          <w:p>
            <w:pPr>
              <w:ind w:left="120"/>
              <w:spacing w:after="0"/>
              <w:rPr>
                <w:sz w:val="20"/>
                <w:szCs w:val="20"/>
                <w:color w:val="auto"/>
              </w:rPr>
            </w:pPr>
            <w:r>
              <w:rPr>
                <w:rFonts w:ascii="Arial" w:cs="Arial" w:eastAsia="Arial" w:hAnsi="Arial"/>
                <w:sz w:val="16"/>
                <w:szCs w:val="16"/>
                <w:color w:val="auto"/>
              </w:rPr>
              <w:t>% of Restaurant sales</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31.4</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31.1</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0.3 %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31.8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31.4</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0.4 %</w:t>
            </w:r>
          </w:p>
        </w:tc>
      </w:tr>
    </w:tbl>
    <w:p>
      <w:pPr>
        <w:spacing w:after="0" w:line="34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Cost of sales increased as a percentage of Restaurant sales during the thirteen weeks ended June 28, 2020 as compared to the thirteen weeks ended June 30, 2019 primarily due to 0.7% from commodity cost inflation and 0.5% related to a reduction in rebates from our vendors, partially offset by a decrease as a percentage of Restaurant sales of 0.7% from cost savings attributable to waste reduction initiatives and 0.2% from increases in average check per person.</w:t>
      </w:r>
    </w:p>
    <w:p>
      <w:pPr>
        <w:spacing w:after="0" w:line="218"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Cost of sales increased as a percentage of Restaurant sales during the twenty-six weeks ended June 28, 2020 as compared to the twenty-six weeks ended June 30, 2019 primarily due to 0.4% from commodity cost inflation and 0.2% related to a reduction in rebates from our vendors, partially offset by a decrease as a percentage of Restaurant sales of 0.4% from increases in average check per person.</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Labor and other related expenses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8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THIRTEEN WEEKS ENDED</w:t>
            </w:r>
          </w:p>
        </w:tc>
        <w:tc>
          <w:tcPr>
            <w:tcW w:w="4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5"/>
          </w:tcPr>
          <w:p>
            <w:pPr>
              <w:jc w:val="right"/>
              <w:ind w:right="282"/>
              <w:spacing w:after="0"/>
              <w:rPr>
                <w:sz w:val="20"/>
                <w:szCs w:val="20"/>
                <w:color w:val="auto"/>
              </w:rPr>
            </w:pPr>
            <w:r>
              <w:rPr>
                <w:rFonts w:ascii="Arial" w:cs="Arial" w:eastAsia="Arial" w:hAnsi="Arial"/>
                <w:sz w:val="14"/>
                <w:szCs w:val="14"/>
                <w:b w:val="1"/>
                <w:bCs w:val="1"/>
                <w:color w:val="auto"/>
              </w:rPr>
              <w:t>TWENTY-SIX WEEKS ENDED</w:t>
            </w:r>
          </w:p>
        </w:tc>
        <w:tc>
          <w:tcPr>
            <w:tcW w:w="1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0"/>
        </w:trPr>
        <w:tc>
          <w:tcPr>
            <w:tcW w:w="28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b w:val="1"/>
                <w:bCs w:val="1"/>
                <w:color w:val="auto"/>
              </w:rPr>
              <w:t>JUNE 28, 2020</w:t>
            </w: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w:t>
            </w:r>
          </w:p>
        </w:tc>
        <w:tc>
          <w:tcPr>
            <w:tcW w:w="42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w w:val="89"/>
              </w:rPr>
              <w:t>2019</w:t>
            </w: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ind w:right="124"/>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b w:val="1"/>
                <w:bCs w:val="1"/>
                <w:color w:val="auto"/>
              </w:rPr>
              <w:t>JUNE 28, 2020</w:t>
            </w: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JUNE 30, 2019</w:t>
            </w: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ind w:right="144"/>
              <w:spacing w:after="0"/>
              <w:rPr>
                <w:sz w:val="20"/>
                <w:szCs w:val="20"/>
                <w:color w:val="auto"/>
              </w:rPr>
            </w:pPr>
            <w:r>
              <w:rPr>
                <w:rFonts w:ascii="Arial" w:cs="Arial" w:eastAsia="Arial" w:hAnsi="Arial"/>
                <w:sz w:val="14"/>
                <w:szCs w:val="14"/>
                <w:b w:val="1"/>
                <w:bCs w:val="1"/>
                <w:color w:val="auto"/>
              </w:rPr>
              <w:t>Change</w:t>
            </w:r>
          </w:p>
        </w:tc>
      </w:tr>
      <w:tr>
        <w:trPr>
          <w:trHeight w:val="236"/>
        </w:trPr>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Labor and other related</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205.5</w:t>
            </w:r>
          </w:p>
        </w:tc>
        <w:tc>
          <w:tcPr>
            <w:tcW w:w="5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301.2</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514.8</w:t>
            </w:r>
          </w:p>
        </w:tc>
        <w:tc>
          <w:tcPr>
            <w:tcW w:w="5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620.2</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r>
      <w:tr>
        <w:trPr>
          <w:trHeight w:val="224"/>
        </w:trPr>
        <w:tc>
          <w:tcPr>
            <w:tcW w:w="2880" w:type="dxa"/>
            <w:vAlign w:val="bottom"/>
          </w:tcPr>
          <w:p>
            <w:pPr>
              <w:ind w:left="120"/>
              <w:spacing w:after="0"/>
              <w:rPr>
                <w:sz w:val="20"/>
                <w:szCs w:val="20"/>
                <w:color w:val="auto"/>
              </w:rPr>
            </w:pPr>
            <w:r>
              <w:rPr>
                <w:rFonts w:ascii="Arial" w:cs="Arial" w:eastAsia="Arial" w:hAnsi="Arial"/>
                <w:sz w:val="16"/>
                <w:szCs w:val="16"/>
                <w:color w:val="auto"/>
              </w:rPr>
              <w:t>% of Restaurant sales</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35.7</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30.0</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5.7 %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32.7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29.3</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3.4 %</w:t>
            </w:r>
          </w:p>
        </w:tc>
      </w:tr>
    </w:tbl>
    <w:p>
      <w:pPr>
        <w:spacing w:after="0" w:line="354"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Labor and other related expenses increased as a percentage of Restaurant sales during the thirteen weeks ended June 28, 2020 as compared to the thirteen weeks ended June 30, 2019 primarily due to: (i) 3.5% from decreased restaurant sales, (ii) 1.9% from relief pay primarily for hourly employees impacted by the closure of dining rooms due to COVID-19, offset by employee retention tax credits and (iii) 0.9% from higher labor costs. These increases were partially offset by a decrease as a percentage of Restaurant sales of 0.4% due to reduced workers’ compensation expense.</w:t>
      </w:r>
    </w:p>
    <w:p>
      <w:pPr>
        <w:spacing w:after="0" w:line="22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Labor and other related expenses increased as a percentage of Restaurant sales during the twenty-six weeks ended June 28, 2020 as compared to the twenty-six weeks ended June 30, 2019 primarily due to: (i) 1.7% from relief pay primarily for hourly employees impacted by the closure of dining rooms due to COVID-19, offset by employee retention tax credits, (ii) 1.6% from decreased restaurant sales and (iii) 0.4% from higher labor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34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Other restaurant operating expenses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8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THIRTEEN WEEKS ENDED</w:t>
            </w:r>
          </w:p>
        </w:tc>
        <w:tc>
          <w:tcPr>
            <w:tcW w:w="4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5"/>
          </w:tcPr>
          <w:p>
            <w:pPr>
              <w:jc w:val="right"/>
              <w:ind w:right="282"/>
              <w:spacing w:after="0"/>
              <w:rPr>
                <w:sz w:val="20"/>
                <w:szCs w:val="20"/>
                <w:color w:val="auto"/>
              </w:rPr>
            </w:pPr>
            <w:r>
              <w:rPr>
                <w:rFonts w:ascii="Arial" w:cs="Arial" w:eastAsia="Arial" w:hAnsi="Arial"/>
                <w:sz w:val="14"/>
                <w:szCs w:val="14"/>
                <w:b w:val="1"/>
                <w:bCs w:val="1"/>
                <w:color w:val="auto"/>
              </w:rPr>
              <w:t>TWENTY-SIX WEEKS ENDED</w:t>
            </w:r>
          </w:p>
        </w:tc>
        <w:tc>
          <w:tcPr>
            <w:tcW w:w="1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0"/>
        </w:trPr>
        <w:tc>
          <w:tcPr>
            <w:tcW w:w="28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b w:val="1"/>
                <w:bCs w:val="1"/>
                <w:color w:val="auto"/>
              </w:rPr>
              <w:t>JUNE 28, 2020</w:t>
            </w: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w:t>
            </w:r>
          </w:p>
        </w:tc>
        <w:tc>
          <w:tcPr>
            <w:tcW w:w="42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w w:val="89"/>
              </w:rPr>
              <w:t>2019</w:t>
            </w: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ind w:right="124"/>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b w:val="1"/>
                <w:bCs w:val="1"/>
                <w:color w:val="auto"/>
              </w:rPr>
              <w:t>JUNE 28, 2020</w:t>
            </w: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JUNE 30, 2019</w:t>
            </w: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ind w:right="144"/>
              <w:spacing w:after="0"/>
              <w:rPr>
                <w:sz w:val="20"/>
                <w:szCs w:val="20"/>
                <w:color w:val="auto"/>
              </w:rPr>
            </w:pPr>
            <w:r>
              <w:rPr>
                <w:rFonts w:ascii="Arial" w:cs="Arial" w:eastAsia="Arial" w:hAnsi="Arial"/>
                <w:sz w:val="14"/>
                <w:szCs w:val="14"/>
                <w:b w:val="1"/>
                <w:bCs w:val="1"/>
                <w:color w:val="auto"/>
              </w:rPr>
              <w:t>Change</w:t>
            </w:r>
          </w:p>
        </w:tc>
      </w:tr>
      <w:tr>
        <w:trPr>
          <w:trHeight w:val="237"/>
        </w:trPr>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restaurant operating</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177.8</w:t>
            </w:r>
          </w:p>
        </w:tc>
        <w:tc>
          <w:tcPr>
            <w:tcW w:w="5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240.9</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424.4</w:t>
            </w:r>
          </w:p>
        </w:tc>
        <w:tc>
          <w:tcPr>
            <w:tcW w:w="5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491.7</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r>
      <w:tr>
        <w:trPr>
          <w:trHeight w:val="223"/>
        </w:trPr>
        <w:tc>
          <w:tcPr>
            <w:tcW w:w="2880" w:type="dxa"/>
            <w:vAlign w:val="bottom"/>
          </w:tcPr>
          <w:p>
            <w:pPr>
              <w:ind w:left="120"/>
              <w:spacing w:after="0"/>
              <w:rPr>
                <w:sz w:val="20"/>
                <w:szCs w:val="20"/>
                <w:color w:val="auto"/>
              </w:rPr>
            </w:pPr>
            <w:r>
              <w:rPr>
                <w:rFonts w:ascii="Arial" w:cs="Arial" w:eastAsia="Arial" w:hAnsi="Arial"/>
                <w:sz w:val="16"/>
                <w:szCs w:val="16"/>
                <w:color w:val="auto"/>
              </w:rPr>
              <w:t>% of Restaurant sales</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30.9</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24.0</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6.9 %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23.2</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3.8 %</w:t>
            </w:r>
          </w:p>
        </w:tc>
      </w:tr>
    </w:tbl>
    <w:p>
      <w:pPr>
        <w:spacing w:after="0" w:line="340"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Other restaurant operating expenses increased as a percentage of Restaurant sales during the thirteen weeks ended June 28, 2020 as compared to the thirteen weeks ended June 30, 2019 primarily due to the impact of shifting to an off-premise only operational model in March 2020 including, 7.2% from decreased restaurant sales and 3.8% from incremental delivery related costs. These increases were partially offset by a decrease as a percentage of Restaurant sales of 3.8% from reduced operating, advertising and utilities expense and 0.3% from the write-off of straight-line rent in connection with the COVID-19 Restructuring.</w:t>
      </w:r>
    </w:p>
    <w:p>
      <w:pPr>
        <w:spacing w:after="0" w:line="20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Other restaurant operating expenses increased as a percentage of Restaurant sales during the twenty-six weeks ended June 28, 2020 as compared to the twenty-six weeks ended June 30, 2019 primarily due to the impact of shifting to an off-premise only operational model in March 2020 including, 3.2% from decreased restaurant sales and 1.9% from incremental delivery related costs. These increases were partially offset by a decrease as a percentage of Restaurant sales of 1.1% from reduced utilities, advertising and operating expense.</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Depreciation and amortization</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0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4"/>
          </w:tcPr>
          <w:p>
            <w:pPr>
              <w:jc w:val="right"/>
              <w:ind w:right="524"/>
              <w:spacing w:after="0"/>
              <w:rPr>
                <w:sz w:val="20"/>
                <w:szCs w:val="20"/>
                <w:color w:val="auto"/>
              </w:rPr>
            </w:pPr>
            <w:r>
              <w:rPr>
                <w:rFonts w:ascii="Arial" w:cs="Arial" w:eastAsia="Arial" w:hAnsi="Arial"/>
                <w:sz w:val="14"/>
                <w:szCs w:val="14"/>
                <w:b w:val="1"/>
                <w:bCs w:val="1"/>
                <w:color w:val="auto"/>
              </w:rPr>
              <w:t>THIRTEEN WEEKS ENDED</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444"/>
              <w:spacing w:after="0"/>
              <w:rPr>
                <w:sz w:val="20"/>
                <w:szCs w:val="20"/>
                <w:color w:val="auto"/>
              </w:rPr>
            </w:pPr>
            <w:r>
              <w:rPr>
                <w:rFonts w:ascii="Arial" w:cs="Arial" w:eastAsia="Arial" w:hAnsi="Arial"/>
                <w:sz w:val="14"/>
                <w:szCs w:val="14"/>
                <w:b w:val="1"/>
                <w:bCs w:val="1"/>
                <w:color w:val="auto"/>
              </w:rPr>
              <w:t>TWENTY-SIX WEEKS ENDED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10"/>
        </w:trPr>
        <w:tc>
          <w:tcPr>
            <w:tcW w:w="3040" w:type="dxa"/>
            <w:vAlign w:val="bottom"/>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80" w:type="dxa"/>
            <w:vAlign w:val="bottom"/>
          </w:tcPr>
          <w:p>
            <w:pPr>
              <w:spacing w:after="0"/>
              <w:rPr>
                <w:sz w:val="18"/>
                <w:szCs w:val="18"/>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28, 2020</w:t>
            </w:r>
          </w:p>
        </w:tc>
        <w:tc>
          <w:tcPr>
            <w:tcW w:w="180" w:type="dxa"/>
            <w:vAlign w:val="bottom"/>
          </w:tcPr>
          <w:p>
            <w:pPr>
              <w:spacing w:after="0"/>
              <w:rPr>
                <w:sz w:val="18"/>
                <w:szCs w:val="18"/>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2019</w:t>
            </w:r>
          </w:p>
        </w:tc>
        <w:tc>
          <w:tcPr>
            <w:tcW w:w="140" w:type="dxa"/>
            <w:vAlign w:val="bottom"/>
          </w:tcPr>
          <w:p>
            <w:pPr>
              <w:spacing w:after="0"/>
              <w:rPr>
                <w:sz w:val="18"/>
                <w:szCs w:val="18"/>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8"/>
                <w:szCs w:val="18"/>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28, 2020</w:t>
            </w:r>
          </w:p>
        </w:tc>
        <w:tc>
          <w:tcPr>
            <w:tcW w:w="180" w:type="dxa"/>
            <w:vAlign w:val="bottom"/>
          </w:tcPr>
          <w:p>
            <w:pPr>
              <w:spacing w:after="0"/>
              <w:rPr>
                <w:sz w:val="18"/>
                <w:szCs w:val="18"/>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2019</w:t>
            </w:r>
          </w:p>
        </w:tc>
        <w:tc>
          <w:tcPr>
            <w:tcW w:w="160" w:type="dxa"/>
            <w:vAlign w:val="bottom"/>
          </w:tcPr>
          <w:p>
            <w:pPr>
              <w:spacing w:after="0"/>
              <w:rPr>
                <w:sz w:val="18"/>
                <w:szCs w:val="18"/>
                <w:color w:val="auto"/>
              </w:rPr>
            </w:pPr>
          </w:p>
        </w:tc>
        <w:tc>
          <w:tcPr>
            <w:tcW w:w="720" w:type="dxa"/>
            <w:vAlign w:val="bottom"/>
          </w:tcPr>
          <w:p>
            <w:pPr>
              <w:jc w:val="right"/>
              <w:ind w:right="124"/>
              <w:spacing w:after="0"/>
              <w:rPr>
                <w:sz w:val="20"/>
                <w:szCs w:val="20"/>
                <w:color w:val="auto"/>
              </w:rPr>
            </w:pPr>
            <w:r>
              <w:rPr>
                <w:rFonts w:ascii="Arial" w:cs="Arial" w:eastAsia="Arial" w:hAnsi="Arial"/>
                <w:sz w:val="14"/>
                <w:szCs w:val="14"/>
                <w:b w:val="1"/>
                <w:bCs w:val="1"/>
                <w:color w:val="auto"/>
                <w:w w:val="97"/>
              </w:rPr>
              <w:t>Change</w:t>
            </w:r>
          </w:p>
        </w:tc>
      </w:tr>
      <w:tr>
        <w:trPr>
          <w:trHeight w:val="223"/>
        </w:trPr>
        <w:tc>
          <w:tcPr>
            <w:tcW w:w="3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6"/>
                <w:szCs w:val="16"/>
                <w:color w:val="auto"/>
              </w:rPr>
              <w:t>45.8</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6"/>
                <w:szCs w:val="16"/>
                <w:color w:val="auto"/>
              </w:rPr>
              <w:t>49.8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(4.0)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6"/>
                <w:szCs w:val="16"/>
                <w:color w:val="auto"/>
              </w:rPr>
              <w:t>94.1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6"/>
                <w:szCs w:val="16"/>
                <w:color w:val="auto"/>
              </w:rPr>
              <w:t>99.3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(5.2)</w:t>
            </w:r>
          </w:p>
        </w:tc>
      </w:tr>
      <w:tr>
        <w:trPr>
          <w:trHeight w:val="33"/>
        </w:trPr>
        <w:tc>
          <w:tcPr>
            <w:tcW w:w="30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r>
    </w:tbl>
    <w:p>
      <w:pPr>
        <w:spacing w:after="0" w:line="32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Depreciation and amortization expense decreased during the thirteen and twenty-six weeks ended June 28, 2020 as compared to the thirteen and twenty-six weeks ended June 30, 2019 primarily due to impairment related to COVID-19 and transformational initiatives and the effect of foreign currency translation.</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General and administrative</w:t>
      </w:r>
    </w:p>
    <w:p>
      <w:pPr>
        <w:spacing w:after="0" w:line="16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General and administrative expense includes salaries and benefits, management incentive programs, related payroll tax and benefits, other employee-related costs and professional services. Following is a summary of the change in General and administrative expense for the periods indicated below:</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760" w:type="dxa"/>
            <w:vAlign w:val="bottom"/>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240" w:type="dxa"/>
            <w:vAlign w:val="bottom"/>
          </w:tcPr>
          <w:p>
            <w:pPr>
              <w:spacing w:after="0"/>
              <w:rPr>
                <w:sz w:val="17"/>
                <w:szCs w:val="17"/>
                <w:color w:val="auto"/>
              </w:rPr>
            </w:pPr>
          </w:p>
        </w:tc>
        <w:tc>
          <w:tcPr>
            <w:tcW w:w="2480" w:type="dxa"/>
            <w:vAlign w:val="bottom"/>
            <w:gridSpan w:val="2"/>
          </w:tcPr>
          <w:p>
            <w:pPr>
              <w:ind w:left="140"/>
              <w:spacing w:after="0"/>
              <w:rPr>
                <w:sz w:val="20"/>
                <w:szCs w:val="20"/>
                <w:color w:val="auto"/>
              </w:rPr>
            </w:pPr>
            <w:r>
              <w:rPr>
                <w:rFonts w:ascii="Arial" w:cs="Arial" w:eastAsia="Arial" w:hAnsi="Arial"/>
                <w:sz w:val="14"/>
                <w:szCs w:val="14"/>
                <w:b w:val="1"/>
                <w:bCs w:val="1"/>
                <w:color w:val="auto"/>
              </w:rPr>
              <w:t>THIRTEEN WEEKS ENDED</w:t>
            </w:r>
          </w:p>
        </w:tc>
        <w:tc>
          <w:tcPr>
            <w:tcW w:w="240" w:type="dxa"/>
            <w:vAlign w:val="bottom"/>
          </w:tcPr>
          <w:p>
            <w:pPr>
              <w:spacing w:after="0"/>
              <w:rPr>
                <w:sz w:val="17"/>
                <w:szCs w:val="17"/>
                <w:color w:val="auto"/>
              </w:rPr>
            </w:pPr>
          </w:p>
        </w:tc>
        <w:tc>
          <w:tcPr>
            <w:tcW w:w="2520" w:type="dxa"/>
            <w:vAlign w:val="bottom"/>
          </w:tcPr>
          <w:p>
            <w:pPr>
              <w:jc w:val="right"/>
              <w:ind w:right="280"/>
              <w:spacing w:after="0"/>
              <w:rPr>
                <w:sz w:val="20"/>
                <w:szCs w:val="20"/>
                <w:color w:val="auto"/>
              </w:rPr>
            </w:pPr>
            <w:r>
              <w:rPr>
                <w:rFonts w:ascii="Arial" w:cs="Arial" w:eastAsia="Arial" w:hAnsi="Arial"/>
                <w:sz w:val="14"/>
                <w:szCs w:val="14"/>
                <w:b w:val="1"/>
                <w:bCs w:val="1"/>
                <w:color w:val="auto"/>
              </w:rPr>
              <w:t>TWENTY-SIX WEEKS ENDED</w:t>
            </w:r>
          </w:p>
        </w:tc>
        <w:tc>
          <w:tcPr>
            <w:tcW w:w="0" w:type="dxa"/>
            <w:vAlign w:val="bottom"/>
          </w:tcPr>
          <w:p>
            <w:pPr>
              <w:spacing w:after="0"/>
              <w:rPr>
                <w:sz w:val="1"/>
                <w:szCs w:val="1"/>
                <w:color w:val="auto"/>
              </w:rPr>
            </w:pPr>
          </w:p>
        </w:tc>
      </w:tr>
      <w:tr>
        <w:trPr>
          <w:trHeight w:val="236"/>
        </w:trPr>
        <w:tc>
          <w:tcPr>
            <w:tcW w:w="5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For the periods ended June 30, 2019</w:t>
            </w:r>
          </w:p>
        </w:tc>
        <w:tc>
          <w:tcPr>
            <w:tcW w:w="24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2380" w:type="dxa"/>
            <w:vAlign w:val="bottom"/>
            <w:tcBorders>
              <w:top w:val="single" w:sz="8" w:color="auto"/>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72.0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2520" w:type="dxa"/>
            <w:vAlign w:val="bottom"/>
            <w:tcBorders>
              <w:top w:val="single" w:sz="8" w:color="auto"/>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142.5</w:t>
            </w:r>
          </w:p>
        </w:tc>
        <w:tc>
          <w:tcPr>
            <w:tcW w:w="0" w:type="dxa"/>
            <w:vAlign w:val="bottom"/>
          </w:tcPr>
          <w:p>
            <w:pPr>
              <w:spacing w:after="0"/>
              <w:rPr>
                <w:sz w:val="1"/>
                <w:szCs w:val="1"/>
                <w:color w:val="auto"/>
              </w:rPr>
            </w:pPr>
          </w:p>
        </w:tc>
      </w:tr>
      <w:tr>
        <w:trPr>
          <w:trHeight w:val="224"/>
        </w:trPr>
        <w:tc>
          <w:tcPr>
            <w:tcW w:w="5760" w:type="dxa"/>
            <w:vAlign w:val="bottom"/>
          </w:tcPr>
          <w:p>
            <w:pPr>
              <w:ind w:left="20"/>
              <w:spacing w:after="0"/>
              <w:rPr>
                <w:sz w:val="20"/>
                <w:szCs w:val="20"/>
                <w:color w:val="auto"/>
              </w:rPr>
            </w:pPr>
            <w:r>
              <w:rPr>
                <w:rFonts w:ascii="Arial" w:cs="Arial" w:eastAsia="Arial" w:hAnsi="Arial"/>
                <w:sz w:val="16"/>
                <w:szCs w:val="16"/>
                <w:color w:val="auto"/>
              </w:rPr>
              <w:t>Change from:</w:t>
            </w:r>
          </w:p>
        </w:tc>
        <w:tc>
          <w:tcPr>
            <w:tcW w:w="2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Travel and entertainment (1)</w:t>
            </w:r>
          </w:p>
        </w:tc>
        <w:tc>
          <w:tcPr>
            <w:tcW w:w="240" w:type="dxa"/>
            <w:vAlign w:val="bottom"/>
            <w:tcBorders>
              <w:bottom w:val="single" w:sz="8" w:color="CCEEFF"/>
            </w:tcBorders>
            <w:shd w:val="clear" w:color="auto" w:fill="CCEEFF"/>
          </w:tcPr>
          <w:p>
            <w:pPr>
              <w:spacing w:after="0"/>
              <w:rPr>
                <w:sz w:val="20"/>
                <w:szCs w:val="20"/>
                <w:color w:val="auto"/>
              </w:rPr>
            </w:pPr>
          </w:p>
        </w:tc>
        <w:tc>
          <w:tcPr>
            <w:tcW w:w="23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25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23"/>
        </w:trPr>
        <w:tc>
          <w:tcPr>
            <w:tcW w:w="5760" w:type="dxa"/>
            <w:vAlign w:val="bottom"/>
          </w:tcPr>
          <w:p>
            <w:pPr>
              <w:ind w:left="340"/>
              <w:spacing w:after="0"/>
              <w:rPr>
                <w:sz w:val="20"/>
                <w:szCs w:val="20"/>
                <w:color w:val="auto"/>
              </w:rPr>
            </w:pPr>
            <w:r>
              <w:rPr>
                <w:rFonts w:ascii="Arial" w:cs="Arial" w:eastAsia="Arial" w:hAnsi="Arial"/>
                <w:sz w:val="16"/>
                <w:szCs w:val="16"/>
                <w:color w:val="auto"/>
              </w:rPr>
              <w:t>Compensation, benefits and payroll tax</w:t>
            </w:r>
          </w:p>
        </w:tc>
        <w:tc>
          <w:tcPr>
            <w:tcW w:w="240" w:type="dxa"/>
            <w:vAlign w:val="bottom"/>
          </w:tcPr>
          <w:p>
            <w:pPr>
              <w:spacing w:after="0"/>
              <w:rPr>
                <w:sz w:val="19"/>
                <w:szCs w:val="19"/>
                <w:color w:val="auto"/>
              </w:rPr>
            </w:pPr>
          </w:p>
        </w:tc>
        <w:tc>
          <w:tcPr>
            <w:tcW w:w="2380" w:type="dxa"/>
            <w:vAlign w:val="bottom"/>
          </w:tcPr>
          <w:p>
            <w:pPr>
              <w:jc w:val="right"/>
              <w:ind w:right="20"/>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20" w:type="dxa"/>
            <w:vAlign w:val="bottom"/>
          </w:tcPr>
          <w:p>
            <w:pPr>
              <w:jc w:val="right"/>
              <w:ind w:right="20"/>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33"/>
        </w:trPr>
        <w:tc>
          <w:tcPr>
            <w:tcW w:w="5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Legal and professional fees</w:t>
            </w:r>
          </w:p>
        </w:tc>
        <w:tc>
          <w:tcPr>
            <w:tcW w:w="240" w:type="dxa"/>
            <w:vAlign w:val="bottom"/>
            <w:tcBorders>
              <w:bottom w:val="single" w:sz="8" w:color="CCEEFF"/>
            </w:tcBorders>
            <w:shd w:val="clear" w:color="auto" w:fill="CCEEFF"/>
          </w:tcPr>
          <w:p>
            <w:pPr>
              <w:spacing w:after="0"/>
              <w:rPr>
                <w:sz w:val="20"/>
                <w:szCs w:val="20"/>
                <w:color w:val="auto"/>
              </w:rPr>
            </w:pPr>
          </w:p>
        </w:tc>
        <w:tc>
          <w:tcPr>
            <w:tcW w:w="23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25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23"/>
        </w:trPr>
        <w:tc>
          <w:tcPr>
            <w:tcW w:w="5760" w:type="dxa"/>
            <w:vAlign w:val="bottom"/>
          </w:tcPr>
          <w:p>
            <w:pPr>
              <w:ind w:left="340"/>
              <w:spacing w:after="0"/>
              <w:rPr>
                <w:sz w:val="20"/>
                <w:szCs w:val="20"/>
                <w:color w:val="auto"/>
              </w:rPr>
            </w:pPr>
            <w:r>
              <w:rPr>
                <w:rFonts w:ascii="Arial" w:cs="Arial" w:eastAsia="Arial" w:hAnsi="Arial"/>
                <w:sz w:val="16"/>
                <w:szCs w:val="16"/>
                <w:color w:val="auto"/>
              </w:rPr>
              <w:t>Deferred compensation</w:t>
            </w:r>
          </w:p>
        </w:tc>
        <w:tc>
          <w:tcPr>
            <w:tcW w:w="240" w:type="dxa"/>
            <w:vAlign w:val="bottom"/>
          </w:tcPr>
          <w:p>
            <w:pPr>
              <w:spacing w:after="0"/>
              <w:rPr>
                <w:sz w:val="19"/>
                <w:szCs w:val="19"/>
                <w:color w:val="auto"/>
              </w:rPr>
            </w:pPr>
          </w:p>
        </w:tc>
        <w:tc>
          <w:tcPr>
            <w:tcW w:w="2380" w:type="dxa"/>
            <w:vAlign w:val="bottom"/>
          </w:tcPr>
          <w:p>
            <w:pPr>
              <w:jc w:val="right"/>
              <w:ind w:right="20"/>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20" w:type="dxa"/>
            <w:vAlign w:val="bottom"/>
          </w:tcPr>
          <w:p>
            <w:pPr>
              <w:jc w:val="right"/>
              <w:ind w:right="20"/>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33"/>
        </w:trPr>
        <w:tc>
          <w:tcPr>
            <w:tcW w:w="5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Expected credit losses and contingent lease liabilities</w:t>
            </w:r>
          </w:p>
        </w:tc>
        <w:tc>
          <w:tcPr>
            <w:tcW w:w="240" w:type="dxa"/>
            <w:vAlign w:val="bottom"/>
            <w:tcBorders>
              <w:bottom w:val="single" w:sz="8" w:color="CCEEFF"/>
            </w:tcBorders>
            <w:shd w:val="clear" w:color="auto" w:fill="CCEEFF"/>
          </w:tcPr>
          <w:p>
            <w:pPr>
              <w:spacing w:after="0"/>
              <w:rPr>
                <w:sz w:val="20"/>
                <w:szCs w:val="20"/>
                <w:color w:val="auto"/>
              </w:rPr>
            </w:pPr>
          </w:p>
        </w:tc>
        <w:tc>
          <w:tcPr>
            <w:tcW w:w="23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25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23"/>
        </w:trPr>
        <w:tc>
          <w:tcPr>
            <w:tcW w:w="5760" w:type="dxa"/>
            <w:vAlign w:val="bottom"/>
          </w:tcPr>
          <w:p>
            <w:pPr>
              <w:ind w:left="340"/>
              <w:spacing w:after="0"/>
              <w:rPr>
                <w:sz w:val="20"/>
                <w:szCs w:val="20"/>
                <w:color w:val="auto"/>
              </w:rPr>
            </w:pPr>
            <w:r>
              <w:rPr>
                <w:rFonts w:ascii="Arial" w:cs="Arial" w:eastAsia="Arial" w:hAnsi="Arial"/>
                <w:sz w:val="16"/>
                <w:szCs w:val="16"/>
                <w:color w:val="auto"/>
              </w:rPr>
              <w:t>Transformational costs (2)</w:t>
            </w:r>
          </w:p>
        </w:tc>
        <w:tc>
          <w:tcPr>
            <w:tcW w:w="240" w:type="dxa"/>
            <w:vAlign w:val="bottom"/>
          </w:tcPr>
          <w:p>
            <w:pPr>
              <w:spacing w:after="0"/>
              <w:rPr>
                <w:sz w:val="19"/>
                <w:szCs w:val="19"/>
                <w:color w:val="auto"/>
              </w:rPr>
            </w:pPr>
          </w:p>
        </w:tc>
        <w:tc>
          <w:tcPr>
            <w:tcW w:w="2380" w:type="dxa"/>
            <w:vAlign w:val="bottom"/>
          </w:tcPr>
          <w:p>
            <w:pPr>
              <w:jc w:val="right"/>
              <w:ind w:right="80"/>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20" w:type="dxa"/>
            <w:vAlign w:val="bottom"/>
          </w:tcPr>
          <w:p>
            <w:pPr>
              <w:jc w:val="right"/>
              <w:ind w:right="60"/>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33"/>
        </w:trPr>
        <w:tc>
          <w:tcPr>
            <w:tcW w:w="5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Severance</w:t>
            </w:r>
          </w:p>
        </w:tc>
        <w:tc>
          <w:tcPr>
            <w:tcW w:w="240" w:type="dxa"/>
            <w:vAlign w:val="bottom"/>
            <w:tcBorders>
              <w:bottom w:val="single" w:sz="8" w:color="CCEEFF"/>
            </w:tcBorders>
            <w:shd w:val="clear" w:color="auto" w:fill="CCEEFF"/>
          </w:tcPr>
          <w:p>
            <w:pPr>
              <w:spacing w:after="0"/>
              <w:rPr>
                <w:sz w:val="20"/>
                <w:szCs w:val="20"/>
                <w:color w:val="auto"/>
              </w:rPr>
            </w:pPr>
          </w:p>
        </w:tc>
        <w:tc>
          <w:tcPr>
            <w:tcW w:w="23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25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70"/>
        </w:trPr>
        <w:tc>
          <w:tcPr>
            <w:tcW w:w="576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3"/>
                <w:szCs w:val="23"/>
                <w:color w:val="auto"/>
              </w:rPr>
            </w:pPr>
          </w:p>
        </w:tc>
        <w:tc>
          <w:tcPr>
            <w:tcW w:w="23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25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72"/>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For the periods ended June 28, 2020</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23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55.5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25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140.3</w:t>
            </w: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_________________</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576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660" w:hanging="652"/>
        <w:spacing w:after="0" w:line="246" w:lineRule="auto"/>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Includes decreases of $5.4 million and $3.7 million for managing partner conference costs, net of cancellation fees during the thirteen and twenty-six weeks ended June 28, 2020, respectively.</w:t>
      </w:r>
    </w:p>
    <w:p>
      <w:pPr>
        <w:ind w:left="660" w:hanging="652"/>
        <w:spacing w:after="0"/>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Primarily consist of consulting fees incurred in connection with our transformation initiative.</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2" w:name="page43"/>
    <w:bookmarkEnd w:id="4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34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Provision for impaired assets and restaurant closings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9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4"/>
          </w:tcPr>
          <w:p>
            <w:pPr>
              <w:jc w:val="right"/>
              <w:ind w:right="524"/>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444"/>
              <w:spacing w:after="0"/>
              <w:rPr>
                <w:sz w:val="20"/>
                <w:szCs w:val="20"/>
                <w:color w:val="auto"/>
              </w:rPr>
            </w:pPr>
            <w:r>
              <w:rPr>
                <w:rFonts w:ascii="Arial" w:cs="Arial" w:eastAsia="Arial" w:hAnsi="Arial"/>
                <w:sz w:val="14"/>
                <w:szCs w:val="14"/>
                <w:b w:val="1"/>
                <w:bCs w:val="1"/>
                <w:color w:val="auto"/>
              </w:rPr>
              <w:t>TWENTY-SIX WEEKS ENDED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10"/>
        </w:trPr>
        <w:tc>
          <w:tcPr>
            <w:tcW w:w="2960" w:type="dxa"/>
            <w:vAlign w:val="bottom"/>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200" w:type="dxa"/>
            <w:vAlign w:val="bottom"/>
          </w:tcPr>
          <w:p>
            <w:pPr>
              <w:spacing w:after="0"/>
              <w:rPr>
                <w:sz w:val="18"/>
                <w:szCs w:val="18"/>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28, 2020</w:t>
            </w:r>
          </w:p>
        </w:tc>
        <w:tc>
          <w:tcPr>
            <w:tcW w:w="200" w:type="dxa"/>
            <w:vAlign w:val="bottom"/>
          </w:tcPr>
          <w:p>
            <w:pPr>
              <w:spacing w:after="0"/>
              <w:rPr>
                <w:sz w:val="18"/>
                <w:szCs w:val="18"/>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2019</w:t>
            </w:r>
          </w:p>
        </w:tc>
        <w:tc>
          <w:tcPr>
            <w:tcW w:w="160" w:type="dxa"/>
            <w:vAlign w:val="bottom"/>
          </w:tcPr>
          <w:p>
            <w:pPr>
              <w:spacing w:after="0"/>
              <w:rPr>
                <w:sz w:val="18"/>
                <w:szCs w:val="18"/>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8"/>
                <w:szCs w:val="18"/>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28, 2020</w:t>
            </w:r>
          </w:p>
        </w:tc>
        <w:tc>
          <w:tcPr>
            <w:tcW w:w="180" w:type="dxa"/>
            <w:vAlign w:val="bottom"/>
          </w:tcPr>
          <w:p>
            <w:pPr>
              <w:spacing w:after="0"/>
              <w:rPr>
                <w:sz w:val="18"/>
                <w:szCs w:val="18"/>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2019</w:t>
            </w:r>
          </w:p>
        </w:tc>
        <w:tc>
          <w:tcPr>
            <w:tcW w:w="160" w:type="dxa"/>
            <w:vAlign w:val="bottom"/>
          </w:tcPr>
          <w:p>
            <w:pPr>
              <w:spacing w:after="0"/>
              <w:rPr>
                <w:sz w:val="18"/>
                <w:szCs w:val="18"/>
                <w:color w:val="auto"/>
              </w:rPr>
            </w:pPr>
          </w:p>
        </w:tc>
        <w:tc>
          <w:tcPr>
            <w:tcW w:w="720" w:type="dxa"/>
            <w:vAlign w:val="bottom"/>
          </w:tcPr>
          <w:p>
            <w:pPr>
              <w:jc w:val="right"/>
              <w:ind w:right="124"/>
              <w:spacing w:after="0"/>
              <w:rPr>
                <w:sz w:val="20"/>
                <w:szCs w:val="20"/>
                <w:color w:val="auto"/>
              </w:rPr>
            </w:pPr>
            <w:r>
              <w:rPr>
                <w:rFonts w:ascii="Arial" w:cs="Arial" w:eastAsia="Arial" w:hAnsi="Arial"/>
                <w:sz w:val="14"/>
                <w:szCs w:val="14"/>
                <w:b w:val="1"/>
                <w:bCs w:val="1"/>
                <w:color w:val="auto"/>
                <w:w w:val="97"/>
              </w:rPr>
              <w:t>Change</w:t>
            </w:r>
          </w:p>
        </w:tc>
      </w:tr>
      <w:tr>
        <w:trPr>
          <w:trHeight w:val="206"/>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3"/>
              </w:rPr>
              <w:t>Provision for impaired assets and restaurant</w:t>
            </w:r>
          </w:p>
        </w:tc>
        <w:tc>
          <w:tcPr>
            <w:tcW w:w="20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r>
      <w:tr>
        <w:trPr>
          <w:trHeight w:val="206"/>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closings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85"/>
              <w:spacing w:after="0"/>
              <w:rPr>
                <w:sz w:val="20"/>
                <w:szCs w:val="20"/>
                <w:color w:val="auto"/>
              </w:rPr>
            </w:pPr>
            <w:r>
              <w:rPr>
                <w:rFonts w:ascii="Arial" w:cs="Arial" w:eastAsia="Arial" w:hAnsi="Arial"/>
                <w:sz w:val="16"/>
                <w:szCs w:val="16"/>
                <w:color w:val="auto"/>
              </w:rPr>
              <w:t>25.0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84"/>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ind w:right="64"/>
              <w:spacing w:after="0"/>
              <w:rPr>
                <w:sz w:val="20"/>
                <w:szCs w:val="20"/>
                <w:color w:val="auto"/>
              </w:rPr>
            </w:pPr>
            <w:r>
              <w:rPr>
                <w:rFonts w:ascii="Arial" w:cs="Arial" w:eastAsia="Arial" w:hAnsi="Arial"/>
                <w:sz w:val="16"/>
                <w:szCs w:val="16"/>
                <w:color w:val="auto"/>
              </w:rPr>
              <w:t>23.1</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65"/>
              <w:spacing w:after="0"/>
              <w:rPr>
                <w:sz w:val="20"/>
                <w:szCs w:val="20"/>
                <w:color w:val="auto"/>
              </w:rPr>
            </w:pPr>
            <w:r>
              <w:rPr>
                <w:rFonts w:ascii="Arial" w:cs="Arial" w:eastAsia="Arial" w:hAnsi="Arial"/>
                <w:sz w:val="16"/>
                <w:szCs w:val="16"/>
                <w:color w:val="auto"/>
              </w:rPr>
              <w:t>66.3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64"/>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ind w:right="84"/>
              <w:spacing w:after="0"/>
              <w:rPr>
                <w:sz w:val="20"/>
                <w:szCs w:val="20"/>
                <w:color w:val="auto"/>
              </w:rPr>
            </w:pPr>
            <w:r>
              <w:rPr>
                <w:rFonts w:ascii="Arial" w:cs="Arial" w:eastAsia="Arial" w:hAnsi="Arial"/>
                <w:sz w:val="16"/>
                <w:szCs w:val="16"/>
                <w:color w:val="auto"/>
              </w:rPr>
              <w:t>60.8</w:t>
            </w:r>
          </w:p>
        </w:tc>
      </w:tr>
      <w:tr>
        <w:trPr>
          <w:trHeight w:val="33"/>
        </w:trPr>
        <w:tc>
          <w:tcPr>
            <w:tcW w:w="29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r>
    </w:tbl>
    <w:p>
      <w:pPr>
        <w:spacing w:after="0" w:line="30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During the thirteen and twenty-six weeks ended June 28, 2020, we recognized asset impairment and closure charges related to the COVID-19 pandemic of $25.0 million and $56.3 million, respectively, in the U.S. segment (including the COVID-19 Restructuring) and $0.3 million and $3.6 million, respectively, in the international segment. We also recognized asset impairment charges related to transformational initiatives of $6.3 million during the twenty-six weeks ended June 28, 2020, which were not allocated to our operating segments.</w:t>
      </w:r>
    </w:p>
    <w:p>
      <w:pPr>
        <w:spacing w:after="0" w:line="18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COVID-19 Restructuring </w:t>
      </w:r>
      <w:r>
        <w:rPr>
          <w:rFonts w:ascii="Arial" w:cs="Arial" w:eastAsia="Arial" w:hAnsi="Arial"/>
          <w:sz w:val="20"/>
          <w:szCs w:val="20"/>
          <w:color w:val="auto"/>
        </w:rPr>
        <w:t>- During the thirteen and twenty-six weeks ended June 28, 2020, we recognized pre-tax asset impairments and</w:t>
      </w:r>
      <w:r>
        <w:rPr>
          <w:rFonts w:ascii="Arial" w:cs="Arial" w:eastAsia="Arial" w:hAnsi="Arial"/>
          <w:sz w:val="20"/>
          <w:szCs w:val="20"/>
          <w:i w:val="1"/>
          <w:iCs w:val="1"/>
          <w:color w:val="auto"/>
        </w:rPr>
        <w:t xml:space="preserve"> </w:t>
      </w:r>
      <w:r>
        <w:rPr>
          <w:rFonts w:ascii="Arial" w:cs="Arial" w:eastAsia="Arial" w:hAnsi="Arial"/>
          <w:sz w:val="20"/>
          <w:szCs w:val="20"/>
          <w:color w:val="auto"/>
        </w:rPr>
        <w:t>closure costs of $20.9 million in connection with the closure of 22 restaurants and from the update of certain cash flow assumptions, including lease renewal considerations.</w:t>
      </w:r>
    </w:p>
    <w:p>
      <w:pPr>
        <w:spacing w:after="0" w:line="213"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 remaining impairment and closing charges during the periods presented resulted primarily from locations identified for remodel, relocation or closure and certain other assets.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See Note 4 - </w:t>
      </w:r>
      <w:r>
        <w:rPr>
          <w:rFonts w:ascii="Arial" w:cs="Arial" w:eastAsia="Arial" w:hAnsi="Arial"/>
          <w:sz w:val="20"/>
          <w:szCs w:val="20"/>
          <w:i w:val="1"/>
          <w:iCs w:val="1"/>
          <w:color w:val="auto"/>
        </w:rPr>
        <w:t>Impairments, Exit Costs and Disposals</w:t>
      </w:r>
      <w:r>
        <w:rPr>
          <w:rFonts w:ascii="Arial" w:cs="Arial" w:eastAsia="Arial" w:hAnsi="Arial"/>
          <w:sz w:val="20"/>
          <w:szCs w:val="20"/>
          <w:color w:val="auto"/>
        </w:rPr>
        <w:t xml:space="preserve"> of the Notes to Consolidated Financial Statements for further information.</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(Loss) income from operations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6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4"/>
          </w:tcPr>
          <w:p>
            <w:pPr>
              <w:jc w:val="right"/>
              <w:ind w:right="362"/>
              <w:spacing w:after="0"/>
              <w:rPr>
                <w:sz w:val="20"/>
                <w:szCs w:val="20"/>
                <w:color w:val="auto"/>
              </w:rPr>
            </w:pPr>
            <w:r>
              <w:rPr>
                <w:rFonts w:ascii="Arial" w:cs="Arial" w:eastAsia="Arial" w:hAnsi="Arial"/>
                <w:sz w:val="14"/>
                <w:szCs w:val="14"/>
                <w:b w:val="1"/>
                <w:bCs w:val="1"/>
                <w:color w:val="auto"/>
              </w:rPr>
              <w:t>THIRTEEN WEEKS ENDED</w:t>
            </w:r>
          </w:p>
        </w:tc>
        <w:tc>
          <w:tcPr>
            <w:tcW w:w="1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jc w:val="right"/>
              <w:ind w:right="282"/>
              <w:spacing w:after="0"/>
              <w:rPr>
                <w:sz w:val="20"/>
                <w:szCs w:val="20"/>
                <w:color w:val="auto"/>
              </w:rPr>
            </w:pPr>
            <w:r>
              <w:rPr>
                <w:rFonts w:ascii="Arial" w:cs="Arial" w:eastAsia="Arial" w:hAnsi="Arial"/>
                <w:sz w:val="14"/>
                <w:szCs w:val="14"/>
                <w:b w:val="1"/>
                <w:bCs w:val="1"/>
                <w:color w:val="auto"/>
              </w:rPr>
              <w:t>TWENTY-SIX WEEKS ENDED</w:t>
            </w:r>
          </w:p>
        </w:tc>
        <w:tc>
          <w:tcPr>
            <w:tcW w:w="1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9"/>
        </w:trPr>
        <w:tc>
          <w:tcPr>
            <w:tcW w:w="2620" w:type="dxa"/>
            <w:vAlign w:val="bottom"/>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80" w:type="dxa"/>
            <w:vAlign w:val="bottom"/>
          </w:tcPr>
          <w:p>
            <w:pPr>
              <w:spacing w:after="0"/>
              <w:rPr>
                <w:sz w:val="18"/>
                <w:szCs w:val="18"/>
                <w:color w:val="auto"/>
              </w:rPr>
            </w:pPr>
          </w:p>
        </w:tc>
        <w:tc>
          <w:tcPr>
            <w:tcW w:w="142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28, 2020</w:t>
            </w:r>
          </w:p>
        </w:tc>
        <w:tc>
          <w:tcPr>
            <w:tcW w:w="200" w:type="dxa"/>
            <w:vAlign w:val="bottom"/>
          </w:tcPr>
          <w:p>
            <w:pPr>
              <w:spacing w:after="0"/>
              <w:rPr>
                <w:sz w:val="18"/>
                <w:szCs w:val="18"/>
                <w:color w:val="auto"/>
              </w:rPr>
            </w:pPr>
          </w:p>
        </w:tc>
        <w:tc>
          <w:tcPr>
            <w:tcW w:w="1100" w:type="dxa"/>
            <w:vAlign w:val="bottom"/>
          </w:tcPr>
          <w:p>
            <w:pPr>
              <w:jc w:val="right"/>
              <w:ind w:right="22"/>
              <w:spacing w:after="0"/>
              <w:rPr>
                <w:sz w:val="20"/>
                <w:szCs w:val="20"/>
                <w:color w:val="auto"/>
              </w:rPr>
            </w:pPr>
            <w:r>
              <w:rPr>
                <w:rFonts w:ascii="Arial" w:cs="Arial" w:eastAsia="Arial" w:hAnsi="Arial"/>
                <w:sz w:val="14"/>
                <w:szCs w:val="14"/>
                <w:b w:val="1"/>
                <w:bCs w:val="1"/>
                <w:color w:val="auto"/>
              </w:rPr>
              <w:t>JUNE 30, 2019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ind w:left="100"/>
              <w:spacing w:after="0"/>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18"/>
                <w:szCs w:val="18"/>
                <w:color w:val="auto"/>
              </w:rPr>
            </w:pPr>
          </w:p>
        </w:tc>
        <w:tc>
          <w:tcPr>
            <w:tcW w:w="142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28, 2020</w:t>
            </w:r>
          </w:p>
        </w:tc>
        <w:tc>
          <w:tcPr>
            <w:tcW w:w="200" w:type="dxa"/>
            <w:vAlign w:val="bottom"/>
          </w:tcPr>
          <w:p>
            <w:pPr>
              <w:spacing w:after="0"/>
              <w:rPr>
                <w:sz w:val="18"/>
                <w:szCs w:val="18"/>
                <w:color w:val="auto"/>
              </w:rPr>
            </w:pPr>
          </w:p>
        </w:tc>
        <w:tc>
          <w:tcPr>
            <w:tcW w:w="1120" w:type="dxa"/>
            <w:vAlign w:val="bottom"/>
          </w:tcPr>
          <w:p>
            <w:pPr>
              <w:jc w:val="right"/>
              <w:ind w:right="42"/>
              <w:spacing w:after="0"/>
              <w:rPr>
                <w:sz w:val="20"/>
                <w:szCs w:val="20"/>
                <w:color w:val="auto"/>
              </w:rPr>
            </w:pPr>
            <w:r>
              <w:rPr>
                <w:rFonts w:ascii="Arial" w:cs="Arial" w:eastAsia="Arial" w:hAnsi="Arial"/>
                <w:sz w:val="14"/>
                <w:szCs w:val="14"/>
                <w:b w:val="1"/>
                <w:bCs w:val="1"/>
                <w:color w:val="auto"/>
              </w:rPr>
              <w:t>JUNE 30, 2019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ind w:right="222"/>
              <w:spacing w:after="0"/>
              <w:rPr>
                <w:sz w:val="20"/>
                <w:szCs w:val="20"/>
                <w:color w:val="auto"/>
              </w:rPr>
            </w:pPr>
            <w:r>
              <w:rPr>
                <w:rFonts w:ascii="Arial" w:cs="Arial" w:eastAsia="Arial" w:hAnsi="Arial"/>
                <w:sz w:val="14"/>
                <w:szCs w:val="14"/>
                <w:b w:val="1"/>
                <w:bCs w:val="1"/>
                <w:color w:val="auto"/>
              </w:rPr>
              <w:t>Change</w:t>
            </w:r>
          </w:p>
        </w:tc>
      </w:tr>
      <w:tr>
        <w:trPr>
          <w:trHeight w:val="237"/>
        </w:trPr>
        <w:tc>
          <w:tcPr>
            <w:tcW w:w="2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(Loss) income from operations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CCEEFF"/>
            </w:tcBorders>
            <w:shd w:val="clear" w:color="auto" w:fill="CCEEFF"/>
          </w:tcPr>
          <w:p>
            <w:pPr>
              <w:jc w:val="right"/>
              <w:ind w:right="104"/>
              <w:spacing w:after="0"/>
              <w:rPr>
                <w:sz w:val="20"/>
                <w:szCs w:val="20"/>
                <w:color w:val="auto"/>
              </w:rPr>
            </w:pPr>
            <w:r>
              <w:rPr>
                <w:rFonts w:ascii="Arial" w:cs="Arial" w:eastAsia="Arial" w:hAnsi="Arial"/>
                <w:sz w:val="16"/>
                <w:szCs w:val="16"/>
                <w:color w:val="auto"/>
              </w:rPr>
              <w:t>(111.9)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43.5</w:t>
            </w: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(155.4)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CCEEFF"/>
            </w:tcBorders>
            <w:shd w:val="clear" w:color="auto" w:fill="CCEEFF"/>
          </w:tcPr>
          <w:p>
            <w:pPr>
              <w:jc w:val="right"/>
              <w:ind w:right="104"/>
              <w:spacing w:after="0"/>
              <w:rPr>
                <w:sz w:val="20"/>
                <w:szCs w:val="20"/>
                <w:color w:val="auto"/>
              </w:rPr>
            </w:pPr>
            <w:r>
              <w:rPr>
                <w:rFonts w:ascii="Arial" w:cs="Arial" w:eastAsia="Arial" w:hAnsi="Arial"/>
                <w:sz w:val="16"/>
                <w:szCs w:val="16"/>
                <w:color w:val="auto"/>
              </w:rPr>
              <w:t>(153.5)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126.0</w:t>
            </w: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CCEEFF"/>
            </w:tcBorders>
            <w:shd w:val="clear" w:color="auto" w:fill="CCEEFF"/>
          </w:tcPr>
          <w:p>
            <w:pPr>
              <w:jc w:val="right"/>
              <w:ind w:right="102"/>
              <w:spacing w:after="0"/>
              <w:rPr>
                <w:sz w:val="20"/>
                <w:szCs w:val="20"/>
                <w:color w:val="auto"/>
              </w:rPr>
            </w:pPr>
            <w:r>
              <w:rPr>
                <w:rFonts w:ascii="Arial" w:cs="Arial" w:eastAsia="Arial" w:hAnsi="Arial"/>
                <w:sz w:val="16"/>
                <w:szCs w:val="16"/>
                <w:color w:val="auto"/>
              </w:rPr>
              <w:t>(279.5)</w:t>
            </w:r>
          </w:p>
        </w:tc>
      </w:tr>
      <w:tr>
        <w:trPr>
          <w:trHeight w:val="223"/>
        </w:trPr>
        <w:tc>
          <w:tcPr>
            <w:tcW w:w="2620" w:type="dxa"/>
            <w:vAlign w:val="bottom"/>
          </w:tcPr>
          <w:p>
            <w:pPr>
              <w:ind w:left="120"/>
              <w:spacing w:after="0"/>
              <w:rPr>
                <w:sz w:val="20"/>
                <w:szCs w:val="20"/>
                <w:color w:val="auto"/>
              </w:rPr>
            </w:pPr>
            <w:r>
              <w:rPr>
                <w:rFonts w:ascii="Arial" w:cs="Arial" w:eastAsia="Arial" w:hAnsi="Arial"/>
                <w:sz w:val="16"/>
                <w:szCs w:val="16"/>
                <w:color w:val="auto"/>
              </w:rPr>
              <w:t>% of Total revenues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(19.3)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4.3</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(23.6)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(9.7)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5.9</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(15.6) %</w:t>
            </w:r>
          </w:p>
        </w:tc>
      </w:tr>
    </w:tbl>
    <w:p>
      <w:pPr>
        <w:spacing w:after="0" w:line="354"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Loss from operations generated during the thirteen weeks ended June 28, 2020, as compared to income from operations during the thirteen weeks ended June 30, 2019 was primarily due to: (i) significantly lower comparable restaurant sales and costs incurred in connection with the COVID-19 pandemic, including asset impairment charges, incremental delivery related costs and relief pay (net of tax credits) and (ii) higher labor costs and commodity inflation. These losses were partially offset by: (i) reduced operating, advertising and utilities expense, (ii) cost savings from our restructuring and transformation initiatives and (iii) cost savings from waste reduction initiatives.</w:t>
      </w:r>
    </w:p>
    <w:p>
      <w:pPr>
        <w:spacing w:after="0" w:line="192" w:lineRule="exact"/>
        <w:rPr>
          <w:sz w:val="20"/>
          <w:szCs w:val="20"/>
          <w:color w:val="auto"/>
        </w:rPr>
      </w:pPr>
    </w:p>
    <w:p>
      <w:pPr>
        <w:jc w:val="both"/>
        <w:spacing w:after="0" w:line="328" w:lineRule="auto"/>
        <w:rPr>
          <w:sz w:val="20"/>
          <w:szCs w:val="20"/>
          <w:color w:val="auto"/>
        </w:rPr>
      </w:pPr>
      <w:r>
        <w:rPr>
          <w:rFonts w:ascii="Arial" w:cs="Arial" w:eastAsia="Arial" w:hAnsi="Arial"/>
          <w:sz w:val="16"/>
          <w:szCs w:val="16"/>
          <w:color w:val="auto"/>
        </w:rPr>
        <w:t>Loss from operations generated during the twenty-six weeks ended June 28, 2020, as compared to income from operations during the twenty-six weeks ended June 30, 2019 was primarily due to: (i) significantly lower comparable restaurant sales and costs incurred in connection with the COVID-19 pandemic, including asset impairment charges, incremental delivery related costs and relief pay (net of tax credits) and (ii) higher labor costs and commodity inflation. These losses were partially offset by reduced utilities, advertising and operating expense.</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Interest expense, net</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0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THIRTEEN WEEKS ENDED</w:t>
            </w:r>
          </w:p>
        </w:tc>
        <w:tc>
          <w:tcPr>
            <w:tcW w:w="5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444"/>
              <w:spacing w:after="0"/>
              <w:rPr>
                <w:sz w:val="20"/>
                <w:szCs w:val="20"/>
                <w:color w:val="auto"/>
              </w:rPr>
            </w:pPr>
            <w:r>
              <w:rPr>
                <w:rFonts w:ascii="Arial" w:cs="Arial" w:eastAsia="Arial" w:hAnsi="Arial"/>
                <w:sz w:val="14"/>
                <w:szCs w:val="14"/>
                <w:b w:val="1"/>
                <w:bCs w:val="1"/>
                <w:color w:val="auto"/>
              </w:rPr>
              <w:t>TWENTY-SIX WEEKS ENDED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10"/>
        </w:trPr>
        <w:tc>
          <w:tcPr>
            <w:tcW w:w="3040" w:type="dxa"/>
            <w:vAlign w:val="bottom"/>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80" w:type="dxa"/>
            <w:vAlign w:val="bottom"/>
          </w:tcPr>
          <w:p>
            <w:pPr>
              <w:spacing w:after="0"/>
              <w:rPr>
                <w:sz w:val="18"/>
                <w:szCs w:val="18"/>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28, 2020</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Pr>
          <w:p>
            <w:pPr>
              <w:jc w:val="right"/>
              <w:ind w:right="204"/>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8"/>
                <w:szCs w:val="18"/>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28, 2020</w:t>
            </w:r>
          </w:p>
        </w:tc>
        <w:tc>
          <w:tcPr>
            <w:tcW w:w="180" w:type="dxa"/>
            <w:vAlign w:val="bottom"/>
          </w:tcPr>
          <w:p>
            <w:pPr>
              <w:spacing w:after="0"/>
              <w:rPr>
                <w:sz w:val="18"/>
                <w:szCs w:val="18"/>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2019</w:t>
            </w:r>
          </w:p>
        </w:tc>
        <w:tc>
          <w:tcPr>
            <w:tcW w:w="160" w:type="dxa"/>
            <w:vAlign w:val="bottom"/>
          </w:tcPr>
          <w:p>
            <w:pPr>
              <w:spacing w:after="0"/>
              <w:rPr>
                <w:sz w:val="18"/>
                <w:szCs w:val="18"/>
                <w:color w:val="auto"/>
              </w:rPr>
            </w:pPr>
          </w:p>
        </w:tc>
        <w:tc>
          <w:tcPr>
            <w:tcW w:w="720" w:type="dxa"/>
            <w:vAlign w:val="bottom"/>
          </w:tcPr>
          <w:p>
            <w:pPr>
              <w:jc w:val="right"/>
              <w:ind w:right="124"/>
              <w:spacing w:after="0"/>
              <w:rPr>
                <w:sz w:val="20"/>
                <w:szCs w:val="20"/>
                <w:color w:val="auto"/>
              </w:rPr>
            </w:pPr>
            <w:r>
              <w:rPr>
                <w:rFonts w:ascii="Arial" w:cs="Arial" w:eastAsia="Arial" w:hAnsi="Arial"/>
                <w:sz w:val="14"/>
                <w:szCs w:val="14"/>
                <w:b w:val="1"/>
                <w:bCs w:val="1"/>
                <w:color w:val="auto"/>
                <w:w w:val="97"/>
              </w:rPr>
              <w:t>Change</w:t>
            </w:r>
          </w:p>
        </w:tc>
      </w:tr>
      <w:tr>
        <w:trPr>
          <w:trHeight w:val="223"/>
        </w:trPr>
        <w:tc>
          <w:tcPr>
            <w:tcW w:w="3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6"/>
                <w:szCs w:val="16"/>
                <w:color w:val="auto"/>
              </w:rPr>
              <w:t>16.6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6"/>
                <w:szCs w:val="16"/>
                <w:color w:val="auto"/>
              </w:rPr>
              <w:t>12.4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6"/>
                <w:szCs w:val="16"/>
                <w:color w:val="auto"/>
              </w:rPr>
              <w:t>4.2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6"/>
                <w:szCs w:val="16"/>
                <w:color w:val="auto"/>
              </w:rPr>
              <w:t>28.3</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6"/>
                <w:szCs w:val="16"/>
                <w:color w:val="auto"/>
              </w:rPr>
              <w:t>23.6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6"/>
                <w:szCs w:val="16"/>
                <w:color w:val="auto"/>
              </w:rPr>
              <w:t>4.7</w:t>
            </w:r>
          </w:p>
        </w:tc>
      </w:tr>
      <w:tr>
        <w:trPr>
          <w:trHeight w:val="33"/>
        </w:trPr>
        <w:tc>
          <w:tcPr>
            <w:tcW w:w="30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r>
    </w:tbl>
    <w:p>
      <w:pPr>
        <w:spacing w:after="0" w:line="32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increase in Interest expense, net for the thirteen and twenty-six weeks ended June 28, 2020 as compared to the thirteen and twenty-six weeks ended June 30, 2019 was primarily due to higher interest expense from issuance of</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348"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our convertible senior notes and additional draws on our revolving credit facility, partially offset by lower interest rates on our unhedged variable rate debt balances.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(Benefit) provision for income taxes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820" w:type="dxa"/>
            <w:vAlign w:val="bottom"/>
          </w:tcPr>
          <w:p>
            <w:pPr>
              <w:spacing w:after="0"/>
              <w:rPr>
                <w:sz w:val="17"/>
                <w:szCs w:val="17"/>
                <w:color w:val="auto"/>
              </w:rPr>
            </w:pPr>
          </w:p>
        </w:tc>
        <w:tc>
          <w:tcPr>
            <w:tcW w:w="2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THIRTEEN WEEKS ENDED</w:t>
            </w:r>
          </w:p>
        </w:tc>
        <w:tc>
          <w:tcPr>
            <w:tcW w:w="6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100" w:type="dxa"/>
            <w:vAlign w:val="bottom"/>
            <w:tcBorders>
              <w:bottom w:val="single" w:sz="8" w:color="auto"/>
            </w:tcBorders>
            <w:gridSpan w:val="3"/>
          </w:tcPr>
          <w:p>
            <w:pPr>
              <w:jc w:val="right"/>
              <w:ind w:right="464"/>
              <w:spacing w:after="0"/>
              <w:rPr>
                <w:sz w:val="20"/>
                <w:szCs w:val="20"/>
                <w:color w:val="auto"/>
              </w:rPr>
            </w:pPr>
            <w:r>
              <w:rPr>
                <w:rFonts w:ascii="Arial" w:cs="Arial" w:eastAsia="Arial" w:hAnsi="Arial"/>
                <w:sz w:val="14"/>
                <w:szCs w:val="14"/>
                <w:b w:val="1"/>
                <w:bCs w:val="1"/>
                <w:color w:val="auto"/>
              </w:rPr>
              <w:t>TWENTY-SIX WEEKS ENDED</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2820" w:type="dxa"/>
            <w:vAlign w:val="bottom"/>
          </w:tcPr>
          <w:p>
            <w:pPr>
              <w:spacing w:after="0"/>
              <w:rPr>
                <w:sz w:val="17"/>
                <w:szCs w:val="17"/>
                <w:color w:val="auto"/>
              </w:rPr>
            </w:pPr>
          </w:p>
        </w:tc>
        <w:tc>
          <w:tcPr>
            <w:tcW w:w="1580" w:type="dxa"/>
            <w:vAlign w:val="bottom"/>
            <w:gridSpan w:val="2"/>
          </w:tcPr>
          <w:p>
            <w:pPr>
              <w:ind w:left="280"/>
              <w:spacing w:after="0"/>
              <w:rPr>
                <w:sz w:val="20"/>
                <w:szCs w:val="20"/>
                <w:color w:val="auto"/>
              </w:rPr>
            </w:pPr>
            <w:r>
              <w:rPr>
                <w:rFonts w:ascii="Arial" w:cs="Arial" w:eastAsia="Arial" w:hAnsi="Arial"/>
                <w:sz w:val="14"/>
                <w:szCs w:val="14"/>
                <w:b w:val="1"/>
                <w:bCs w:val="1"/>
                <w:color w:val="auto"/>
              </w:rPr>
              <w:t>JUNE 28, 2020</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600" w:type="dxa"/>
            <w:vAlign w:val="bottom"/>
          </w:tcPr>
          <w:p>
            <w:pPr>
              <w:jc w:val="right"/>
              <w:ind w:right="224"/>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7"/>
                <w:szCs w:val="17"/>
                <w:color w:val="auto"/>
              </w:rPr>
            </w:pPr>
          </w:p>
        </w:tc>
        <w:tc>
          <w:tcPr>
            <w:tcW w:w="1000" w:type="dxa"/>
            <w:vAlign w:val="bottom"/>
            <w:gridSpan w:val="2"/>
          </w:tcPr>
          <w:p>
            <w:pPr>
              <w:ind w:left="220"/>
              <w:spacing w:after="0"/>
              <w:rPr>
                <w:sz w:val="20"/>
                <w:szCs w:val="20"/>
                <w:color w:val="auto"/>
              </w:rPr>
            </w:pPr>
            <w:r>
              <w:rPr>
                <w:rFonts w:ascii="Arial" w:cs="Arial" w:eastAsia="Arial" w:hAnsi="Arial"/>
                <w:sz w:val="14"/>
                <w:szCs w:val="14"/>
                <w:b w:val="1"/>
                <w:bCs w:val="1"/>
                <w:color w:val="auto"/>
              </w:rPr>
              <w:t>Change</w:t>
            </w:r>
          </w:p>
        </w:tc>
        <w:tc>
          <w:tcPr>
            <w:tcW w:w="1600" w:type="dxa"/>
            <w:vAlign w:val="bottom"/>
            <w:gridSpan w:val="2"/>
          </w:tcPr>
          <w:p>
            <w:pPr>
              <w:ind w:left="300"/>
              <w:spacing w:after="0"/>
              <w:rPr>
                <w:sz w:val="20"/>
                <w:szCs w:val="20"/>
                <w:color w:val="auto"/>
              </w:rPr>
            </w:pPr>
            <w:r>
              <w:rPr>
                <w:rFonts w:ascii="Arial" w:cs="Arial" w:eastAsia="Arial" w:hAnsi="Arial"/>
                <w:sz w:val="14"/>
                <w:szCs w:val="14"/>
                <w:b w:val="1"/>
                <w:bCs w:val="1"/>
                <w:color w:val="auto"/>
              </w:rPr>
              <w:t>JUNE 28, 2020</w:t>
            </w:r>
          </w:p>
        </w:tc>
        <w:tc>
          <w:tcPr>
            <w:tcW w:w="1620" w:type="dxa"/>
            <w:vAlign w:val="bottom"/>
            <w:gridSpan w:val="2"/>
          </w:tcPr>
          <w:p>
            <w:pPr>
              <w:ind w:left="300"/>
              <w:spacing w:after="0"/>
              <w:rPr>
                <w:sz w:val="20"/>
                <w:szCs w:val="20"/>
                <w:color w:val="auto"/>
              </w:rPr>
            </w:pPr>
            <w:r>
              <w:rPr>
                <w:rFonts w:ascii="Arial" w:cs="Arial" w:eastAsia="Arial" w:hAnsi="Arial"/>
                <w:sz w:val="14"/>
                <w:szCs w:val="14"/>
                <w:b w:val="1"/>
                <w:bCs w:val="1"/>
                <w:color w:val="auto"/>
              </w:rPr>
              <w:t>JUNE 30, 2019</w:t>
            </w:r>
          </w:p>
        </w:tc>
        <w:tc>
          <w:tcPr>
            <w:tcW w:w="1020" w:type="dxa"/>
            <w:vAlign w:val="bottom"/>
          </w:tcPr>
          <w:p>
            <w:pPr>
              <w:jc w:val="right"/>
              <w:ind w:right="204"/>
              <w:spacing w:after="0"/>
              <w:rPr>
                <w:sz w:val="20"/>
                <w:szCs w:val="20"/>
                <w:color w:val="auto"/>
              </w:rPr>
            </w:pPr>
            <w:r>
              <w:rPr>
                <w:rFonts w:ascii="Arial" w:cs="Arial" w:eastAsia="Arial" w:hAnsi="Arial"/>
                <w:sz w:val="14"/>
                <w:szCs w:val="14"/>
                <w:b w:val="1"/>
                <w:bCs w:val="1"/>
                <w:color w:val="auto"/>
              </w:rPr>
              <w:t>Change</w:t>
            </w:r>
          </w:p>
        </w:tc>
      </w:tr>
      <w:tr>
        <w:trPr>
          <w:trHeight w:val="224"/>
        </w:trPr>
        <w:tc>
          <w:tcPr>
            <w:tcW w:w="2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Effective income tax rate</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27.9 %</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3.9 %</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24.0 %</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30.4 %</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6.6 %</w:t>
            </w:r>
          </w:p>
        </w:tc>
        <w:tc>
          <w:tcPr>
            <w:tcW w:w="12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23.8 %</w:t>
            </w:r>
          </w:p>
        </w:tc>
      </w:tr>
      <w:tr>
        <w:trPr>
          <w:trHeight w:val="33"/>
        </w:trPr>
        <w:tc>
          <w:tcPr>
            <w:tcW w:w="28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30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 xml:space="preserve">The effective income tax rate for the thirteen and twenty-six weeks ended June 28, 2020 increased by 24.0 </w:t>
      </w:r>
      <w:r>
        <w:rPr>
          <w:rFonts w:ascii="Arial" w:cs="Arial" w:eastAsia="Arial" w:hAnsi="Arial"/>
          <w:sz w:val="17"/>
          <w:szCs w:val="17"/>
          <w:color w:val="auto"/>
        </w:rPr>
        <w:t>and</w:t>
      </w:r>
      <w:r>
        <w:rPr>
          <w:rFonts w:ascii="Arial" w:cs="Arial" w:eastAsia="Arial" w:hAnsi="Arial"/>
          <w:sz w:val="20"/>
          <w:szCs w:val="20"/>
          <w:color w:val="auto"/>
        </w:rPr>
        <w:t xml:space="preserve"> 23.8 percentage points as compared to the thirteen and twenty-six weeks ended June 30, 2019. These increases were primarily due to the benefit of the tax credits for FICA taxes on certain employees’ tips and the forecasted 2020 pre-tax book loss.</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SEGMENT PERFORMANCE</w:t>
      </w:r>
    </w:p>
    <w:p>
      <w:pPr>
        <w:spacing w:after="0" w:line="243"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We consider our restaurant concepts and international markets as operating segments, which reflects how we manage our business, review operating performance and allocate resources. Resources are allocated and performance is assessed by our CEO, whom we have determined to be our CODM. We aggregate our operating segments into two reportable segments, U.S. and international. The U.S. segment includes all restaurants operating in the U.S. while restaurants operating outside the U.S. are included in the international segment. The following is a summary of reporting segments:</w:t>
      </w:r>
    </w:p>
    <w:p>
      <w:pPr>
        <w:spacing w:after="0" w:line="121" w:lineRule="exact"/>
        <w:rPr>
          <w:sz w:val="20"/>
          <w:szCs w:val="20"/>
          <w:color w:val="auto"/>
        </w:rPr>
      </w:pPr>
    </w:p>
    <w:tbl>
      <w:tblPr>
        <w:tblLayout w:type="fixed"/>
        <w:tblInd w:w="10" w:type="dxa"/>
        <w:tblCellMar>
          <w:top w:w="0" w:type="dxa"/>
          <w:left w:w="0" w:type="dxa"/>
          <w:bottom w:w="0" w:type="dxa"/>
          <w:right w:w="0" w:type="dxa"/>
        </w:tblCellMar>
      </w:tblPr>
      <w:tr>
        <w:trPr>
          <w:trHeight w:val="205"/>
        </w:trPr>
        <w:tc>
          <w:tcPr>
            <w:tcW w:w="2640" w:type="dxa"/>
            <w:vAlign w:val="bottom"/>
          </w:tcPr>
          <w:p>
            <w:pPr>
              <w:ind w:left="20"/>
              <w:spacing w:after="0"/>
              <w:rPr>
                <w:sz w:val="20"/>
                <w:szCs w:val="20"/>
                <w:color w:val="auto"/>
              </w:rPr>
            </w:pPr>
            <w:r>
              <w:rPr>
                <w:rFonts w:ascii="Arial" w:cs="Arial" w:eastAsia="Arial" w:hAnsi="Arial"/>
                <w:sz w:val="14"/>
                <w:szCs w:val="14"/>
                <w:b w:val="1"/>
                <w:bCs w:val="1"/>
                <w:color w:val="auto"/>
              </w:rPr>
              <w:t>REPORTABLE SEGMENT (1)</w:t>
            </w:r>
          </w:p>
        </w:tc>
        <w:tc>
          <w:tcPr>
            <w:tcW w:w="100" w:type="dxa"/>
            <w:vAlign w:val="bottom"/>
          </w:tcPr>
          <w:p>
            <w:pPr>
              <w:spacing w:after="0"/>
              <w:rPr>
                <w:sz w:val="17"/>
                <w:szCs w:val="17"/>
                <w:color w:val="auto"/>
              </w:rPr>
            </w:pPr>
          </w:p>
        </w:tc>
        <w:tc>
          <w:tcPr>
            <w:tcW w:w="4680" w:type="dxa"/>
            <w:vAlign w:val="bottom"/>
            <w:gridSpan w:val="2"/>
          </w:tcPr>
          <w:p>
            <w:pPr>
              <w:spacing w:after="0"/>
              <w:rPr>
                <w:sz w:val="20"/>
                <w:szCs w:val="20"/>
                <w:color w:val="auto"/>
              </w:rPr>
            </w:pPr>
            <w:r>
              <w:rPr>
                <w:rFonts w:ascii="Arial" w:cs="Arial" w:eastAsia="Arial" w:hAnsi="Arial"/>
                <w:sz w:val="14"/>
                <w:szCs w:val="14"/>
                <w:b w:val="1"/>
                <w:bCs w:val="1"/>
                <w:color w:val="auto"/>
              </w:rPr>
              <w:t>CONCEPT</w:t>
            </w:r>
          </w:p>
        </w:tc>
        <w:tc>
          <w:tcPr>
            <w:tcW w:w="3820" w:type="dxa"/>
            <w:vAlign w:val="bottom"/>
          </w:tcPr>
          <w:p>
            <w:pPr>
              <w:spacing w:after="0"/>
              <w:rPr>
                <w:sz w:val="20"/>
                <w:szCs w:val="20"/>
                <w:color w:val="auto"/>
              </w:rPr>
            </w:pPr>
            <w:r>
              <w:rPr>
                <w:rFonts w:ascii="Arial" w:cs="Arial" w:eastAsia="Arial" w:hAnsi="Arial"/>
                <w:sz w:val="14"/>
                <w:szCs w:val="14"/>
                <w:b w:val="1"/>
                <w:bCs w:val="1"/>
                <w:color w:val="auto"/>
              </w:rPr>
              <w:t>GEOGRAPHIC LOCATION</w:t>
            </w:r>
          </w:p>
        </w:tc>
        <w:tc>
          <w:tcPr>
            <w:tcW w:w="0" w:type="dxa"/>
            <w:vAlign w:val="bottom"/>
          </w:tcPr>
          <w:p>
            <w:pPr>
              <w:spacing w:after="0"/>
              <w:rPr>
                <w:sz w:val="1"/>
                <w:szCs w:val="1"/>
                <w:color w:val="auto"/>
              </w:rPr>
            </w:pPr>
          </w:p>
        </w:tc>
      </w:tr>
      <w:tr>
        <w:trPr>
          <w:trHeight w:val="224"/>
        </w:trPr>
        <w:tc>
          <w:tcPr>
            <w:tcW w:w="2640" w:type="dxa"/>
            <w:vAlign w:val="bottom"/>
            <w:tcBorders>
              <w:top w:val="single" w:sz="8" w:color="auto"/>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U.S.</w:t>
            </w:r>
          </w:p>
        </w:tc>
        <w:tc>
          <w:tcPr>
            <w:tcW w:w="100" w:type="dxa"/>
            <w:vAlign w:val="bottom"/>
            <w:tcBorders>
              <w:top w:val="single" w:sz="8" w:color="CCEEFF"/>
              <w:right w:val="single" w:sz="8" w:color="auto"/>
            </w:tcBorders>
            <w:shd w:val="clear" w:color="auto" w:fill="CCEEFF"/>
          </w:tcPr>
          <w:p>
            <w:pPr>
              <w:spacing w:after="0"/>
              <w:rPr>
                <w:sz w:val="19"/>
                <w:szCs w:val="19"/>
                <w:color w:val="auto"/>
              </w:rPr>
            </w:pPr>
          </w:p>
        </w:tc>
        <w:tc>
          <w:tcPr>
            <w:tcW w:w="4580" w:type="dxa"/>
            <w:vAlign w:val="bottom"/>
            <w:tcBorders>
              <w:top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Outback Steakhouse</w:t>
            </w:r>
          </w:p>
        </w:tc>
        <w:tc>
          <w:tcPr>
            <w:tcW w:w="100" w:type="dxa"/>
            <w:vAlign w:val="bottom"/>
            <w:tcBorders>
              <w:top w:val="single" w:sz="8" w:color="CCEEFF"/>
              <w:right w:val="single" w:sz="8" w:color="auto"/>
            </w:tcBorders>
            <w:shd w:val="clear" w:color="auto" w:fill="CCEEFF"/>
          </w:tcPr>
          <w:p>
            <w:pPr>
              <w:spacing w:after="0"/>
              <w:rPr>
                <w:sz w:val="19"/>
                <w:szCs w:val="19"/>
                <w:color w:val="auto"/>
              </w:rPr>
            </w:pPr>
          </w:p>
        </w:tc>
        <w:tc>
          <w:tcPr>
            <w:tcW w:w="3820" w:type="dxa"/>
            <w:vAlign w:val="bottom"/>
            <w:tcBorders>
              <w:top w:val="single" w:sz="8" w:color="auto"/>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640" w:type="dxa"/>
            <w:vAlign w:val="bottom"/>
            <w:tcBorders>
              <w:left w:val="single" w:sz="8" w:color="auto"/>
              <w:right w:val="single" w:sz="8" w:color="auto"/>
            </w:tcBorders>
            <w:shd w:val="clear" w:color="auto" w:fill="CCEEFF"/>
          </w:tcPr>
          <w:p>
            <w:pPr>
              <w:spacing w:after="0"/>
              <w:rPr>
                <w:sz w:val="22"/>
                <w:szCs w:val="22"/>
                <w:color w:val="auto"/>
              </w:rPr>
            </w:pPr>
          </w:p>
        </w:tc>
        <w:tc>
          <w:tcPr>
            <w:tcW w:w="100" w:type="dxa"/>
            <w:vAlign w:val="bottom"/>
            <w:tcBorders>
              <w:right w:val="single" w:sz="8" w:color="auto"/>
            </w:tcBorders>
            <w:shd w:val="clear" w:color="auto" w:fill="CCEEFF"/>
          </w:tcPr>
          <w:p>
            <w:pPr>
              <w:spacing w:after="0"/>
              <w:rPr>
                <w:sz w:val="22"/>
                <w:szCs w:val="22"/>
                <w:color w:val="auto"/>
              </w:rPr>
            </w:pPr>
          </w:p>
        </w:tc>
        <w:tc>
          <w:tcPr>
            <w:tcW w:w="45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Carrabba’s Italian Grill</w:t>
            </w:r>
          </w:p>
        </w:tc>
        <w:tc>
          <w:tcPr>
            <w:tcW w:w="100" w:type="dxa"/>
            <w:vAlign w:val="bottom"/>
            <w:tcBorders>
              <w:right w:val="single" w:sz="8" w:color="auto"/>
            </w:tcBorders>
            <w:shd w:val="clear" w:color="auto" w:fill="CCEEFF"/>
          </w:tcPr>
          <w:p>
            <w:pPr>
              <w:spacing w:after="0"/>
              <w:rPr>
                <w:sz w:val="22"/>
                <w:szCs w:val="22"/>
                <w:color w:val="auto"/>
              </w:rPr>
            </w:pPr>
          </w:p>
        </w:tc>
        <w:tc>
          <w:tcPr>
            <w:tcW w:w="3820" w:type="dxa"/>
            <w:vAlign w:val="bottom"/>
            <w:tcBorders>
              <w:right w:val="single" w:sz="8" w:color="auto"/>
            </w:tcBorders>
            <w:vMerge w:val="restart"/>
            <w:shd w:val="clear" w:color="auto" w:fill="CCEEFF"/>
          </w:tcPr>
          <w:p>
            <w:pPr>
              <w:ind w:left="20"/>
              <w:spacing w:after="0"/>
              <w:rPr>
                <w:sz w:val="20"/>
                <w:szCs w:val="20"/>
                <w:color w:val="auto"/>
              </w:rPr>
            </w:pPr>
            <w:r>
              <w:rPr>
                <w:rFonts w:ascii="Arial" w:cs="Arial" w:eastAsia="Arial" w:hAnsi="Arial"/>
                <w:sz w:val="16"/>
                <w:szCs w:val="16"/>
                <w:color w:val="auto"/>
              </w:rPr>
              <w:t>United States of America</w:t>
            </w:r>
          </w:p>
        </w:tc>
        <w:tc>
          <w:tcPr>
            <w:tcW w:w="0" w:type="dxa"/>
            <w:vAlign w:val="bottom"/>
          </w:tcPr>
          <w:p>
            <w:pPr>
              <w:spacing w:after="0"/>
              <w:rPr>
                <w:sz w:val="1"/>
                <w:szCs w:val="1"/>
                <w:color w:val="auto"/>
              </w:rPr>
            </w:pPr>
          </w:p>
        </w:tc>
      </w:tr>
      <w:tr>
        <w:trPr>
          <w:trHeight w:val="122"/>
        </w:trPr>
        <w:tc>
          <w:tcPr>
            <w:tcW w:w="2640" w:type="dxa"/>
            <w:vAlign w:val="bottom"/>
            <w:tcBorders>
              <w:left w:val="single" w:sz="8" w:color="auto"/>
              <w:right w:val="single" w:sz="8" w:color="auto"/>
            </w:tcBorders>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4580" w:type="dxa"/>
            <w:vAlign w:val="bottom"/>
            <w:tcBorders>
              <w:right w:val="single" w:sz="8" w:color="auto"/>
            </w:tcBorders>
            <w:vMerge w:val="restart"/>
            <w:shd w:val="clear" w:color="auto" w:fill="CCEEFF"/>
          </w:tcPr>
          <w:p>
            <w:pPr>
              <w:ind w:left="20"/>
              <w:spacing w:after="0"/>
              <w:rPr>
                <w:sz w:val="20"/>
                <w:szCs w:val="20"/>
                <w:color w:val="auto"/>
              </w:rPr>
            </w:pPr>
            <w:r>
              <w:rPr>
                <w:rFonts w:ascii="Arial" w:cs="Arial" w:eastAsia="Arial" w:hAnsi="Arial"/>
                <w:sz w:val="16"/>
                <w:szCs w:val="16"/>
                <w:color w:val="auto"/>
              </w:rPr>
              <w:t>Bonefish Grill</w:t>
            </w:r>
          </w:p>
        </w:tc>
        <w:tc>
          <w:tcPr>
            <w:tcW w:w="100" w:type="dxa"/>
            <w:vAlign w:val="bottom"/>
            <w:tcBorders>
              <w:right w:val="single" w:sz="8" w:color="auto"/>
            </w:tcBorders>
            <w:shd w:val="clear" w:color="auto" w:fill="CCEEFF"/>
          </w:tcPr>
          <w:p>
            <w:pPr>
              <w:spacing w:after="0"/>
              <w:rPr>
                <w:sz w:val="10"/>
                <w:szCs w:val="10"/>
                <w:color w:val="auto"/>
              </w:rPr>
            </w:pPr>
          </w:p>
        </w:tc>
        <w:tc>
          <w:tcPr>
            <w:tcW w:w="3820" w:type="dxa"/>
            <w:vAlign w:val="bottom"/>
            <w:tcBorders>
              <w:right w:val="single" w:sz="8" w:color="auto"/>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40" w:type="dxa"/>
            <w:vAlign w:val="bottom"/>
            <w:tcBorders>
              <w:left w:val="single" w:sz="8" w:color="auto"/>
              <w:right w:val="single" w:sz="8" w:color="auto"/>
            </w:tcBorders>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4580" w:type="dxa"/>
            <w:vAlign w:val="bottom"/>
            <w:tcBorders>
              <w:right w:val="single" w:sz="8" w:color="auto"/>
            </w:tcBorders>
            <w:vMerge w:val="continue"/>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3820" w:type="dxa"/>
            <w:vAlign w:val="bottom"/>
            <w:tcBorders>
              <w:right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90"/>
        </w:trPr>
        <w:tc>
          <w:tcPr>
            <w:tcW w:w="2640" w:type="dxa"/>
            <w:vAlign w:val="bottom"/>
            <w:tcBorders>
              <w:left w:val="single" w:sz="8" w:color="auto"/>
              <w:bottom w:val="single" w:sz="8" w:color="CCEEFF"/>
              <w:right w:val="single" w:sz="8" w:color="auto"/>
            </w:tcBorders>
            <w:shd w:val="clear" w:color="auto" w:fill="CCEEFF"/>
          </w:tcPr>
          <w:p>
            <w:pPr>
              <w:spacing w:after="0"/>
              <w:rPr>
                <w:sz w:val="24"/>
                <w:szCs w:val="24"/>
                <w:color w:val="auto"/>
              </w:rPr>
            </w:pPr>
          </w:p>
        </w:tc>
        <w:tc>
          <w:tcPr>
            <w:tcW w:w="100" w:type="dxa"/>
            <w:vAlign w:val="bottom"/>
            <w:tcBorders>
              <w:bottom w:val="single" w:sz="8" w:color="CCEEFF"/>
              <w:right w:val="single" w:sz="8" w:color="auto"/>
            </w:tcBorders>
            <w:shd w:val="clear" w:color="auto" w:fill="CCEEFF"/>
          </w:tcPr>
          <w:p>
            <w:pPr>
              <w:spacing w:after="0"/>
              <w:rPr>
                <w:sz w:val="24"/>
                <w:szCs w:val="24"/>
                <w:color w:val="auto"/>
              </w:rPr>
            </w:pPr>
          </w:p>
        </w:tc>
        <w:tc>
          <w:tcPr>
            <w:tcW w:w="45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Fleming’s Prime Steakhouse &amp; Wine Bar</w:t>
            </w:r>
          </w:p>
        </w:tc>
        <w:tc>
          <w:tcPr>
            <w:tcW w:w="100" w:type="dxa"/>
            <w:vAlign w:val="bottom"/>
            <w:tcBorders>
              <w:bottom w:val="single" w:sz="8" w:color="CCEEFF"/>
              <w:right w:val="single" w:sz="8" w:color="auto"/>
            </w:tcBorders>
            <w:shd w:val="clear" w:color="auto" w:fill="CCEEFF"/>
          </w:tcPr>
          <w:p>
            <w:pPr>
              <w:spacing w:after="0"/>
              <w:rPr>
                <w:sz w:val="24"/>
                <w:szCs w:val="24"/>
                <w:color w:val="auto"/>
              </w:rPr>
            </w:pPr>
          </w:p>
        </w:tc>
        <w:tc>
          <w:tcPr>
            <w:tcW w:w="3820" w:type="dxa"/>
            <w:vAlign w:val="bottom"/>
            <w:tcBorders>
              <w:bottom w:val="single" w:sz="8" w:color="CCEEFF"/>
              <w:right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6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International</w:t>
            </w:r>
          </w:p>
        </w:tc>
        <w:tc>
          <w:tcPr>
            <w:tcW w:w="100" w:type="dxa"/>
            <w:vAlign w:val="bottom"/>
            <w:tcBorders>
              <w:right w:val="single" w:sz="8" w:color="auto"/>
            </w:tcBorders>
          </w:tcPr>
          <w:p>
            <w:pPr>
              <w:spacing w:after="0"/>
              <w:rPr>
                <w:sz w:val="18"/>
                <w:szCs w:val="18"/>
                <w:color w:val="auto"/>
              </w:rPr>
            </w:pPr>
          </w:p>
        </w:tc>
        <w:tc>
          <w:tcPr>
            <w:tcW w:w="45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Outback Steakhouse</w:t>
            </w:r>
          </w:p>
        </w:tc>
        <w:tc>
          <w:tcPr>
            <w:tcW w:w="100" w:type="dxa"/>
            <w:vAlign w:val="bottom"/>
            <w:tcBorders>
              <w:right w:val="single" w:sz="8" w:color="auto"/>
            </w:tcBorders>
          </w:tcPr>
          <w:p>
            <w:pPr>
              <w:spacing w:after="0"/>
              <w:rPr>
                <w:sz w:val="18"/>
                <w:szCs w:val="18"/>
                <w:color w:val="auto"/>
              </w:rPr>
            </w:pPr>
          </w:p>
        </w:tc>
        <w:tc>
          <w:tcPr>
            <w:tcW w:w="38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Brazil, Hong Kong/China</w:t>
            </w:r>
          </w:p>
        </w:tc>
        <w:tc>
          <w:tcPr>
            <w:tcW w:w="0" w:type="dxa"/>
            <w:vAlign w:val="bottom"/>
          </w:tcPr>
          <w:p>
            <w:pPr>
              <w:spacing w:after="0"/>
              <w:rPr>
                <w:sz w:val="1"/>
                <w:szCs w:val="1"/>
                <w:color w:val="auto"/>
              </w:rPr>
            </w:pPr>
          </w:p>
        </w:tc>
      </w:tr>
      <w:tr>
        <w:trPr>
          <w:trHeight w:val="33"/>
        </w:trPr>
        <w:tc>
          <w:tcPr>
            <w:tcW w:w="2640" w:type="dxa"/>
            <w:vAlign w:val="bottom"/>
            <w:tcBorders>
              <w:left w:val="single" w:sz="8" w:color="auto"/>
              <w:right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4580" w:type="dxa"/>
            <w:vAlign w:val="bottom"/>
            <w:tcBorders>
              <w:bottom w:val="single" w:sz="8" w:color="auto"/>
              <w:right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640" w:type="dxa"/>
            <w:vAlign w:val="bottom"/>
            <w:tcBorders>
              <w:left w:val="single" w:sz="8" w:color="auto"/>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45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Carrabba’s Italian Grill (Abbraccio)</w:t>
            </w:r>
          </w:p>
        </w:tc>
        <w:tc>
          <w:tcPr>
            <w:tcW w:w="100" w:type="dxa"/>
            <w:vAlign w:val="bottom"/>
            <w:tcBorders>
              <w:right w:val="single" w:sz="8" w:color="auto"/>
            </w:tcBorders>
          </w:tcPr>
          <w:p>
            <w:pPr>
              <w:spacing w:after="0"/>
              <w:rPr>
                <w:sz w:val="18"/>
                <w:szCs w:val="18"/>
                <w:color w:val="auto"/>
              </w:rPr>
            </w:pPr>
          </w:p>
        </w:tc>
        <w:tc>
          <w:tcPr>
            <w:tcW w:w="38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Brazil</w:t>
            </w:r>
          </w:p>
        </w:tc>
        <w:tc>
          <w:tcPr>
            <w:tcW w:w="0" w:type="dxa"/>
            <w:vAlign w:val="bottom"/>
          </w:tcPr>
          <w:p>
            <w:pPr>
              <w:spacing w:after="0"/>
              <w:rPr>
                <w:sz w:val="1"/>
                <w:szCs w:val="1"/>
                <w:color w:val="auto"/>
              </w:rPr>
            </w:pPr>
          </w:p>
        </w:tc>
      </w:tr>
      <w:tr>
        <w:trPr>
          <w:trHeight w:val="33"/>
        </w:trPr>
        <w:tc>
          <w:tcPr>
            <w:tcW w:w="2640" w:type="dxa"/>
            <w:vAlign w:val="bottom"/>
            <w:tcBorders>
              <w:left w:val="single" w:sz="8" w:color="auto"/>
              <w:bottom w:val="single" w:sz="8" w:color="auto"/>
              <w:right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4580" w:type="dxa"/>
            <w:vAlign w:val="bottom"/>
            <w:tcBorders>
              <w:bottom w:val="single" w:sz="8" w:color="auto"/>
              <w:right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1"/>
        </w:trPr>
        <w:tc>
          <w:tcPr>
            <w:tcW w:w="2640" w:type="dxa"/>
            <w:vAlign w:val="bottom"/>
          </w:tcPr>
          <w:p>
            <w:pPr>
              <w:spacing w:after="0"/>
              <w:rPr>
                <w:sz w:val="20"/>
                <w:szCs w:val="20"/>
                <w:color w:val="auto"/>
              </w:rPr>
            </w:pPr>
            <w:r>
              <w:rPr>
                <w:rFonts w:ascii="Arial" w:cs="Arial" w:eastAsia="Arial" w:hAnsi="Arial"/>
                <w:sz w:val="16"/>
                <w:szCs w:val="16"/>
                <w:color w:val="auto"/>
              </w:rPr>
              <w:t>_________________</w:t>
            </w:r>
          </w:p>
        </w:tc>
        <w:tc>
          <w:tcPr>
            <w:tcW w:w="10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Includes franchise locations.</w:t>
      </w:r>
    </w:p>
    <w:p>
      <w:pPr>
        <w:spacing w:after="0" w:line="22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Revenues for both segments include only transactions with customers and exclude intersegment revenues. Excluded from (Loss) income from operations for U.S. and international are certain legal and corporate costs not directly related to the performance of the segments, most stock-based compensation expenses and certain bonus expenses.</w:t>
      </w:r>
    </w:p>
    <w:p>
      <w:pPr>
        <w:spacing w:after="0" w:line="213" w:lineRule="exact"/>
        <w:rPr>
          <w:sz w:val="20"/>
          <w:szCs w:val="20"/>
          <w:color w:val="auto"/>
        </w:rPr>
      </w:pPr>
    </w:p>
    <w:p>
      <w:pPr>
        <w:jc w:val="both"/>
        <w:spacing w:after="0" w:line="328" w:lineRule="auto"/>
        <w:rPr>
          <w:sz w:val="20"/>
          <w:szCs w:val="20"/>
          <w:color w:val="auto"/>
        </w:rPr>
      </w:pPr>
      <w:r>
        <w:rPr>
          <w:rFonts w:ascii="Arial" w:cs="Arial" w:eastAsia="Arial" w:hAnsi="Arial"/>
          <w:sz w:val="16"/>
          <w:szCs w:val="16"/>
          <w:color w:val="auto"/>
        </w:rPr>
        <w:t xml:space="preserve">During the thirteen and twenty-six weeks ended June 28, 2020, we recorded $2.4 million </w:t>
      </w:r>
      <w:r>
        <w:rPr>
          <w:rFonts w:ascii="Arial" w:cs="Arial" w:eastAsia="Arial" w:hAnsi="Arial"/>
          <w:sz w:val="14"/>
          <w:szCs w:val="14"/>
          <w:color w:val="auto"/>
        </w:rPr>
        <w:t>and</w:t>
      </w:r>
      <w:r>
        <w:rPr>
          <w:rFonts w:ascii="Arial" w:cs="Arial" w:eastAsia="Arial" w:hAnsi="Arial"/>
          <w:sz w:val="16"/>
          <w:szCs w:val="16"/>
          <w:color w:val="auto"/>
        </w:rPr>
        <w:t xml:space="preserve"> $24.6 million, respectively, of pre-tax charges as a part of transformational initiatives implemented in connection with our previously announced review of strategic alternatives. These costs were primarily recorded within General and administrative expense and Provision for impaired assets and restaurant closings and were not allocated to our segments since our CODM does not consider the impact of transformational initiatives when assessing segment performance.</w:t>
      </w:r>
    </w:p>
    <w:p>
      <w:pPr>
        <w:spacing w:after="0" w:line="15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 xml:space="preserve">Refer to Note 21 </w:t>
      </w:r>
      <w:r>
        <w:rPr>
          <w:rFonts w:ascii="Arial" w:cs="Arial" w:eastAsia="Arial" w:hAnsi="Arial"/>
          <w:sz w:val="17"/>
          <w:szCs w:val="17"/>
          <w:color w:val="auto"/>
        </w:rPr>
        <w:t>-</w:t>
      </w:r>
      <w:r>
        <w:rPr>
          <w:rFonts w:ascii="Arial" w:cs="Arial" w:eastAsia="Arial" w:hAnsi="Arial"/>
          <w:sz w:val="20"/>
          <w:szCs w:val="20"/>
          <w:color w:val="auto"/>
        </w:rPr>
        <w:t xml:space="preserve"> </w:t>
      </w:r>
      <w:r>
        <w:rPr>
          <w:rFonts w:ascii="Arial" w:cs="Arial" w:eastAsia="Arial" w:hAnsi="Arial"/>
          <w:sz w:val="20"/>
          <w:szCs w:val="20"/>
          <w:i w:val="1"/>
          <w:iCs w:val="1"/>
          <w:color w:val="auto"/>
        </w:rPr>
        <w:t>Segment Reporting</w:t>
      </w:r>
      <w:r>
        <w:rPr>
          <w:rFonts w:ascii="Arial" w:cs="Arial" w:eastAsia="Arial" w:hAnsi="Arial"/>
          <w:sz w:val="20"/>
          <w:szCs w:val="20"/>
          <w:color w:val="auto"/>
        </w:rPr>
        <w:t xml:space="preserve"> of the Notes to Consolidated Financial Statements for a reconciliation of segment (loss) income from operations to the consolidated operating results.</w:t>
      </w:r>
    </w:p>
    <w:p>
      <w:pPr>
        <w:spacing w:after="0" w:line="20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 xml:space="preserve">Restaurant-level operating margin is widely regarded in the industry as a useful metric to evaluate restaurant-level operating efficiency and performance of ongoing restaurant-level operations, and we use it for these purposes, overall and particularly within our two segments. See the </w:t>
      </w:r>
      <w:r>
        <w:rPr>
          <w:rFonts w:ascii="Arial" w:cs="Arial" w:eastAsia="Arial" w:hAnsi="Arial"/>
          <w:sz w:val="20"/>
          <w:szCs w:val="20"/>
          <w:i w:val="1"/>
          <w:iCs w:val="1"/>
          <w:color w:val="auto"/>
        </w:rPr>
        <w:t>Overview-Key Performance Indicators</w:t>
      </w:r>
      <w:r>
        <w:rPr>
          <w:rFonts w:ascii="Arial" w:cs="Arial" w:eastAsia="Arial" w:hAnsi="Arial"/>
          <w:sz w:val="20"/>
          <w:szCs w:val="20"/>
          <w:color w:val="auto"/>
        </w:rPr>
        <w:t xml:space="preserve"> section of</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348" w:lineRule="exact"/>
        <w:rPr>
          <w:sz w:val="20"/>
          <w:szCs w:val="20"/>
          <w:color w:val="auto"/>
        </w:rPr>
      </w:pPr>
    </w:p>
    <w:p>
      <w:pPr>
        <w:spacing w:after="0"/>
        <w:rPr>
          <w:sz w:val="20"/>
          <w:szCs w:val="20"/>
          <w:color w:val="auto"/>
        </w:rPr>
      </w:pPr>
      <w:r>
        <w:rPr>
          <w:rFonts w:ascii="Arial" w:cs="Arial" w:eastAsia="Arial" w:hAnsi="Arial"/>
          <w:sz w:val="20"/>
          <w:szCs w:val="20"/>
          <w:color w:val="auto"/>
        </w:rPr>
        <w:t>Management’s Discussion and Analysis for additional details regarding the calculation of restaurant-level operating margin.</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 Segment</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7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5"/>
          </w:tcPr>
          <w:p>
            <w:pPr>
              <w:jc w:val="right"/>
              <w:ind w:right="400"/>
              <w:spacing w:after="0"/>
              <w:rPr>
                <w:sz w:val="20"/>
                <w:szCs w:val="20"/>
                <w:color w:val="auto"/>
              </w:rPr>
            </w:pPr>
            <w:r>
              <w:rPr>
                <w:rFonts w:ascii="Arial" w:cs="Arial" w:eastAsia="Arial" w:hAnsi="Arial"/>
                <w:sz w:val="14"/>
                <w:szCs w:val="14"/>
                <w:b w:val="1"/>
                <w:bCs w:val="1"/>
                <w:color w:val="auto"/>
              </w:rPr>
              <w:t>THIRTEEN WEEKS ENDED</w:t>
            </w:r>
          </w:p>
        </w:tc>
        <w:tc>
          <w:tcPr>
            <w:tcW w:w="1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5"/>
          </w:tcPr>
          <w:p>
            <w:pPr>
              <w:jc w:val="right"/>
              <w:ind w:right="320"/>
              <w:spacing w:after="0"/>
              <w:rPr>
                <w:sz w:val="20"/>
                <w:szCs w:val="20"/>
                <w:color w:val="auto"/>
              </w:rPr>
            </w:pPr>
            <w:r>
              <w:rPr>
                <w:rFonts w:ascii="Arial" w:cs="Arial" w:eastAsia="Arial" w:hAnsi="Arial"/>
                <w:sz w:val="14"/>
                <w:szCs w:val="14"/>
                <w:b w:val="1"/>
                <w:bCs w:val="1"/>
                <w:color w:val="auto"/>
              </w:rPr>
              <w:t>TWENTY-SIX WEEKS ENDED</w:t>
            </w:r>
          </w:p>
        </w:tc>
        <w:tc>
          <w:tcPr>
            <w:tcW w:w="180" w:type="dxa"/>
            <w:vAlign w:val="bottom"/>
            <w:tcBorders>
              <w:bottom w:val="single" w:sz="8" w:color="auto"/>
            </w:tcBorders>
          </w:tcPr>
          <w:p>
            <w:pPr>
              <w:spacing w:after="0"/>
              <w:rPr>
                <w:sz w:val="17"/>
                <w:szCs w:val="17"/>
                <w:color w:val="auto"/>
              </w:rPr>
            </w:pPr>
          </w:p>
        </w:tc>
      </w:tr>
      <w:tr>
        <w:trPr>
          <w:trHeight w:val="210"/>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JUNE 28, 2020</w:t>
            </w: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rPr>
              <w:t>JUNE 30, 2019</w:t>
            </w: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JUNE 28, 2020</w:t>
            </w: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rPr>
              <w:t>JUNE 30, 2019</w:t>
            </w:r>
          </w:p>
        </w:tc>
        <w:tc>
          <w:tcPr>
            <w:tcW w:w="180" w:type="dxa"/>
            <w:vAlign w:val="bottom"/>
            <w:tcBorders>
              <w:bottom w:val="single" w:sz="8" w:color="auto"/>
            </w:tcBorders>
          </w:tcPr>
          <w:p>
            <w:pPr>
              <w:spacing w:after="0"/>
              <w:rPr>
                <w:sz w:val="18"/>
                <w:szCs w:val="18"/>
                <w:color w:val="auto"/>
              </w:rPr>
            </w:pPr>
          </w:p>
        </w:tc>
      </w:tr>
      <w:tr>
        <w:trPr>
          <w:trHeight w:val="223"/>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2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r>
      <w:tr>
        <w:trPr>
          <w:trHeight w:val="224"/>
        </w:trPr>
        <w:tc>
          <w:tcPr>
            <w:tcW w:w="4760" w:type="dxa"/>
            <w:vAlign w:val="bottom"/>
          </w:tcPr>
          <w:p>
            <w:pPr>
              <w:ind w:left="120"/>
              <w:spacing w:after="0"/>
              <w:rPr>
                <w:sz w:val="20"/>
                <w:szCs w:val="20"/>
                <w:color w:val="auto"/>
              </w:rPr>
            </w:pPr>
            <w:r>
              <w:rPr>
                <w:rFonts w:ascii="Arial" w:cs="Arial" w:eastAsia="Arial" w:hAnsi="Arial"/>
                <w:sz w:val="16"/>
                <w:szCs w:val="16"/>
                <w:color w:val="auto"/>
              </w:rPr>
              <w:t>Restaurant sales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536,767</w:t>
            </w:r>
          </w:p>
        </w:tc>
        <w:tc>
          <w:tcPr>
            <w:tcW w:w="48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900,616</w:t>
            </w:r>
          </w:p>
        </w:tc>
        <w:tc>
          <w:tcPr>
            <w:tcW w:w="50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1,421,656</w:t>
            </w:r>
          </w:p>
        </w:tc>
        <w:tc>
          <w:tcPr>
            <w:tcW w:w="48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1,901,429</w:t>
            </w:r>
          </w:p>
        </w:tc>
        <w:tc>
          <w:tcPr>
            <w:tcW w:w="180" w:type="dxa"/>
            <w:vAlign w:val="bottom"/>
          </w:tcPr>
          <w:p>
            <w:pPr>
              <w:spacing w:after="0"/>
              <w:rPr>
                <w:sz w:val="19"/>
                <w:szCs w:val="19"/>
                <w:color w:val="auto"/>
              </w:rPr>
            </w:pPr>
          </w:p>
        </w:tc>
      </w:tr>
      <w:tr>
        <w:trPr>
          <w:trHeight w:val="33"/>
        </w:trPr>
        <w:tc>
          <w:tcPr>
            <w:tcW w:w="4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63"/>
        </w:trPr>
        <w:tc>
          <w:tcPr>
            <w:tcW w:w="47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Franchise and other revenues</w:t>
            </w:r>
          </w:p>
        </w:tc>
        <w:tc>
          <w:tcPr>
            <w:tcW w:w="2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313</w:t>
            </w:r>
          </w:p>
        </w:tc>
        <w:tc>
          <w:tcPr>
            <w:tcW w:w="1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13,603</w:t>
            </w:r>
          </w:p>
        </w:tc>
        <w:tc>
          <w:tcPr>
            <w:tcW w:w="1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9,921</w:t>
            </w:r>
          </w:p>
        </w:tc>
        <w:tc>
          <w:tcPr>
            <w:tcW w:w="1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27,297</w:t>
            </w:r>
          </w:p>
        </w:tc>
        <w:tc>
          <w:tcPr>
            <w:tcW w:w="180" w:type="dxa"/>
            <w:vAlign w:val="bottom"/>
            <w:tcBorders>
              <w:bottom w:val="single" w:sz="8" w:color="auto"/>
            </w:tcBorders>
            <w:shd w:val="clear" w:color="auto" w:fill="CCEEFF"/>
          </w:tcPr>
          <w:p>
            <w:pPr>
              <w:spacing w:after="0"/>
              <w:rPr>
                <w:sz w:val="22"/>
                <w:szCs w:val="22"/>
                <w:color w:val="auto"/>
              </w:rPr>
            </w:pPr>
          </w:p>
        </w:tc>
      </w:tr>
      <w:tr>
        <w:trPr>
          <w:trHeight w:val="257"/>
        </w:trPr>
        <w:tc>
          <w:tcPr>
            <w:tcW w:w="4760" w:type="dxa"/>
            <w:vAlign w:val="bottom"/>
          </w:tcPr>
          <w:p>
            <w:pPr>
              <w:ind w:left="340"/>
              <w:spacing w:after="0"/>
              <w:rPr>
                <w:sz w:val="20"/>
                <w:szCs w:val="20"/>
                <w:color w:val="auto"/>
              </w:rPr>
            </w:pPr>
            <w:r>
              <w:rPr>
                <w:rFonts w:ascii="Arial" w:cs="Arial" w:eastAsia="Arial" w:hAnsi="Arial"/>
                <w:sz w:val="16"/>
                <w:szCs w:val="16"/>
                <w:color w:val="auto"/>
              </w:rPr>
              <w:t>Total revenues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537,080</w:t>
            </w:r>
          </w:p>
        </w:tc>
        <w:tc>
          <w:tcPr>
            <w:tcW w:w="48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914,219</w:t>
            </w:r>
          </w:p>
        </w:tc>
        <w:tc>
          <w:tcPr>
            <w:tcW w:w="50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1,431,577</w:t>
            </w:r>
          </w:p>
        </w:tc>
        <w:tc>
          <w:tcPr>
            <w:tcW w:w="48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1,928,726</w:t>
            </w:r>
          </w:p>
        </w:tc>
        <w:tc>
          <w:tcPr>
            <w:tcW w:w="180" w:type="dxa"/>
            <w:vAlign w:val="bottom"/>
          </w:tcPr>
          <w:p>
            <w:pPr>
              <w:spacing w:after="0"/>
              <w:rPr>
                <w:sz w:val="22"/>
                <w:szCs w:val="22"/>
                <w:color w:val="auto"/>
              </w:rPr>
            </w:pPr>
          </w:p>
        </w:tc>
      </w:tr>
      <w:tr>
        <w:trPr>
          <w:trHeight w:val="230"/>
        </w:trPr>
        <w:tc>
          <w:tcPr>
            <w:tcW w:w="47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Restaurant-level operating margin</w:t>
            </w: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r>
      <w:tr>
        <w:trPr>
          <w:trHeight w:val="224"/>
        </w:trPr>
        <w:tc>
          <w:tcPr>
            <w:tcW w:w="4760" w:type="dxa"/>
            <w:vAlign w:val="bottom"/>
          </w:tcPr>
          <w:p>
            <w:pPr>
              <w:ind w:left="120"/>
              <w:spacing w:after="0"/>
              <w:rPr>
                <w:sz w:val="20"/>
                <w:szCs w:val="20"/>
                <w:color w:val="auto"/>
              </w:rPr>
            </w:pPr>
            <w:r>
              <w:rPr>
                <w:rFonts w:ascii="Arial" w:cs="Arial" w:eastAsia="Arial" w:hAnsi="Arial"/>
                <w:sz w:val="16"/>
                <w:szCs w:val="16"/>
                <w:color w:val="auto"/>
              </w:rPr>
              <w:t>(Loss) income from operations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(62,921)</w:t>
            </w:r>
          </w:p>
        </w:tc>
        <w:tc>
          <w:tcPr>
            <w:tcW w:w="48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78,814</w:t>
            </w:r>
          </w:p>
        </w:tc>
        <w:tc>
          <w:tcPr>
            <w:tcW w:w="50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(51,542)</w:t>
            </w:r>
          </w:p>
        </w:tc>
        <w:tc>
          <w:tcPr>
            <w:tcW w:w="48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191,849</w:t>
            </w:r>
          </w:p>
        </w:tc>
        <w:tc>
          <w:tcPr>
            <w:tcW w:w="180" w:type="dxa"/>
            <w:vAlign w:val="bottom"/>
          </w:tcPr>
          <w:p>
            <w:pPr>
              <w:spacing w:after="0"/>
              <w:rPr>
                <w:sz w:val="19"/>
                <w:szCs w:val="19"/>
                <w:color w:val="auto"/>
              </w:rPr>
            </w:pPr>
          </w:p>
        </w:tc>
      </w:tr>
      <w:tr>
        <w:trPr>
          <w:trHeight w:val="33"/>
        </w:trPr>
        <w:tc>
          <w:tcPr>
            <w:tcW w:w="4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23"/>
        </w:trPr>
        <w:tc>
          <w:tcPr>
            <w:tcW w:w="4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(loss) income margin</w:t>
            </w: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(11.7)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(3.6)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w:t>
            </w:r>
          </w:p>
        </w:tc>
      </w:tr>
      <w:tr>
        <w:trPr>
          <w:trHeight w:val="33"/>
        </w:trPr>
        <w:tc>
          <w:tcPr>
            <w:tcW w:w="47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Restaurant sales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Following is a summary of the change in U.S. segment Restaurant sales for the periods indicated: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640" w:type="dxa"/>
            <w:vAlign w:val="bottom"/>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240" w:type="dxa"/>
            <w:vAlign w:val="bottom"/>
          </w:tcPr>
          <w:p>
            <w:pPr>
              <w:spacing w:after="0"/>
              <w:rPr>
                <w:sz w:val="17"/>
                <w:szCs w:val="17"/>
                <w:color w:val="auto"/>
              </w:rPr>
            </w:pPr>
          </w:p>
        </w:tc>
        <w:tc>
          <w:tcPr>
            <w:tcW w:w="2480" w:type="dxa"/>
            <w:vAlign w:val="bottom"/>
            <w:gridSpan w:val="2"/>
          </w:tcPr>
          <w:p>
            <w:pPr>
              <w:ind w:left="140"/>
              <w:spacing w:after="0"/>
              <w:rPr>
                <w:sz w:val="20"/>
                <w:szCs w:val="20"/>
                <w:color w:val="auto"/>
              </w:rPr>
            </w:pPr>
            <w:r>
              <w:rPr>
                <w:rFonts w:ascii="Arial" w:cs="Arial" w:eastAsia="Arial" w:hAnsi="Arial"/>
                <w:sz w:val="14"/>
                <w:szCs w:val="14"/>
                <w:b w:val="1"/>
                <w:bCs w:val="1"/>
                <w:color w:val="auto"/>
              </w:rPr>
              <w:t>THIRTEEN WEEKS ENDED</w:t>
            </w:r>
          </w:p>
        </w:tc>
        <w:tc>
          <w:tcPr>
            <w:tcW w:w="260" w:type="dxa"/>
            <w:vAlign w:val="bottom"/>
          </w:tcPr>
          <w:p>
            <w:pPr>
              <w:spacing w:after="0"/>
              <w:rPr>
                <w:sz w:val="17"/>
                <w:szCs w:val="17"/>
                <w:color w:val="auto"/>
              </w:rPr>
            </w:pPr>
          </w:p>
        </w:tc>
        <w:tc>
          <w:tcPr>
            <w:tcW w:w="2620" w:type="dxa"/>
            <w:vAlign w:val="bottom"/>
          </w:tcPr>
          <w:p>
            <w:pPr>
              <w:jc w:val="right"/>
              <w:ind w:right="340"/>
              <w:spacing w:after="0"/>
              <w:rPr>
                <w:sz w:val="20"/>
                <w:szCs w:val="20"/>
                <w:color w:val="auto"/>
              </w:rPr>
            </w:pPr>
            <w:r>
              <w:rPr>
                <w:rFonts w:ascii="Arial" w:cs="Arial" w:eastAsia="Arial" w:hAnsi="Arial"/>
                <w:sz w:val="14"/>
                <w:szCs w:val="14"/>
                <w:b w:val="1"/>
                <w:bCs w:val="1"/>
                <w:color w:val="auto"/>
              </w:rPr>
              <w:t>TWENTY-SIX WEEKS ENDED</w:t>
            </w:r>
          </w:p>
        </w:tc>
      </w:tr>
      <w:tr>
        <w:trPr>
          <w:trHeight w:val="237"/>
        </w:trPr>
        <w:tc>
          <w:tcPr>
            <w:tcW w:w="5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For the periods ended June 30, 2019</w:t>
            </w:r>
          </w:p>
        </w:tc>
        <w:tc>
          <w:tcPr>
            <w:tcW w:w="24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2380" w:type="dxa"/>
            <w:vAlign w:val="bottom"/>
            <w:tcBorders>
              <w:top w:val="single" w:sz="8" w:color="auto"/>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900.6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2620" w:type="dxa"/>
            <w:vAlign w:val="bottom"/>
            <w:tcBorders>
              <w:top w:val="single" w:sz="8" w:color="auto"/>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1,901.4</w:t>
            </w:r>
          </w:p>
        </w:tc>
      </w:tr>
      <w:tr>
        <w:trPr>
          <w:trHeight w:val="223"/>
        </w:trPr>
        <w:tc>
          <w:tcPr>
            <w:tcW w:w="5640" w:type="dxa"/>
            <w:vAlign w:val="bottom"/>
          </w:tcPr>
          <w:p>
            <w:pPr>
              <w:ind w:left="20"/>
              <w:spacing w:after="0"/>
              <w:rPr>
                <w:sz w:val="20"/>
                <w:szCs w:val="20"/>
                <w:color w:val="auto"/>
              </w:rPr>
            </w:pPr>
            <w:r>
              <w:rPr>
                <w:rFonts w:ascii="Arial" w:cs="Arial" w:eastAsia="Arial" w:hAnsi="Arial"/>
                <w:sz w:val="16"/>
                <w:szCs w:val="16"/>
                <w:color w:val="auto"/>
              </w:rPr>
              <w:t>Change from:</w:t>
            </w:r>
          </w:p>
        </w:tc>
        <w:tc>
          <w:tcPr>
            <w:tcW w:w="2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33"/>
        </w:trPr>
        <w:tc>
          <w:tcPr>
            <w:tcW w:w="5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36"/>
        </w:trPr>
        <w:tc>
          <w:tcPr>
            <w:tcW w:w="56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Comparable restaurant sales</w:t>
            </w:r>
          </w:p>
        </w:tc>
        <w:tc>
          <w:tcPr>
            <w:tcW w:w="240" w:type="dxa"/>
            <w:vAlign w:val="bottom"/>
            <w:tcBorders>
              <w:bottom w:val="single" w:sz="8" w:color="CCEEFF"/>
            </w:tcBorders>
            <w:shd w:val="clear" w:color="auto" w:fill="CCEEFF"/>
          </w:tcPr>
          <w:p>
            <w:pPr>
              <w:spacing w:after="0"/>
              <w:rPr>
                <w:sz w:val="20"/>
                <w:szCs w:val="20"/>
                <w:color w:val="auto"/>
              </w:rPr>
            </w:pPr>
          </w:p>
        </w:tc>
        <w:tc>
          <w:tcPr>
            <w:tcW w:w="2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(348.7)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26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(449.7)</w:t>
            </w:r>
          </w:p>
        </w:tc>
      </w:tr>
      <w:tr>
        <w:trPr>
          <w:trHeight w:val="223"/>
        </w:trPr>
        <w:tc>
          <w:tcPr>
            <w:tcW w:w="5640" w:type="dxa"/>
            <w:vAlign w:val="bottom"/>
          </w:tcPr>
          <w:p>
            <w:pPr>
              <w:ind w:left="340"/>
              <w:spacing w:after="0"/>
              <w:rPr>
                <w:sz w:val="20"/>
                <w:szCs w:val="20"/>
                <w:color w:val="auto"/>
              </w:rPr>
            </w:pPr>
            <w:r>
              <w:rPr>
                <w:rFonts w:ascii="Arial" w:cs="Arial" w:eastAsia="Arial" w:hAnsi="Arial"/>
                <w:sz w:val="16"/>
                <w:szCs w:val="16"/>
                <w:color w:val="auto"/>
              </w:rPr>
              <w:t>Restaurant closures</w:t>
            </w:r>
          </w:p>
        </w:tc>
        <w:tc>
          <w:tcPr>
            <w:tcW w:w="240" w:type="dxa"/>
            <w:vAlign w:val="bottom"/>
          </w:tcPr>
          <w:p>
            <w:pPr>
              <w:spacing w:after="0"/>
              <w:rPr>
                <w:sz w:val="19"/>
                <w:szCs w:val="19"/>
                <w:color w:val="auto"/>
              </w:rPr>
            </w:pPr>
          </w:p>
        </w:tc>
        <w:tc>
          <w:tcPr>
            <w:tcW w:w="2380" w:type="dxa"/>
            <w:vAlign w:val="bottom"/>
          </w:tcPr>
          <w:p>
            <w:pPr>
              <w:jc w:val="right"/>
              <w:ind w:right="40"/>
              <w:spacing w:after="0"/>
              <w:rPr>
                <w:sz w:val="20"/>
                <w:szCs w:val="20"/>
                <w:color w:val="auto"/>
              </w:rPr>
            </w:pPr>
            <w:r>
              <w:rPr>
                <w:rFonts w:ascii="Arial" w:cs="Arial" w:eastAsia="Arial" w:hAnsi="Arial"/>
                <w:sz w:val="16"/>
                <w:szCs w:val="16"/>
                <w:color w:val="auto"/>
              </w:rPr>
              <w:t>(14.7)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20" w:type="dxa"/>
            <w:vAlign w:val="bottom"/>
          </w:tcPr>
          <w:p>
            <w:pPr>
              <w:jc w:val="right"/>
              <w:ind w:right="20"/>
              <w:spacing w:after="0"/>
              <w:rPr>
                <w:sz w:val="20"/>
                <w:szCs w:val="20"/>
                <w:color w:val="auto"/>
              </w:rPr>
            </w:pPr>
            <w:r>
              <w:rPr>
                <w:rFonts w:ascii="Arial" w:cs="Arial" w:eastAsia="Arial" w:hAnsi="Arial"/>
                <w:sz w:val="16"/>
                <w:szCs w:val="16"/>
                <w:color w:val="auto"/>
              </w:rPr>
              <w:t>(22.2)</w:t>
            </w:r>
          </w:p>
        </w:tc>
      </w:tr>
      <w:tr>
        <w:trPr>
          <w:trHeight w:val="33"/>
        </w:trPr>
        <w:tc>
          <w:tcPr>
            <w:tcW w:w="5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37"/>
        </w:trPr>
        <w:tc>
          <w:tcPr>
            <w:tcW w:w="56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Restaurant openings</w:t>
            </w:r>
          </w:p>
        </w:tc>
        <w:tc>
          <w:tcPr>
            <w:tcW w:w="240" w:type="dxa"/>
            <w:vAlign w:val="bottom"/>
            <w:tcBorders>
              <w:bottom w:val="single" w:sz="8" w:color="CCEEFF"/>
            </w:tcBorders>
            <w:shd w:val="clear" w:color="auto" w:fill="CCEEFF"/>
          </w:tcPr>
          <w:p>
            <w:pPr>
              <w:spacing w:after="0"/>
              <w:rPr>
                <w:sz w:val="20"/>
                <w:szCs w:val="20"/>
                <w:color w:val="auto"/>
              </w:rPr>
            </w:pPr>
          </w:p>
        </w:tc>
        <w:tc>
          <w:tcPr>
            <w:tcW w:w="2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26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3.4</w:t>
            </w:r>
          </w:p>
        </w:tc>
      </w:tr>
      <w:tr>
        <w:trPr>
          <w:trHeight w:val="270"/>
        </w:trPr>
        <w:tc>
          <w:tcPr>
            <w:tcW w:w="5640" w:type="dxa"/>
            <w:vAlign w:val="bottom"/>
          </w:tcPr>
          <w:p>
            <w:pPr>
              <w:ind w:left="340"/>
              <w:spacing w:after="0"/>
              <w:rPr>
                <w:sz w:val="20"/>
                <w:szCs w:val="20"/>
                <w:color w:val="auto"/>
              </w:rPr>
            </w:pPr>
            <w:r>
              <w:rPr>
                <w:rFonts w:ascii="Arial" w:cs="Arial" w:eastAsia="Arial" w:hAnsi="Arial"/>
                <w:sz w:val="16"/>
                <w:szCs w:val="16"/>
                <w:color w:val="auto"/>
              </w:rPr>
              <w:t>Divestiture of restaurants through refranchising transactions</w:t>
            </w:r>
          </w:p>
        </w:tc>
        <w:tc>
          <w:tcPr>
            <w:tcW w:w="240" w:type="dxa"/>
            <w:vAlign w:val="bottom"/>
          </w:tcPr>
          <w:p>
            <w:pPr>
              <w:spacing w:after="0"/>
              <w:rPr>
                <w:sz w:val="23"/>
                <w:szCs w:val="23"/>
                <w:color w:val="auto"/>
              </w:rPr>
            </w:pPr>
          </w:p>
        </w:tc>
        <w:tc>
          <w:tcPr>
            <w:tcW w:w="24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2620" w:type="dxa"/>
            <w:vAlign w:val="bottom"/>
          </w:tcPr>
          <w:p>
            <w:pPr>
              <w:jc w:val="right"/>
              <w:ind w:right="20"/>
              <w:spacing w:after="0"/>
              <w:rPr>
                <w:sz w:val="20"/>
                <w:szCs w:val="20"/>
                <w:color w:val="auto"/>
              </w:rPr>
            </w:pPr>
            <w:r>
              <w:rPr>
                <w:rFonts w:ascii="Arial" w:cs="Arial" w:eastAsia="Arial" w:hAnsi="Arial"/>
                <w:sz w:val="16"/>
                <w:szCs w:val="16"/>
                <w:color w:val="auto"/>
              </w:rPr>
              <w:t>(11.2)</w:t>
            </w:r>
          </w:p>
        </w:tc>
      </w:tr>
      <w:tr>
        <w:trPr>
          <w:trHeight w:val="272"/>
        </w:trPr>
        <w:tc>
          <w:tcPr>
            <w:tcW w:w="5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For the periods ended June 28, 2020</w:t>
            </w: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238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536.8</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262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1,421.7</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620" w:type="dxa"/>
            <w:vAlign w:val="bottom"/>
            <w:tcBorders>
              <w:top w:val="single" w:sz="8" w:color="CCEEFF"/>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jc w:val="both"/>
        <w:ind w:right="20"/>
        <w:spacing w:after="0" w:line="316" w:lineRule="auto"/>
        <w:rPr>
          <w:sz w:val="20"/>
          <w:szCs w:val="20"/>
          <w:color w:val="auto"/>
        </w:rPr>
      </w:pPr>
      <w:r>
        <w:rPr>
          <w:rFonts w:ascii="Arial" w:cs="Arial" w:eastAsia="Arial" w:hAnsi="Arial"/>
          <w:sz w:val="18"/>
          <w:szCs w:val="18"/>
          <w:color w:val="auto"/>
        </w:rPr>
        <w:t>The decrease in U.S. Restaurant sales during the thirteen weeks ended June 28, 2020 was primarily due to significantly lower comparable restaurant sales principally attributable to the COVID-19 pandemic and the closure of 34 restaurants since March 31, 2019.</w:t>
      </w:r>
    </w:p>
    <w:p>
      <w:pPr>
        <w:spacing w:after="0" w:line="15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decrease in U.S. Restaurant sales during the twenty-six weeks ended June 28, 2020 was primarily due to: (i) significantly lower comparable restaurant sales principally attributable to the COVID-19 pandemic, (ii) the closure of 40 restaurants since December 30, 2018 and (iii) refranchising of certain Company-owned restaurants. The decrease in Restaurant sales was partially offset by the opening of eight new restaurants not included in our comparable restaurant sales base.</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Income from operations</w:t>
      </w:r>
    </w:p>
    <w:p>
      <w:pPr>
        <w:spacing w:after="0" w:line="243"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decrease in U.S. income from operations generated during the thirteen weeks ended June 28, 2020 as compared to the thirteen weeks ended June 30, 2019, was primarily due to: (i) significantly lower comparable restaurant sales and costs incurred in connection with the COVID-19 pandemic, including asset impairment charges, incremental delivery related costs and relief pay (net of tax credits) and (ii) higher labor costs and commodity inflation. These losses were partially offset by: (i) reduced operating, advertising and utilities expense and (ii) cost savings from waste reduction initiatives.</w:t>
      </w:r>
    </w:p>
    <w:p>
      <w:pPr>
        <w:spacing w:after="0" w:line="22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decrease in U.S. income from operations generated during the twenty-six weeks ended June 28, 2020, as compared to income from operations during the twenty-six weeks ended June 30, 2019 was primarily due to: (i) significantly lower comparable restaurant sales and costs incurred in connection with the COVID-19 pandemic,</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348"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including asset impairment charges, incremental delivery related costs and relief pay (net of tax credits) and (ii) higher labor costs and commodity inflation. These losses were partially offset by reduced operating, utilities and advertising expense.</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International Segment</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7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4"/>
                <w:szCs w:val="14"/>
                <w:b w:val="1"/>
                <w:bCs w:val="1"/>
                <w:color w:val="auto"/>
              </w:rPr>
              <w:t>THIRTEEN WEEKS ENDED</w:t>
            </w:r>
          </w:p>
        </w:tc>
        <w:tc>
          <w:tcPr>
            <w:tcW w:w="1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5"/>
          </w:tcPr>
          <w:p>
            <w:pPr>
              <w:jc w:val="right"/>
              <w:ind w:right="320"/>
              <w:spacing w:after="0"/>
              <w:rPr>
                <w:sz w:val="20"/>
                <w:szCs w:val="20"/>
                <w:color w:val="auto"/>
              </w:rPr>
            </w:pPr>
            <w:r>
              <w:rPr>
                <w:rFonts w:ascii="Arial" w:cs="Arial" w:eastAsia="Arial" w:hAnsi="Arial"/>
                <w:sz w:val="14"/>
                <w:szCs w:val="14"/>
                <w:b w:val="1"/>
                <w:bCs w:val="1"/>
                <w:color w:val="auto"/>
              </w:rPr>
              <w:t>TWENTY-SIX WEEKS ENDED</w:t>
            </w:r>
          </w:p>
        </w:tc>
        <w:tc>
          <w:tcPr>
            <w:tcW w:w="180" w:type="dxa"/>
            <w:vAlign w:val="bottom"/>
            <w:tcBorders>
              <w:bottom w:val="single" w:sz="8" w:color="auto"/>
            </w:tcBorders>
          </w:tcPr>
          <w:p>
            <w:pPr>
              <w:spacing w:after="0"/>
              <w:rPr>
                <w:sz w:val="17"/>
                <w:szCs w:val="17"/>
                <w:color w:val="auto"/>
              </w:rPr>
            </w:pPr>
          </w:p>
        </w:tc>
      </w:tr>
      <w:tr>
        <w:trPr>
          <w:trHeight w:val="209"/>
        </w:trPr>
        <w:tc>
          <w:tcPr>
            <w:tcW w:w="476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Pr>
          <w:p>
            <w:pPr>
              <w:spacing w:after="0"/>
              <w:rPr>
                <w:sz w:val="18"/>
                <w:szCs w:val="18"/>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28, 2020</w:t>
            </w:r>
          </w:p>
        </w:tc>
        <w:tc>
          <w:tcPr>
            <w:tcW w:w="220" w:type="dxa"/>
            <w:vAlign w:val="bottom"/>
          </w:tcPr>
          <w:p>
            <w:pPr>
              <w:spacing w:after="0"/>
              <w:rPr>
                <w:sz w:val="18"/>
                <w:szCs w:val="18"/>
                <w:color w:val="auto"/>
              </w:rPr>
            </w:pPr>
          </w:p>
        </w:tc>
        <w:tc>
          <w:tcPr>
            <w:tcW w:w="1140" w:type="dxa"/>
            <w:vAlign w:val="bottom"/>
          </w:tcPr>
          <w:p>
            <w:pPr>
              <w:jc w:val="right"/>
              <w:ind w:right="40"/>
              <w:spacing w:after="0"/>
              <w:rPr>
                <w:sz w:val="20"/>
                <w:szCs w:val="20"/>
                <w:color w:val="auto"/>
              </w:rPr>
            </w:pPr>
            <w:r>
              <w:rPr>
                <w:rFonts w:ascii="Arial" w:cs="Arial" w:eastAsia="Arial" w:hAnsi="Arial"/>
                <w:sz w:val="14"/>
                <w:szCs w:val="14"/>
                <w:b w:val="1"/>
                <w:bCs w:val="1"/>
                <w:color w:val="auto"/>
              </w:rPr>
              <w:t>JUNE 30, 2019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61"/>
              <w:spacing w:after="0"/>
              <w:rPr>
                <w:sz w:val="20"/>
                <w:szCs w:val="20"/>
                <w:color w:val="auto"/>
              </w:rPr>
            </w:pPr>
            <w:r>
              <w:rPr>
                <w:rFonts w:ascii="Arial" w:cs="Arial" w:eastAsia="Arial" w:hAnsi="Arial"/>
                <w:sz w:val="14"/>
                <w:szCs w:val="14"/>
                <w:b w:val="1"/>
                <w:bCs w:val="1"/>
                <w:color w:val="auto"/>
              </w:rPr>
              <w:t>JUNE 28, 2020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60"/>
              <w:spacing w:after="0"/>
              <w:rPr>
                <w:sz w:val="20"/>
                <w:szCs w:val="20"/>
                <w:color w:val="auto"/>
              </w:rPr>
            </w:pPr>
            <w:r>
              <w:rPr>
                <w:rFonts w:ascii="Arial" w:cs="Arial" w:eastAsia="Arial" w:hAnsi="Arial"/>
                <w:sz w:val="14"/>
                <w:szCs w:val="14"/>
                <w:b w:val="1"/>
                <w:bCs w:val="1"/>
                <w:color w:val="auto"/>
              </w:rPr>
              <w:t>JUNE 30, 2019</w:t>
            </w:r>
          </w:p>
        </w:tc>
        <w:tc>
          <w:tcPr>
            <w:tcW w:w="180" w:type="dxa"/>
            <w:vAlign w:val="bottom"/>
          </w:tcPr>
          <w:p>
            <w:pPr>
              <w:spacing w:after="0"/>
              <w:rPr>
                <w:sz w:val="18"/>
                <w:szCs w:val="18"/>
                <w:color w:val="auto"/>
              </w:rPr>
            </w:pPr>
          </w:p>
        </w:tc>
      </w:tr>
      <w:tr>
        <w:trPr>
          <w:trHeight w:val="223"/>
        </w:trPr>
        <w:tc>
          <w:tcPr>
            <w:tcW w:w="4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200" w:type="dxa"/>
            <w:vAlign w:val="bottom"/>
            <w:tcBorders>
              <w:top w:val="single" w:sz="8" w:color="auto"/>
              <w:bottom w:val="single" w:sz="8" w:color="CCEEFF"/>
            </w:tcBorders>
            <w:shd w:val="clear" w:color="auto" w:fill="CCEEFF"/>
          </w:tcPr>
          <w:p>
            <w:pPr>
              <w:spacing w:after="0"/>
              <w:rPr>
                <w:sz w:val="19"/>
                <w:szCs w:val="19"/>
                <w:color w:val="auto"/>
              </w:rPr>
            </w:pPr>
          </w:p>
        </w:tc>
        <w:tc>
          <w:tcPr>
            <w:tcW w:w="134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CCEEFF"/>
            </w:tcBorders>
            <w:shd w:val="clear" w:color="auto" w:fill="CCEEFF"/>
          </w:tcPr>
          <w:p>
            <w:pPr>
              <w:spacing w:after="0"/>
              <w:rPr>
                <w:sz w:val="19"/>
                <w:szCs w:val="19"/>
                <w:color w:val="auto"/>
              </w:rPr>
            </w:pPr>
          </w:p>
        </w:tc>
      </w:tr>
      <w:tr>
        <w:trPr>
          <w:trHeight w:val="223"/>
        </w:trPr>
        <w:tc>
          <w:tcPr>
            <w:tcW w:w="4760" w:type="dxa"/>
            <w:vAlign w:val="bottom"/>
          </w:tcPr>
          <w:p>
            <w:pPr>
              <w:ind w:left="120"/>
              <w:spacing w:after="0"/>
              <w:rPr>
                <w:sz w:val="20"/>
                <w:szCs w:val="20"/>
                <w:color w:val="auto"/>
              </w:rPr>
            </w:pPr>
            <w:r>
              <w:rPr>
                <w:rFonts w:ascii="Arial" w:cs="Arial" w:eastAsia="Arial" w:hAnsi="Arial"/>
                <w:sz w:val="16"/>
                <w:szCs w:val="16"/>
                <w:color w:val="auto"/>
              </w:rPr>
              <w:t>Restaurant sales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41"/>
              <w:spacing w:after="0"/>
              <w:rPr>
                <w:sz w:val="20"/>
                <w:szCs w:val="20"/>
                <w:color w:val="auto"/>
              </w:rPr>
            </w:pPr>
            <w:r>
              <w:rPr>
                <w:rFonts w:ascii="Arial" w:cs="Arial" w:eastAsia="Arial" w:hAnsi="Arial"/>
                <w:sz w:val="16"/>
                <w:szCs w:val="16"/>
                <w:color w:val="auto"/>
              </w:rPr>
              <w:t>39,494</w:t>
            </w:r>
          </w:p>
        </w:tc>
        <w:tc>
          <w:tcPr>
            <w:tcW w:w="10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105,071</w:t>
            </w:r>
          </w:p>
        </w:tc>
        <w:tc>
          <w:tcPr>
            <w:tcW w:w="50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150,842</w:t>
            </w:r>
          </w:p>
        </w:tc>
        <w:tc>
          <w:tcPr>
            <w:tcW w:w="48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215,900</w:t>
            </w:r>
          </w:p>
        </w:tc>
        <w:tc>
          <w:tcPr>
            <w:tcW w:w="180" w:type="dxa"/>
            <w:vAlign w:val="bottom"/>
          </w:tcPr>
          <w:p>
            <w:pPr>
              <w:spacing w:after="0"/>
              <w:rPr>
                <w:sz w:val="19"/>
                <w:szCs w:val="19"/>
                <w:color w:val="auto"/>
              </w:rPr>
            </w:pPr>
          </w:p>
        </w:tc>
      </w:tr>
      <w:tr>
        <w:trPr>
          <w:trHeight w:val="33"/>
        </w:trPr>
        <w:tc>
          <w:tcPr>
            <w:tcW w:w="4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63"/>
        </w:trPr>
        <w:tc>
          <w:tcPr>
            <w:tcW w:w="47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Franchise and other revenues</w:t>
            </w:r>
          </w:p>
        </w:tc>
        <w:tc>
          <w:tcPr>
            <w:tcW w:w="20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1,885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2,640</w:t>
            </w:r>
          </w:p>
        </w:tc>
        <w:tc>
          <w:tcPr>
            <w:tcW w:w="1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4,377</w:t>
            </w:r>
          </w:p>
        </w:tc>
        <w:tc>
          <w:tcPr>
            <w:tcW w:w="1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5,435</w:t>
            </w:r>
          </w:p>
        </w:tc>
        <w:tc>
          <w:tcPr>
            <w:tcW w:w="180" w:type="dxa"/>
            <w:vAlign w:val="bottom"/>
            <w:tcBorders>
              <w:bottom w:val="single" w:sz="8" w:color="auto"/>
            </w:tcBorders>
            <w:shd w:val="clear" w:color="auto" w:fill="CCEEFF"/>
          </w:tcPr>
          <w:p>
            <w:pPr>
              <w:spacing w:after="0"/>
              <w:rPr>
                <w:sz w:val="22"/>
                <w:szCs w:val="22"/>
                <w:color w:val="auto"/>
              </w:rPr>
            </w:pPr>
          </w:p>
        </w:tc>
      </w:tr>
      <w:tr>
        <w:trPr>
          <w:trHeight w:val="257"/>
        </w:trPr>
        <w:tc>
          <w:tcPr>
            <w:tcW w:w="4760" w:type="dxa"/>
            <w:vAlign w:val="bottom"/>
          </w:tcPr>
          <w:p>
            <w:pPr>
              <w:ind w:left="340"/>
              <w:spacing w:after="0"/>
              <w:rPr>
                <w:sz w:val="20"/>
                <w:szCs w:val="20"/>
                <w:color w:val="auto"/>
              </w:rPr>
            </w:pPr>
            <w:r>
              <w:rPr>
                <w:rFonts w:ascii="Arial" w:cs="Arial" w:eastAsia="Arial" w:hAnsi="Arial"/>
                <w:sz w:val="16"/>
                <w:szCs w:val="16"/>
                <w:color w:val="auto"/>
              </w:rPr>
              <w:t>Total revenues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41"/>
              <w:spacing w:after="0"/>
              <w:rPr>
                <w:sz w:val="20"/>
                <w:szCs w:val="20"/>
                <w:color w:val="auto"/>
              </w:rPr>
            </w:pPr>
            <w:r>
              <w:rPr>
                <w:rFonts w:ascii="Arial" w:cs="Arial" w:eastAsia="Arial" w:hAnsi="Arial"/>
                <w:sz w:val="16"/>
                <w:szCs w:val="16"/>
                <w:color w:val="auto"/>
              </w:rPr>
              <w:t>41,379</w:t>
            </w:r>
          </w:p>
        </w:tc>
        <w:tc>
          <w:tcPr>
            <w:tcW w:w="100" w:type="dxa"/>
            <w:vAlign w:val="bottom"/>
          </w:tcPr>
          <w:p>
            <w:pPr>
              <w:spacing w:after="0"/>
              <w:rPr>
                <w:sz w:val="22"/>
                <w:szCs w:val="22"/>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107,711</w:t>
            </w:r>
          </w:p>
        </w:tc>
        <w:tc>
          <w:tcPr>
            <w:tcW w:w="50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155,219</w:t>
            </w:r>
          </w:p>
        </w:tc>
        <w:tc>
          <w:tcPr>
            <w:tcW w:w="48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221,335</w:t>
            </w:r>
          </w:p>
        </w:tc>
        <w:tc>
          <w:tcPr>
            <w:tcW w:w="180" w:type="dxa"/>
            <w:vAlign w:val="bottom"/>
          </w:tcPr>
          <w:p>
            <w:pPr>
              <w:spacing w:after="0"/>
              <w:rPr>
                <w:sz w:val="22"/>
                <w:szCs w:val="22"/>
                <w:color w:val="auto"/>
              </w:rPr>
            </w:pPr>
          </w:p>
        </w:tc>
      </w:tr>
      <w:tr>
        <w:trPr>
          <w:trHeight w:val="230"/>
        </w:trPr>
        <w:tc>
          <w:tcPr>
            <w:tcW w:w="47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Restaurant-level operating margin</w:t>
            </w: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(21.8)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18.4</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r>
      <w:tr>
        <w:trPr>
          <w:trHeight w:val="223"/>
        </w:trPr>
        <w:tc>
          <w:tcPr>
            <w:tcW w:w="4760" w:type="dxa"/>
            <w:vAlign w:val="bottom"/>
          </w:tcPr>
          <w:p>
            <w:pPr>
              <w:ind w:left="120"/>
              <w:spacing w:after="0"/>
              <w:rPr>
                <w:sz w:val="20"/>
                <w:szCs w:val="20"/>
                <w:color w:val="auto"/>
              </w:rPr>
            </w:pPr>
            <w:r>
              <w:rPr>
                <w:rFonts w:ascii="Arial" w:cs="Arial" w:eastAsia="Arial" w:hAnsi="Arial"/>
                <w:sz w:val="16"/>
                <w:szCs w:val="16"/>
                <w:color w:val="auto"/>
              </w:rPr>
              <w:t>(Loss) income from operations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01"/>
              <w:spacing w:after="0"/>
              <w:rPr>
                <w:sz w:val="20"/>
                <w:szCs w:val="20"/>
                <w:color w:val="auto"/>
              </w:rPr>
            </w:pPr>
            <w:r>
              <w:rPr>
                <w:rFonts w:ascii="Arial" w:cs="Arial" w:eastAsia="Arial" w:hAnsi="Arial"/>
                <w:sz w:val="16"/>
                <w:szCs w:val="16"/>
                <w:color w:val="auto"/>
              </w:rPr>
              <w:t>(17,070)</w:t>
            </w:r>
          </w:p>
        </w:tc>
        <w:tc>
          <w:tcPr>
            <w:tcW w:w="10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6,909</w:t>
            </w:r>
          </w:p>
        </w:tc>
        <w:tc>
          <w:tcPr>
            <w:tcW w:w="50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(10,283)</w:t>
            </w:r>
          </w:p>
        </w:tc>
        <w:tc>
          <w:tcPr>
            <w:tcW w:w="48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20,629</w:t>
            </w:r>
          </w:p>
        </w:tc>
        <w:tc>
          <w:tcPr>
            <w:tcW w:w="180" w:type="dxa"/>
            <w:vAlign w:val="bottom"/>
          </w:tcPr>
          <w:p>
            <w:pPr>
              <w:spacing w:after="0"/>
              <w:rPr>
                <w:sz w:val="19"/>
                <w:szCs w:val="19"/>
                <w:color w:val="auto"/>
              </w:rPr>
            </w:pPr>
          </w:p>
        </w:tc>
      </w:tr>
      <w:tr>
        <w:trPr>
          <w:trHeight w:val="33"/>
        </w:trPr>
        <w:tc>
          <w:tcPr>
            <w:tcW w:w="4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24"/>
        </w:trPr>
        <w:tc>
          <w:tcPr>
            <w:tcW w:w="4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(loss) income margin</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(6.6)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w:t>
            </w:r>
          </w:p>
        </w:tc>
      </w:tr>
      <w:tr>
        <w:trPr>
          <w:trHeight w:val="33"/>
        </w:trPr>
        <w:tc>
          <w:tcPr>
            <w:tcW w:w="47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Restaurant sales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Following is a summary of the change in international segment Restaurant sales for the periods indicated:</w:t>
      </w:r>
    </w:p>
    <w:p>
      <w:pPr>
        <w:sectPr>
          <w:pgSz w:w="11900" w:h="16838" w:orient="portrait"/>
          <w:cols w:equalWidth="0" w:num="1">
            <w:col w:w="11240"/>
          </w:cols>
          <w:pgMar w:left="320" w:top="122" w:right="339" w:bottom="1440" w:gutter="0" w:footer="0" w:header="0"/>
        </w:sectPr>
      </w:pPr>
    </w:p>
    <w:p>
      <w:pPr>
        <w:spacing w:after="0" w:line="15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(dollars in millions)</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6"/>
          <w:szCs w:val="16"/>
          <w:color w:val="auto"/>
        </w:rPr>
        <w:t>For the periods ended June 30, 2019</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Change from:</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Comparable restaurant sales</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4"/>
          <w:szCs w:val="14"/>
          <w:color w:val="auto"/>
        </w:rPr>
        <w:t>Effect of foreign currency translation</w:t>
      </w:r>
    </w:p>
    <w:p>
      <w:pPr>
        <w:spacing w:after="0" w:line="9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Restaurant closures</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Restaurant openings</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6"/>
          <w:szCs w:val="16"/>
          <w:color w:val="auto"/>
        </w:rPr>
        <w:t>For the periods ended June 28, 2020</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5"/>
        </w:trPr>
        <w:tc>
          <w:tcPr>
            <w:tcW w:w="240" w:type="dxa"/>
            <w:vAlign w:val="bottom"/>
          </w:tcPr>
          <w:p>
            <w:pPr>
              <w:spacing w:after="0"/>
              <w:rPr>
                <w:sz w:val="17"/>
                <w:szCs w:val="17"/>
                <w:color w:val="auto"/>
              </w:rPr>
            </w:pPr>
          </w:p>
        </w:tc>
        <w:tc>
          <w:tcPr>
            <w:tcW w:w="2480" w:type="dxa"/>
            <w:vAlign w:val="bottom"/>
            <w:gridSpan w:val="2"/>
          </w:tcPr>
          <w:p>
            <w:pPr>
              <w:ind w:left="140"/>
              <w:spacing w:after="0"/>
              <w:rPr>
                <w:sz w:val="20"/>
                <w:szCs w:val="20"/>
                <w:color w:val="auto"/>
              </w:rPr>
            </w:pPr>
            <w:r>
              <w:rPr>
                <w:rFonts w:ascii="Arial" w:cs="Arial" w:eastAsia="Arial" w:hAnsi="Arial"/>
                <w:sz w:val="14"/>
                <w:szCs w:val="14"/>
                <w:b w:val="1"/>
                <w:bCs w:val="1"/>
                <w:color w:val="auto"/>
              </w:rPr>
              <w:t>THIRTEEN WEEKS ENDED</w:t>
            </w:r>
          </w:p>
        </w:tc>
        <w:tc>
          <w:tcPr>
            <w:tcW w:w="260" w:type="dxa"/>
            <w:vAlign w:val="bottom"/>
          </w:tcPr>
          <w:p>
            <w:pPr>
              <w:spacing w:after="0"/>
              <w:rPr>
                <w:sz w:val="17"/>
                <w:szCs w:val="17"/>
                <w:color w:val="auto"/>
              </w:rPr>
            </w:pPr>
          </w:p>
        </w:tc>
        <w:tc>
          <w:tcPr>
            <w:tcW w:w="2620" w:type="dxa"/>
            <w:vAlign w:val="bottom"/>
          </w:tcPr>
          <w:p>
            <w:pPr>
              <w:jc w:val="right"/>
              <w:ind w:right="340"/>
              <w:spacing w:after="0"/>
              <w:rPr>
                <w:sz w:val="20"/>
                <w:szCs w:val="20"/>
                <w:color w:val="auto"/>
              </w:rPr>
            </w:pPr>
            <w:r>
              <w:rPr>
                <w:rFonts w:ascii="Arial" w:cs="Arial" w:eastAsia="Arial" w:hAnsi="Arial"/>
                <w:sz w:val="14"/>
                <w:szCs w:val="14"/>
                <w:b w:val="1"/>
                <w:bCs w:val="1"/>
                <w:color w:val="auto"/>
              </w:rPr>
              <w:t>TWENTY-SIX WEEKS ENDED</w:t>
            </w:r>
          </w:p>
        </w:tc>
      </w:tr>
      <w:tr>
        <w:trPr>
          <w:trHeight w:val="224"/>
        </w:trPr>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238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105.1</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262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215.9</w:t>
            </w:r>
          </w:p>
        </w:tc>
      </w:tr>
      <w:tr>
        <w:trPr>
          <w:trHeight w:val="513"/>
        </w:trPr>
        <w:tc>
          <w:tcPr>
            <w:tcW w:w="240" w:type="dxa"/>
            <w:vAlign w:val="bottom"/>
          </w:tcPr>
          <w:p>
            <w:pPr>
              <w:spacing w:after="0"/>
              <w:rPr>
                <w:sz w:val="24"/>
                <w:szCs w:val="24"/>
                <w:color w:val="auto"/>
              </w:rPr>
            </w:pPr>
          </w:p>
        </w:tc>
        <w:tc>
          <w:tcPr>
            <w:tcW w:w="2380" w:type="dxa"/>
            <w:vAlign w:val="bottom"/>
          </w:tcPr>
          <w:p>
            <w:pPr>
              <w:jc w:val="right"/>
              <w:ind w:right="40"/>
              <w:spacing w:after="0"/>
              <w:rPr>
                <w:sz w:val="20"/>
                <w:szCs w:val="20"/>
                <w:color w:val="auto"/>
              </w:rPr>
            </w:pPr>
            <w:r>
              <w:rPr>
                <w:rFonts w:ascii="Arial" w:cs="Arial" w:eastAsia="Arial" w:hAnsi="Arial"/>
                <w:sz w:val="16"/>
                <w:szCs w:val="16"/>
                <w:color w:val="auto"/>
              </w:rPr>
              <w:t>(59.4)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20" w:type="dxa"/>
            <w:vAlign w:val="bottom"/>
          </w:tcPr>
          <w:p>
            <w:pPr>
              <w:jc w:val="right"/>
              <w:ind w:right="20"/>
              <w:spacing w:after="0"/>
              <w:rPr>
                <w:sz w:val="20"/>
                <w:szCs w:val="20"/>
                <w:color w:val="auto"/>
              </w:rPr>
            </w:pPr>
            <w:r>
              <w:rPr>
                <w:rFonts w:ascii="Arial" w:cs="Arial" w:eastAsia="Arial" w:hAnsi="Arial"/>
                <w:sz w:val="16"/>
                <w:szCs w:val="16"/>
                <w:color w:val="auto"/>
              </w:rPr>
              <w:t>(55.6)</w:t>
            </w:r>
          </w:p>
        </w:tc>
      </w:tr>
      <w:tr>
        <w:trPr>
          <w:trHeight w:val="257"/>
        </w:trPr>
        <w:tc>
          <w:tcPr>
            <w:tcW w:w="240" w:type="dxa"/>
            <w:vAlign w:val="bottom"/>
          </w:tcPr>
          <w:p>
            <w:pPr>
              <w:spacing w:after="0"/>
              <w:rPr>
                <w:sz w:val="22"/>
                <w:szCs w:val="22"/>
                <w:color w:val="auto"/>
              </w:rPr>
            </w:pPr>
          </w:p>
        </w:tc>
        <w:tc>
          <w:tcPr>
            <w:tcW w:w="2380" w:type="dxa"/>
            <w:vAlign w:val="bottom"/>
          </w:tcPr>
          <w:p>
            <w:pPr>
              <w:jc w:val="right"/>
              <w:ind w:right="40"/>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20" w:type="dxa"/>
            <w:vAlign w:val="bottom"/>
          </w:tcPr>
          <w:p>
            <w:pPr>
              <w:jc w:val="right"/>
              <w:ind w:right="20"/>
              <w:spacing w:after="0"/>
              <w:rPr>
                <w:sz w:val="20"/>
                <w:szCs w:val="20"/>
                <w:color w:val="auto"/>
              </w:rPr>
            </w:pPr>
            <w:r>
              <w:rPr>
                <w:rFonts w:ascii="Arial" w:cs="Arial" w:eastAsia="Arial" w:hAnsi="Arial"/>
                <w:sz w:val="16"/>
                <w:szCs w:val="16"/>
                <w:color w:val="auto"/>
              </w:rPr>
              <w:t>(18.7)</w:t>
            </w:r>
          </w:p>
        </w:tc>
      </w:tr>
      <w:tr>
        <w:trPr>
          <w:trHeight w:val="256"/>
        </w:trPr>
        <w:tc>
          <w:tcPr>
            <w:tcW w:w="240" w:type="dxa"/>
            <w:vAlign w:val="bottom"/>
          </w:tcPr>
          <w:p>
            <w:pPr>
              <w:spacing w:after="0"/>
              <w:rPr>
                <w:sz w:val="22"/>
                <w:szCs w:val="22"/>
                <w:color w:val="auto"/>
              </w:rPr>
            </w:pPr>
          </w:p>
        </w:tc>
        <w:tc>
          <w:tcPr>
            <w:tcW w:w="2380" w:type="dxa"/>
            <w:vAlign w:val="bottom"/>
          </w:tcPr>
          <w:p>
            <w:pPr>
              <w:jc w:val="right"/>
              <w:ind w:right="40"/>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20" w:type="dxa"/>
            <w:vAlign w:val="bottom"/>
          </w:tcPr>
          <w:p>
            <w:pPr>
              <w:jc w:val="right"/>
              <w:ind w:right="20"/>
              <w:spacing w:after="0"/>
              <w:rPr>
                <w:sz w:val="20"/>
                <w:szCs w:val="20"/>
                <w:color w:val="auto"/>
              </w:rPr>
            </w:pPr>
            <w:r>
              <w:rPr>
                <w:rFonts w:ascii="Arial" w:cs="Arial" w:eastAsia="Arial" w:hAnsi="Arial"/>
                <w:sz w:val="16"/>
                <w:szCs w:val="16"/>
                <w:color w:val="auto"/>
              </w:rPr>
              <w:t>(1.6)</w:t>
            </w:r>
          </w:p>
        </w:tc>
      </w:tr>
      <w:tr>
        <w:trPr>
          <w:trHeight w:val="257"/>
        </w:trPr>
        <w:tc>
          <w:tcPr>
            <w:tcW w:w="240" w:type="dxa"/>
            <w:vAlign w:val="bottom"/>
          </w:tcPr>
          <w:p>
            <w:pPr>
              <w:spacing w:after="0"/>
              <w:rPr>
                <w:sz w:val="22"/>
                <w:szCs w:val="22"/>
                <w:color w:val="auto"/>
              </w:rPr>
            </w:pPr>
          </w:p>
        </w:tc>
        <w:tc>
          <w:tcPr>
            <w:tcW w:w="2380" w:type="dxa"/>
            <w:vAlign w:val="bottom"/>
          </w:tcPr>
          <w:p>
            <w:pPr>
              <w:jc w:val="right"/>
              <w:ind w:right="80"/>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20" w:type="dxa"/>
            <w:vAlign w:val="bottom"/>
          </w:tcPr>
          <w:p>
            <w:pPr>
              <w:jc w:val="right"/>
              <w:ind w:right="60"/>
              <w:spacing w:after="0"/>
              <w:rPr>
                <w:sz w:val="20"/>
                <w:szCs w:val="20"/>
                <w:color w:val="auto"/>
              </w:rPr>
            </w:pPr>
            <w:r>
              <w:rPr>
                <w:rFonts w:ascii="Arial" w:cs="Arial" w:eastAsia="Arial" w:hAnsi="Arial"/>
                <w:sz w:val="16"/>
                <w:szCs w:val="16"/>
                <w:color w:val="auto"/>
              </w:rPr>
              <w:t>10.8</w:t>
            </w:r>
          </w:p>
        </w:tc>
      </w:tr>
      <w:tr>
        <w:trPr>
          <w:trHeight w:val="40"/>
        </w:trPr>
        <w:tc>
          <w:tcPr>
            <w:tcW w:w="240" w:type="dxa"/>
            <w:vAlign w:val="bottom"/>
            <w:tcBorders>
              <w:bottom w:val="single" w:sz="8" w:color="auto"/>
            </w:tcBorders>
          </w:tcPr>
          <w:p>
            <w:pPr>
              <w:spacing w:after="0"/>
              <w:rPr>
                <w:sz w:val="3"/>
                <w:szCs w:val="3"/>
                <w:color w:val="auto"/>
              </w:rPr>
            </w:pPr>
          </w:p>
        </w:tc>
        <w:tc>
          <w:tcPr>
            <w:tcW w:w="2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620" w:type="dxa"/>
            <w:vAlign w:val="bottom"/>
            <w:tcBorders>
              <w:bottom w:val="single" w:sz="8" w:color="auto"/>
            </w:tcBorders>
          </w:tcPr>
          <w:p>
            <w:pPr>
              <w:spacing w:after="0"/>
              <w:rPr>
                <w:sz w:val="3"/>
                <w:szCs w:val="3"/>
                <w:color w:val="auto"/>
              </w:rPr>
            </w:pPr>
          </w:p>
        </w:tc>
      </w:tr>
      <w:tr>
        <w:trPr>
          <w:trHeight w:val="223"/>
        </w:trPr>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2380" w:type="dxa"/>
            <w:vAlign w:val="bottom"/>
          </w:tcPr>
          <w:p>
            <w:pPr>
              <w:jc w:val="right"/>
              <w:ind w:right="80"/>
              <w:spacing w:after="0"/>
              <w:rPr>
                <w:sz w:val="20"/>
                <w:szCs w:val="20"/>
                <w:color w:val="auto"/>
              </w:rPr>
            </w:pPr>
            <w:r>
              <w:rPr>
                <w:rFonts w:ascii="Arial" w:cs="Arial" w:eastAsia="Arial" w:hAnsi="Arial"/>
                <w:sz w:val="16"/>
                <w:szCs w:val="16"/>
                <w:color w:val="auto"/>
              </w:rPr>
              <w:t>39.5</w:t>
            </w:r>
          </w:p>
        </w:tc>
        <w:tc>
          <w:tcPr>
            <w:tcW w:w="10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2620" w:type="dxa"/>
            <w:vAlign w:val="bottom"/>
          </w:tcPr>
          <w:p>
            <w:pPr>
              <w:jc w:val="right"/>
              <w:ind w:right="60"/>
              <w:spacing w:after="0"/>
              <w:rPr>
                <w:sz w:val="20"/>
                <w:szCs w:val="20"/>
                <w:color w:val="auto"/>
              </w:rPr>
            </w:pPr>
            <w:r>
              <w:rPr>
                <w:rFonts w:ascii="Arial" w:cs="Arial" w:eastAsia="Arial" w:hAnsi="Arial"/>
                <w:sz w:val="16"/>
                <w:szCs w:val="16"/>
                <w:color w:val="auto"/>
              </w:rPr>
              <w:t>150.8</w:t>
            </w:r>
          </w:p>
        </w:tc>
      </w:tr>
      <w:tr>
        <w:trPr>
          <w:trHeight w:val="33"/>
        </w:trPr>
        <w:tc>
          <w:tcPr>
            <w:tcW w:w="24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r>
      <w:tr>
        <w:trPr>
          <w:trHeight w:val="21"/>
        </w:trPr>
        <w:tc>
          <w:tcPr>
            <w:tcW w:w="24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-1199515</wp:posOffset>
            </wp:positionV>
            <wp:extent cx="7132320"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-864870</wp:posOffset>
            </wp:positionV>
            <wp:extent cx="7132320" cy="1625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-539115</wp:posOffset>
            </wp:positionV>
            <wp:extent cx="7132320" cy="1631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-205105</wp:posOffset>
            </wp:positionV>
            <wp:extent cx="7132320" cy="1885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20" w:space="720"/>
            <w:col w:w="5600"/>
          </w:cols>
          <w:pgMar w:left="320" w:top="122" w:right="339" w:bottom="1440" w:gutter="0" w:footer="0" w:header="0"/>
          <w:type w:val="continuous"/>
        </w:sectPr>
      </w:pPr>
    </w:p>
    <w:p>
      <w:pPr>
        <w:spacing w:after="0" w:line="9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decrease in international Restaurant sales during the thirteen weeks ended June 28, 2020 was primarily due to significantly lower comparable restaurant sales principally attributable to the COVID-19 pandemic and the effect of foreign currency translation of the Brazilian Real relative to the U.S. dollar. The decrease in Restaurant sales was partially offset by the opening of 18 new restaurants not included in our comparable restaurant sales base.</w:t>
      </w:r>
    </w:p>
    <w:p>
      <w:pPr>
        <w:spacing w:after="0" w:line="21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decrease in international Restaurant sales during the twenty-six weeks ended June 28, 2020 was primarily due to significantly lower comparable restaurant sales principally attributable to the COVID-19 pandemic and the effect of foreign currency translation of the Brazilian Real relative to the U.S. dollar. The decrease in Restaurant sales was partially offset by the opening of 20 new restaurants not included in our comparable restaurant sales base.</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Income from operations</w:t>
      </w:r>
    </w:p>
    <w:p>
      <w:pPr>
        <w:spacing w:after="0" w:line="243"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The decrease in international income from operations during the thirteen weeks ended June 28, 2020 as compared to the thirteen weeks ended June 30, 2019 was primarily due to: (i) significantly lower comparable restaurant sales and costs incurred in connection with the COVID-19 pandemic, including incremental delivery related costs and inventory obsolescence and (ii) commodity inflation. These decreases were partially offset by reduced utility, operating, rent and advertising expense and lower labor costs.</w:t>
      </w:r>
    </w:p>
    <w:p>
      <w:pPr>
        <w:spacing w:after="0" w:line="20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decrease in international income from operations during the twenty-six weeks ended June 28, 2020 as compared to the twenty-six weeks ended June 30, 2019 was primarily due to: (i) significantly lower comparable restaurant sales and costs incurred in connection with the COVID-19 pandemic, including inventory obsolescence</w:t>
      </w:r>
    </w:p>
    <w:p>
      <w:pPr>
        <w:sectPr>
          <w:pgSz w:w="11900" w:h="16838" w:orient="portrait"/>
          <w:cols w:equalWidth="0" w:num="1">
            <w:col w:w="11240"/>
          </w:cols>
          <w:pgMar w:left="320" w:top="122" w:right="339" w:bottom="1440" w:gutter="0" w:footer="0" w:header="0"/>
          <w:type w:val="continuous"/>
        </w:sect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6" w:name="page47"/>
    <w:bookmarkEnd w:id="4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348"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and incremental delivery related costs and (ii) commodity inflation. These decreases were partially offset by reduced advertising, utility and rent expense and lower labor costs.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Measures</w:t>
      </w:r>
    </w:p>
    <w:p>
      <w:pPr>
        <w:spacing w:after="0" w:line="249" w:lineRule="exact"/>
        <w:rPr>
          <w:sz w:val="20"/>
          <w:szCs w:val="20"/>
          <w:color w:val="auto"/>
        </w:rPr>
      </w:pPr>
    </w:p>
    <w:p>
      <w:pPr>
        <w:jc w:val="both"/>
        <w:spacing w:after="0" w:line="244" w:lineRule="auto"/>
        <w:rPr>
          <w:sz w:val="20"/>
          <w:szCs w:val="20"/>
          <w:color w:val="auto"/>
        </w:rPr>
      </w:pPr>
      <w:r>
        <w:rPr>
          <w:rFonts w:ascii="Arial" w:cs="Arial" w:eastAsia="Arial" w:hAnsi="Arial"/>
          <w:sz w:val="20"/>
          <w:szCs w:val="20"/>
          <w:i w:val="1"/>
          <w:iCs w:val="1"/>
          <w:color w:val="auto"/>
        </w:rPr>
        <w:t xml:space="preserve">System-Wide Sales - </w:t>
      </w:r>
      <w:r>
        <w:rPr>
          <w:rFonts w:ascii="Arial" w:cs="Arial" w:eastAsia="Arial" w:hAnsi="Arial"/>
          <w:sz w:val="20"/>
          <w:szCs w:val="20"/>
          <w:color w:val="auto"/>
        </w:rPr>
        <w:t>System-wide sales is a non-GAAP financial measure that includes sales of all restaurants operating under our brand</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names, whether we own them or not. Management uses this information to make decisions about future plans for the development of additional restaurants and new concepts, as well as evaluation of current operations. System-wide sales comprise sales of Company-owned and franchised restaurants. For a summary of sales of Company-owned restaurants, refer to Note 3 </w:t>
      </w:r>
      <w:r>
        <w:rPr>
          <w:rFonts w:ascii="Arial" w:cs="Arial" w:eastAsia="Arial" w:hAnsi="Arial"/>
          <w:sz w:val="17"/>
          <w:szCs w:val="17"/>
          <w:color w:val="auto"/>
        </w:rPr>
        <w:t>-</w:t>
      </w:r>
      <w:r>
        <w:rPr>
          <w:rFonts w:ascii="Arial" w:cs="Arial" w:eastAsia="Arial" w:hAnsi="Arial"/>
          <w:sz w:val="20"/>
          <w:szCs w:val="20"/>
          <w:color w:val="auto"/>
        </w:rPr>
        <w:t xml:space="preserve"> </w:t>
      </w:r>
      <w:r>
        <w:rPr>
          <w:rFonts w:ascii="Arial" w:cs="Arial" w:eastAsia="Arial" w:hAnsi="Arial"/>
          <w:sz w:val="20"/>
          <w:szCs w:val="20"/>
          <w:i w:val="1"/>
          <w:iCs w:val="1"/>
          <w:color w:val="auto"/>
        </w:rPr>
        <w:t>Revenue Recognition</w:t>
      </w:r>
      <w:r>
        <w:rPr>
          <w:rFonts w:ascii="Arial" w:cs="Arial" w:eastAsia="Arial" w:hAnsi="Arial"/>
          <w:sz w:val="20"/>
          <w:szCs w:val="20"/>
          <w:color w:val="auto"/>
        </w:rPr>
        <w:t xml:space="preserve"> of the Notes to Consolidated Financial Statements.</w:t>
      </w:r>
    </w:p>
    <w:p>
      <w:pPr>
        <w:spacing w:after="0" w:line="22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following table provides a summary of sales of franchised restaurants, which are not included in our consolidated financial results. Franchise sales within this table do not represent our sales and are presented only as an indicator of changes in the restaurant system, which management believes is important information regarding the health of our restaurant concepts and in determining our royalties and/or service fees.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9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4"/>
          </w:tcPr>
          <w:p>
            <w:pPr>
              <w:jc w:val="right"/>
              <w:ind w:right="520"/>
              <w:spacing w:after="0"/>
              <w:rPr>
                <w:sz w:val="20"/>
                <w:szCs w:val="20"/>
                <w:color w:val="auto"/>
              </w:rPr>
            </w:pPr>
            <w:r>
              <w:rPr>
                <w:rFonts w:ascii="Arial" w:cs="Arial" w:eastAsia="Arial" w:hAnsi="Arial"/>
                <w:sz w:val="14"/>
                <w:szCs w:val="14"/>
                <w:b w:val="1"/>
                <w:bCs w:val="1"/>
                <w:color w:val="auto"/>
              </w:rPr>
              <w:t>THIRTEEN WEEKS ENDED</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4"/>
          </w:tcPr>
          <w:p>
            <w:pPr>
              <w:jc w:val="right"/>
              <w:ind w:right="460"/>
              <w:spacing w:after="0"/>
              <w:rPr>
                <w:sz w:val="20"/>
                <w:szCs w:val="20"/>
                <w:color w:val="auto"/>
              </w:rPr>
            </w:pPr>
            <w:r>
              <w:rPr>
                <w:rFonts w:ascii="Arial" w:cs="Arial" w:eastAsia="Arial" w:hAnsi="Arial"/>
                <w:sz w:val="14"/>
                <w:szCs w:val="14"/>
                <w:b w:val="1"/>
                <w:bCs w:val="1"/>
                <w:color w:val="auto"/>
              </w:rPr>
              <w:t>TWENTY-SIX WEEKS ENDED</w:t>
            </w:r>
          </w:p>
        </w:tc>
        <w:tc>
          <w:tcPr>
            <w:tcW w:w="0" w:type="dxa"/>
            <w:vAlign w:val="bottom"/>
          </w:tcPr>
          <w:p>
            <w:pPr>
              <w:spacing w:after="0"/>
              <w:rPr>
                <w:sz w:val="1"/>
                <w:szCs w:val="1"/>
                <w:color w:val="auto"/>
              </w:rPr>
            </w:pPr>
          </w:p>
        </w:tc>
      </w:tr>
      <w:tr>
        <w:trPr>
          <w:trHeight w:val="210"/>
        </w:trPr>
        <w:tc>
          <w:tcPr>
            <w:tcW w:w="4940" w:type="dxa"/>
            <w:vAlign w:val="bottom"/>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80" w:type="dxa"/>
            <w:vAlign w:val="bottom"/>
          </w:tcPr>
          <w:p>
            <w:pPr>
              <w:spacing w:after="0"/>
              <w:rPr>
                <w:sz w:val="18"/>
                <w:szCs w:val="18"/>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28, 2020</w:t>
            </w:r>
          </w:p>
        </w:tc>
        <w:tc>
          <w:tcPr>
            <w:tcW w:w="200" w:type="dxa"/>
            <w:vAlign w:val="bottom"/>
          </w:tcPr>
          <w:p>
            <w:pPr>
              <w:spacing w:after="0"/>
              <w:rPr>
                <w:sz w:val="18"/>
                <w:szCs w:val="18"/>
                <w:color w:val="auto"/>
              </w:rPr>
            </w:pPr>
          </w:p>
        </w:tc>
        <w:tc>
          <w:tcPr>
            <w:tcW w:w="142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2019</w:t>
            </w:r>
          </w:p>
        </w:tc>
        <w:tc>
          <w:tcPr>
            <w:tcW w:w="200" w:type="dxa"/>
            <w:vAlign w:val="bottom"/>
          </w:tcPr>
          <w:p>
            <w:pPr>
              <w:spacing w:after="0"/>
              <w:rPr>
                <w:sz w:val="18"/>
                <w:szCs w:val="18"/>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28, 2020</w:t>
            </w:r>
          </w:p>
        </w:tc>
        <w:tc>
          <w:tcPr>
            <w:tcW w:w="200" w:type="dxa"/>
            <w:vAlign w:val="bottom"/>
          </w:tcPr>
          <w:p>
            <w:pPr>
              <w:spacing w:after="0"/>
              <w:rPr>
                <w:sz w:val="18"/>
                <w:szCs w:val="18"/>
                <w:color w:val="auto"/>
              </w:rPr>
            </w:pPr>
          </w:p>
        </w:tc>
        <w:tc>
          <w:tcPr>
            <w:tcW w:w="1300" w:type="dxa"/>
            <w:vAlign w:val="bottom"/>
          </w:tcPr>
          <w:p>
            <w:pPr>
              <w:jc w:val="right"/>
              <w:ind w:right="220"/>
              <w:spacing w:after="0"/>
              <w:rPr>
                <w:sz w:val="20"/>
                <w:szCs w:val="20"/>
                <w:color w:val="auto"/>
              </w:rPr>
            </w:pPr>
            <w:r>
              <w:rPr>
                <w:rFonts w:ascii="Arial" w:cs="Arial" w:eastAsia="Arial" w:hAnsi="Arial"/>
                <w:sz w:val="14"/>
                <w:szCs w:val="14"/>
                <w:b w:val="1"/>
                <w:bCs w:val="1"/>
                <w:color w:val="auto"/>
              </w:rPr>
              <w:t>JUNE 30, 2019</w:t>
            </w:r>
          </w:p>
        </w:tc>
        <w:tc>
          <w:tcPr>
            <w:tcW w:w="0" w:type="dxa"/>
            <w:vAlign w:val="bottom"/>
          </w:tcPr>
          <w:p>
            <w:pPr>
              <w:spacing w:after="0"/>
              <w:rPr>
                <w:sz w:val="1"/>
                <w:szCs w:val="1"/>
                <w:color w:val="auto"/>
              </w:rPr>
            </w:pPr>
          </w:p>
        </w:tc>
      </w:tr>
      <w:tr>
        <w:trPr>
          <w:trHeight w:val="223"/>
        </w:trPr>
        <w:tc>
          <w:tcPr>
            <w:tcW w:w="4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U.S.</w:t>
            </w:r>
          </w:p>
        </w:tc>
        <w:tc>
          <w:tcPr>
            <w:tcW w:w="180" w:type="dxa"/>
            <w:vAlign w:val="bottom"/>
            <w:tcBorders>
              <w:top w:val="single" w:sz="8" w:color="auto"/>
              <w:bottom w:val="single" w:sz="8" w:color="CCEEFF"/>
            </w:tcBorders>
            <w:shd w:val="clear" w:color="auto" w:fill="CCEEFF"/>
          </w:tcPr>
          <w:p>
            <w:pPr>
              <w:spacing w:after="0"/>
              <w:rPr>
                <w:sz w:val="19"/>
                <w:szCs w:val="19"/>
                <w:color w:val="auto"/>
              </w:rPr>
            </w:pPr>
          </w:p>
        </w:tc>
        <w:tc>
          <w:tcPr>
            <w:tcW w:w="130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CCEEFF"/>
            </w:tcBorders>
            <w:shd w:val="clear" w:color="auto" w:fill="CCEEFF"/>
          </w:tcPr>
          <w:p>
            <w:pPr>
              <w:spacing w:after="0"/>
              <w:rPr>
                <w:sz w:val="19"/>
                <w:szCs w:val="19"/>
                <w:color w:val="auto"/>
              </w:rPr>
            </w:pPr>
          </w:p>
        </w:tc>
        <w:tc>
          <w:tcPr>
            <w:tcW w:w="130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CCEEFF"/>
            </w:tcBorders>
            <w:shd w:val="clear" w:color="auto" w:fill="CCEEFF"/>
          </w:tcPr>
          <w:p>
            <w:pPr>
              <w:spacing w:after="0"/>
              <w:rPr>
                <w:sz w:val="19"/>
                <w:szCs w:val="19"/>
                <w:color w:val="auto"/>
              </w:rPr>
            </w:pPr>
          </w:p>
        </w:tc>
        <w:tc>
          <w:tcPr>
            <w:tcW w:w="130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CCEEFF"/>
            </w:tcBorders>
            <w:shd w:val="clear" w:color="auto" w:fill="CCEEFF"/>
          </w:tcPr>
          <w:p>
            <w:pPr>
              <w:spacing w:after="0"/>
              <w:rPr>
                <w:sz w:val="19"/>
                <w:szCs w:val="19"/>
                <w:color w:val="auto"/>
              </w:rPr>
            </w:pPr>
          </w:p>
        </w:tc>
        <w:tc>
          <w:tcPr>
            <w:tcW w:w="1300" w:type="dxa"/>
            <w:vAlign w:val="bottom"/>
            <w:tcBorders>
              <w:top w:val="single" w:sz="8" w:color="auto"/>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940" w:type="dxa"/>
            <w:vAlign w:val="bottom"/>
          </w:tcPr>
          <w:p>
            <w:pPr>
              <w:ind w:left="120"/>
              <w:spacing w:after="0"/>
              <w:rPr>
                <w:sz w:val="20"/>
                <w:szCs w:val="20"/>
                <w:color w:val="auto"/>
              </w:rPr>
            </w:pPr>
            <w:r>
              <w:rPr>
                <w:rFonts w:ascii="Arial" w:cs="Arial" w:eastAsia="Arial" w:hAnsi="Arial"/>
                <w:sz w:val="16"/>
                <w:szCs w:val="16"/>
                <w:color w:val="auto"/>
              </w:rPr>
              <w:t>Outback Steakhouse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61"/>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60"/>
              <w:spacing w:after="0"/>
              <w:rPr>
                <w:sz w:val="20"/>
                <w:szCs w:val="20"/>
                <w:color w:val="auto"/>
              </w:rPr>
            </w:pPr>
            <w:r>
              <w:rPr>
                <w:rFonts w:ascii="Arial" w:cs="Arial" w:eastAsia="Arial" w:hAnsi="Arial"/>
                <w:sz w:val="16"/>
                <w:szCs w:val="16"/>
                <w:color w:val="auto"/>
              </w:rPr>
              <w:t>125</w:t>
            </w:r>
          </w:p>
        </w:tc>
        <w:tc>
          <w:tcPr>
            <w:tcW w:w="12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81"/>
              <w:spacing w:after="0"/>
              <w:rPr>
                <w:sz w:val="20"/>
                <w:szCs w:val="20"/>
                <w:color w:val="auto"/>
              </w:rPr>
            </w:pPr>
            <w:r>
              <w:rPr>
                <w:rFonts w:ascii="Arial" w:cs="Arial" w:eastAsia="Arial" w:hAnsi="Arial"/>
                <w:sz w:val="16"/>
                <w:szCs w:val="16"/>
                <w:color w:val="auto"/>
              </w:rPr>
              <w:t>174</w:t>
            </w:r>
          </w:p>
        </w:tc>
        <w:tc>
          <w:tcPr>
            <w:tcW w:w="10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60"/>
              <w:spacing w:after="0"/>
              <w:rPr>
                <w:sz w:val="20"/>
                <w:szCs w:val="20"/>
                <w:color w:val="auto"/>
              </w:rPr>
            </w:pPr>
            <w:r>
              <w:rPr>
                <w:rFonts w:ascii="Arial" w:cs="Arial" w:eastAsia="Arial" w:hAnsi="Arial"/>
                <w:sz w:val="16"/>
                <w:szCs w:val="16"/>
                <w:color w:val="auto"/>
              </w:rPr>
              <w:t>263</w:t>
            </w:r>
          </w:p>
        </w:tc>
        <w:tc>
          <w:tcPr>
            <w:tcW w:w="0" w:type="dxa"/>
            <w:vAlign w:val="bottom"/>
          </w:tcPr>
          <w:p>
            <w:pPr>
              <w:spacing w:after="0"/>
              <w:rPr>
                <w:sz w:val="1"/>
                <w:szCs w:val="1"/>
                <w:color w:val="auto"/>
              </w:rPr>
            </w:pPr>
          </w:p>
        </w:tc>
      </w:tr>
      <w:tr>
        <w:trPr>
          <w:trHeight w:val="33"/>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9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Carrabba’s Italian Grill (1)</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70"/>
        </w:trPr>
        <w:tc>
          <w:tcPr>
            <w:tcW w:w="494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Bonefish Grill</w:t>
            </w:r>
          </w:p>
        </w:tc>
        <w:tc>
          <w:tcPr>
            <w:tcW w:w="1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30"/>
        </w:trPr>
        <w:tc>
          <w:tcPr>
            <w:tcW w:w="4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U.S. total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142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195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287</w:t>
            </w:r>
          </w:p>
        </w:tc>
        <w:tc>
          <w:tcPr>
            <w:tcW w:w="0" w:type="dxa"/>
            <w:vAlign w:val="bottom"/>
          </w:tcPr>
          <w:p>
            <w:pPr>
              <w:spacing w:after="0"/>
              <w:rPr>
                <w:sz w:val="1"/>
                <w:szCs w:val="1"/>
                <w:color w:val="auto"/>
              </w:rPr>
            </w:pPr>
          </w:p>
        </w:tc>
      </w:tr>
      <w:tr>
        <w:trPr>
          <w:trHeight w:val="223"/>
        </w:trPr>
        <w:tc>
          <w:tcPr>
            <w:tcW w:w="4940" w:type="dxa"/>
            <w:vAlign w:val="bottom"/>
          </w:tcPr>
          <w:p>
            <w:pPr>
              <w:ind w:left="20"/>
              <w:spacing w:after="0"/>
              <w:rPr>
                <w:sz w:val="20"/>
                <w:szCs w:val="20"/>
                <w:color w:val="auto"/>
              </w:rPr>
            </w:pPr>
            <w:r>
              <w:rPr>
                <w:rFonts w:ascii="Arial" w:cs="Arial" w:eastAsia="Arial" w:hAnsi="Arial"/>
                <w:sz w:val="16"/>
                <w:szCs w:val="16"/>
                <w:color w:val="auto"/>
              </w:rPr>
              <w:t>International</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9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Outback Steakhouse-South Korea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56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110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70"/>
        </w:trPr>
        <w:tc>
          <w:tcPr>
            <w:tcW w:w="494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57"/>
        </w:trPr>
        <w:tc>
          <w:tcPr>
            <w:tcW w:w="4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International 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73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136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157</w:t>
            </w:r>
          </w:p>
        </w:tc>
        <w:tc>
          <w:tcPr>
            <w:tcW w:w="0" w:type="dxa"/>
            <w:vAlign w:val="bottom"/>
          </w:tcPr>
          <w:p>
            <w:pPr>
              <w:spacing w:after="0"/>
              <w:rPr>
                <w:sz w:val="1"/>
                <w:szCs w:val="1"/>
                <w:color w:val="auto"/>
              </w:rPr>
            </w:pPr>
          </w:p>
        </w:tc>
      </w:tr>
      <w:tr>
        <w:trPr>
          <w:trHeight w:val="250"/>
        </w:trPr>
        <w:tc>
          <w:tcPr>
            <w:tcW w:w="4940" w:type="dxa"/>
            <w:vAlign w:val="bottom"/>
          </w:tcPr>
          <w:p>
            <w:pPr>
              <w:ind w:left="20"/>
              <w:spacing w:after="0"/>
              <w:rPr>
                <w:sz w:val="20"/>
                <w:szCs w:val="20"/>
                <w:color w:val="auto"/>
              </w:rPr>
            </w:pPr>
            <w:r>
              <w:rPr>
                <w:rFonts w:ascii="Arial" w:cs="Arial" w:eastAsia="Arial" w:hAnsi="Arial"/>
                <w:sz w:val="16"/>
                <w:szCs w:val="16"/>
                <w:color w:val="auto"/>
              </w:rPr>
              <w:t>Total franchise sales (2)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215</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331</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444</w:t>
            </w:r>
          </w:p>
        </w:tc>
        <w:tc>
          <w:tcPr>
            <w:tcW w:w="0" w:type="dxa"/>
            <w:vAlign w:val="bottom"/>
          </w:tcPr>
          <w:p>
            <w:pPr>
              <w:spacing w:after="0"/>
              <w:rPr>
                <w:sz w:val="1"/>
                <w:szCs w:val="1"/>
                <w:color w:val="auto"/>
              </w:rPr>
            </w:pPr>
          </w:p>
        </w:tc>
      </w:tr>
      <w:tr>
        <w:trPr>
          <w:trHeight w:val="26"/>
        </w:trPr>
        <w:tc>
          <w:tcPr>
            <w:tcW w:w="4940" w:type="dxa"/>
            <w:vAlign w:val="bottom"/>
            <w:vMerge w:val="restart"/>
          </w:tcPr>
          <w:p>
            <w:pPr>
              <w:spacing w:after="0"/>
              <w:rPr>
                <w:sz w:val="20"/>
                <w:szCs w:val="20"/>
                <w:color w:val="auto"/>
              </w:rPr>
            </w:pPr>
            <w:r>
              <w:rPr>
                <w:rFonts w:ascii="Arial" w:cs="Arial" w:eastAsia="Arial" w:hAnsi="Arial"/>
                <w:sz w:val="16"/>
                <w:szCs w:val="16"/>
                <w:color w:val="auto"/>
              </w:rPr>
              <w:t>_____________________</w:t>
            </w: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494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 March 2019, we sold 18 Carrabba’s Italian Grill locations, which are now operated as franchises.</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Franchise sales are not included in Total revenues in the Consolidated Statements of Operations and Comprehensive (Loss)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BLOOMIN’ BRANDS, INC.</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348" w:lineRule="exact"/>
        <w:rPr>
          <w:sz w:val="20"/>
          <w:szCs w:val="20"/>
          <w:color w:val="auto"/>
        </w:rPr>
      </w:pPr>
    </w:p>
    <w:p>
      <w:pPr>
        <w:spacing w:after="0" w:line="260" w:lineRule="auto"/>
        <w:rPr>
          <w:sz w:val="20"/>
          <w:szCs w:val="20"/>
          <w:color w:val="auto"/>
        </w:rPr>
      </w:pPr>
      <w:r>
        <w:rPr>
          <w:rFonts w:ascii="Arial" w:cs="Arial" w:eastAsia="Arial" w:hAnsi="Arial"/>
          <w:sz w:val="20"/>
          <w:szCs w:val="20"/>
          <w:i w:val="1"/>
          <w:iCs w:val="1"/>
          <w:color w:val="auto"/>
        </w:rPr>
        <w:t xml:space="preserve">Adjusted restaurant-level operating margin - </w:t>
      </w:r>
      <w:r>
        <w:rPr>
          <w:rFonts w:ascii="Arial" w:cs="Arial" w:eastAsia="Arial" w:hAnsi="Arial"/>
          <w:sz w:val="20"/>
          <w:szCs w:val="20"/>
          <w:color w:val="auto"/>
        </w:rPr>
        <w:t>The following table shows the percentages of certain operating cost financial statement line</w:t>
      </w:r>
      <w:r>
        <w:rPr>
          <w:rFonts w:ascii="Arial" w:cs="Arial" w:eastAsia="Arial" w:hAnsi="Arial"/>
          <w:sz w:val="20"/>
          <w:szCs w:val="20"/>
          <w:i w:val="1"/>
          <w:iCs w:val="1"/>
          <w:color w:val="auto"/>
        </w:rPr>
        <w:t xml:space="preserve"> </w:t>
      </w:r>
      <w:r>
        <w:rPr>
          <w:rFonts w:ascii="Arial" w:cs="Arial" w:eastAsia="Arial" w:hAnsi="Arial"/>
          <w:sz w:val="20"/>
          <w:szCs w:val="20"/>
          <w:color w:val="auto"/>
        </w:rPr>
        <w:t>items in relation to Restaurant sales: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660" w:type="dxa"/>
            <w:vAlign w:val="bottom"/>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gridSpan w:val="4"/>
          </w:tcPr>
          <w:p>
            <w:pPr>
              <w:jc w:val="right"/>
              <w:ind w:right="402"/>
              <w:spacing w:after="0"/>
              <w:rPr>
                <w:sz w:val="20"/>
                <w:szCs w:val="20"/>
                <w:color w:val="auto"/>
              </w:rPr>
            </w:pPr>
            <w:r>
              <w:rPr>
                <w:rFonts w:ascii="Arial" w:cs="Arial" w:eastAsia="Arial" w:hAnsi="Arial"/>
                <w:sz w:val="14"/>
                <w:szCs w:val="14"/>
                <w:b w:val="1"/>
                <w:bCs w:val="1"/>
                <w:color w:val="auto"/>
              </w:rPr>
              <w:t>THIRTEEN WEEKS ENDED</w:t>
            </w: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r>
      <w:tr>
        <w:trPr>
          <w:trHeight w:val="209"/>
        </w:trPr>
        <w:tc>
          <w:tcPr>
            <w:tcW w:w="4660" w:type="dxa"/>
            <w:vAlign w:val="bottom"/>
          </w:tcPr>
          <w:p>
            <w:pPr>
              <w:spacing w:after="0"/>
              <w:rPr>
                <w:sz w:val="18"/>
                <w:szCs w:val="18"/>
                <w:color w:val="auto"/>
              </w:rPr>
            </w:pPr>
          </w:p>
        </w:tc>
        <w:tc>
          <w:tcPr>
            <w:tcW w:w="3020" w:type="dxa"/>
            <w:vAlign w:val="bottom"/>
            <w:tcBorders>
              <w:bottom w:val="single" w:sz="8" w:color="auto"/>
            </w:tcBorders>
            <w:gridSpan w:val="4"/>
          </w:tcPr>
          <w:p>
            <w:pPr>
              <w:jc w:val="right"/>
              <w:ind w:right="882"/>
              <w:spacing w:after="0"/>
              <w:rPr>
                <w:sz w:val="20"/>
                <w:szCs w:val="20"/>
                <w:color w:val="auto"/>
              </w:rPr>
            </w:pPr>
            <w:r>
              <w:rPr>
                <w:rFonts w:ascii="Arial" w:cs="Arial" w:eastAsia="Arial" w:hAnsi="Arial"/>
                <w:sz w:val="14"/>
                <w:szCs w:val="14"/>
                <w:b w:val="1"/>
                <w:bCs w:val="1"/>
                <w:color w:val="auto"/>
              </w:rPr>
              <w:t>JUNE 28, 2020</w:t>
            </w:r>
          </w:p>
        </w:tc>
        <w:tc>
          <w:tcPr>
            <w:tcW w:w="1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40" w:type="dxa"/>
            <w:vAlign w:val="bottom"/>
            <w:tcBorders>
              <w:bottom w:val="single" w:sz="8" w:color="auto"/>
            </w:tcBorders>
            <w:gridSpan w:val="4"/>
          </w:tcPr>
          <w:p>
            <w:pPr>
              <w:jc w:val="right"/>
              <w:ind w:right="901"/>
              <w:spacing w:after="0"/>
              <w:rPr>
                <w:sz w:val="20"/>
                <w:szCs w:val="20"/>
                <w:color w:val="auto"/>
              </w:rPr>
            </w:pPr>
            <w:r>
              <w:rPr>
                <w:rFonts w:ascii="Arial" w:cs="Arial" w:eastAsia="Arial" w:hAnsi="Arial"/>
                <w:sz w:val="14"/>
                <w:szCs w:val="14"/>
                <w:b w:val="1"/>
                <w:bCs w:val="1"/>
                <w:color w:val="auto"/>
              </w:rPr>
              <w:t>JUNE 30, 2019</w:t>
            </w:r>
          </w:p>
        </w:tc>
        <w:tc>
          <w:tcPr>
            <w:tcW w:w="180" w:type="dxa"/>
            <w:vAlign w:val="bottom"/>
            <w:tcBorders>
              <w:bottom w:val="single" w:sz="8" w:color="auto"/>
            </w:tcBorders>
          </w:tcPr>
          <w:p>
            <w:pPr>
              <w:spacing w:after="0"/>
              <w:rPr>
                <w:sz w:val="18"/>
                <w:szCs w:val="18"/>
                <w:color w:val="auto"/>
              </w:rPr>
            </w:pPr>
          </w:p>
        </w:tc>
      </w:tr>
      <w:tr>
        <w:trPr>
          <w:trHeight w:val="210"/>
        </w:trPr>
        <w:tc>
          <w:tcPr>
            <w:tcW w:w="466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U.S. GAAP</w:t>
            </w: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ADJUSTED (1)</w:t>
            </w: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U.S. GAAP</w:t>
            </w: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ADJUSTED</w:t>
            </w:r>
          </w:p>
        </w:tc>
        <w:tc>
          <w:tcPr>
            <w:tcW w:w="180" w:type="dxa"/>
            <w:vAlign w:val="bottom"/>
            <w:tcBorders>
              <w:bottom w:val="single" w:sz="8" w:color="auto"/>
            </w:tcBorders>
          </w:tcPr>
          <w:p>
            <w:pPr>
              <w:spacing w:after="0"/>
              <w:rPr>
                <w:sz w:val="18"/>
                <w:szCs w:val="18"/>
                <w:color w:val="auto"/>
              </w:rPr>
            </w:pPr>
          </w:p>
        </w:tc>
      </w:tr>
      <w:tr>
        <w:trPr>
          <w:trHeight w:val="237"/>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Restaurant sales</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r>
      <w:tr>
        <w:trPr>
          <w:trHeight w:val="216"/>
        </w:trPr>
        <w:tc>
          <w:tcPr>
            <w:tcW w:w="46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6"/>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 of sales</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r>
      <w:tr>
        <w:trPr>
          <w:trHeight w:val="224"/>
        </w:trPr>
        <w:tc>
          <w:tcPr>
            <w:tcW w:w="4660" w:type="dxa"/>
            <w:vAlign w:val="bottom"/>
          </w:tcPr>
          <w:p>
            <w:pPr>
              <w:ind w:left="20"/>
              <w:spacing w:after="0"/>
              <w:rPr>
                <w:sz w:val="20"/>
                <w:szCs w:val="20"/>
                <w:color w:val="auto"/>
              </w:rPr>
            </w:pPr>
            <w:r>
              <w:rPr>
                <w:rFonts w:ascii="Arial" w:cs="Arial" w:eastAsia="Arial" w:hAnsi="Arial"/>
                <w:sz w:val="16"/>
                <w:szCs w:val="16"/>
                <w:color w:val="auto"/>
              </w:rPr>
              <w:t>Labor and other related</w:t>
            </w:r>
          </w:p>
        </w:tc>
        <w:tc>
          <w:tcPr>
            <w:tcW w:w="1340" w:type="dxa"/>
            <w:vAlign w:val="bottom"/>
          </w:tcPr>
          <w:p>
            <w:pPr>
              <w:jc w:val="right"/>
              <w:spacing w:after="0"/>
              <w:rPr>
                <w:sz w:val="20"/>
                <w:szCs w:val="20"/>
                <w:color w:val="auto"/>
              </w:rPr>
            </w:pPr>
            <w:r>
              <w:rPr>
                <w:rFonts w:ascii="Arial" w:cs="Arial" w:eastAsia="Arial" w:hAnsi="Arial"/>
                <w:sz w:val="16"/>
                <w:szCs w:val="16"/>
                <w:color w:val="auto"/>
              </w:rPr>
              <w:t>35.7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35.7</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30.0</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30.0</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r>
      <w:tr>
        <w:trPr>
          <w:trHeight w:val="33"/>
        </w:trPr>
        <w:tc>
          <w:tcPr>
            <w:tcW w:w="46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restaurant operating</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r>
      <w:tr>
        <w:trPr>
          <w:trHeight w:val="216"/>
        </w:trPr>
        <w:tc>
          <w:tcPr>
            <w:tcW w:w="46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7"/>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Restaurant-level operating margin</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r>
      <w:tr>
        <w:trPr>
          <w:trHeight w:val="426"/>
        </w:trPr>
        <w:tc>
          <w:tcPr>
            <w:tcW w:w="466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4"/>
          </w:tcPr>
          <w:p>
            <w:pPr>
              <w:jc w:val="right"/>
              <w:ind w:right="322"/>
              <w:spacing w:after="0"/>
              <w:rPr>
                <w:sz w:val="20"/>
                <w:szCs w:val="20"/>
                <w:color w:val="auto"/>
              </w:rPr>
            </w:pPr>
            <w:r>
              <w:rPr>
                <w:rFonts w:ascii="Arial" w:cs="Arial" w:eastAsia="Arial" w:hAnsi="Arial"/>
                <w:sz w:val="14"/>
                <w:szCs w:val="14"/>
                <w:b w:val="1"/>
                <w:bCs w:val="1"/>
                <w:color w:val="auto"/>
              </w:rPr>
              <w:t>TWENTY-SIX WEEKS ENDED</w:t>
            </w: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r>
        <w:trPr>
          <w:trHeight w:val="209"/>
        </w:trPr>
        <w:tc>
          <w:tcPr>
            <w:tcW w:w="4660" w:type="dxa"/>
            <w:vAlign w:val="bottom"/>
          </w:tcPr>
          <w:p>
            <w:pPr>
              <w:spacing w:after="0"/>
              <w:rPr>
                <w:sz w:val="18"/>
                <w:szCs w:val="18"/>
                <w:color w:val="auto"/>
              </w:rPr>
            </w:pPr>
          </w:p>
        </w:tc>
        <w:tc>
          <w:tcPr>
            <w:tcW w:w="3020" w:type="dxa"/>
            <w:vAlign w:val="bottom"/>
            <w:tcBorders>
              <w:bottom w:val="single" w:sz="8" w:color="auto"/>
            </w:tcBorders>
            <w:gridSpan w:val="4"/>
          </w:tcPr>
          <w:p>
            <w:pPr>
              <w:jc w:val="right"/>
              <w:ind w:right="882"/>
              <w:spacing w:after="0"/>
              <w:rPr>
                <w:sz w:val="20"/>
                <w:szCs w:val="20"/>
                <w:color w:val="auto"/>
              </w:rPr>
            </w:pPr>
            <w:r>
              <w:rPr>
                <w:rFonts w:ascii="Arial" w:cs="Arial" w:eastAsia="Arial" w:hAnsi="Arial"/>
                <w:sz w:val="14"/>
                <w:szCs w:val="14"/>
                <w:b w:val="1"/>
                <w:bCs w:val="1"/>
                <w:color w:val="auto"/>
              </w:rPr>
              <w:t>JUNE 28, 2020</w:t>
            </w:r>
          </w:p>
        </w:tc>
        <w:tc>
          <w:tcPr>
            <w:tcW w:w="1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40" w:type="dxa"/>
            <w:vAlign w:val="bottom"/>
            <w:tcBorders>
              <w:bottom w:val="single" w:sz="8" w:color="auto"/>
            </w:tcBorders>
            <w:gridSpan w:val="4"/>
          </w:tcPr>
          <w:p>
            <w:pPr>
              <w:jc w:val="right"/>
              <w:ind w:right="901"/>
              <w:spacing w:after="0"/>
              <w:rPr>
                <w:sz w:val="20"/>
                <w:szCs w:val="20"/>
                <w:color w:val="auto"/>
              </w:rPr>
            </w:pPr>
            <w:r>
              <w:rPr>
                <w:rFonts w:ascii="Arial" w:cs="Arial" w:eastAsia="Arial" w:hAnsi="Arial"/>
                <w:sz w:val="14"/>
                <w:szCs w:val="14"/>
                <w:b w:val="1"/>
                <w:bCs w:val="1"/>
                <w:color w:val="auto"/>
              </w:rPr>
              <w:t>JUNE 30, 2019</w:t>
            </w:r>
          </w:p>
        </w:tc>
        <w:tc>
          <w:tcPr>
            <w:tcW w:w="180" w:type="dxa"/>
            <w:vAlign w:val="bottom"/>
            <w:tcBorders>
              <w:bottom w:val="single" w:sz="8" w:color="auto"/>
            </w:tcBorders>
          </w:tcPr>
          <w:p>
            <w:pPr>
              <w:spacing w:after="0"/>
              <w:rPr>
                <w:sz w:val="18"/>
                <w:szCs w:val="18"/>
                <w:color w:val="auto"/>
              </w:rPr>
            </w:pPr>
          </w:p>
        </w:tc>
      </w:tr>
      <w:tr>
        <w:trPr>
          <w:trHeight w:val="209"/>
        </w:trPr>
        <w:tc>
          <w:tcPr>
            <w:tcW w:w="466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U.S. GAAP</w:t>
            </w: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ADJUSTED (1)</w:t>
            </w: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U.S. GAAP</w:t>
            </w: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ADJUSTED</w:t>
            </w:r>
          </w:p>
        </w:tc>
        <w:tc>
          <w:tcPr>
            <w:tcW w:w="180" w:type="dxa"/>
            <w:vAlign w:val="bottom"/>
            <w:tcBorders>
              <w:bottom w:val="single" w:sz="8" w:color="auto"/>
            </w:tcBorders>
          </w:tcPr>
          <w:p>
            <w:pPr>
              <w:spacing w:after="0"/>
              <w:rPr>
                <w:sz w:val="18"/>
                <w:szCs w:val="18"/>
                <w:color w:val="auto"/>
              </w:rPr>
            </w:pPr>
          </w:p>
        </w:tc>
      </w:tr>
      <w:tr>
        <w:trPr>
          <w:trHeight w:val="237"/>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Restaurant sales</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r>
      <w:tr>
        <w:trPr>
          <w:trHeight w:val="257"/>
        </w:trPr>
        <w:tc>
          <w:tcPr>
            <w:tcW w:w="46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37"/>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 of sales</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r>
      <w:tr>
        <w:trPr>
          <w:trHeight w:val="223"/>
        </w:trPr>
        <w:tc>
          <w:tcPr>
            <w:tcW w:w="4660" w:type="dxa"/>
            <w:vAlign w:val="bottom"/>
          </w:tcPr>
          <w:p>
            <w:pPr>
              <w:ind w:left="20"/>
              <w:spacing w:after="0"/>
              <w:rPr>
                <w:sz w:val="20"/>
                <w:szCs w:val="20"/>
                <w:color w:val="auto"/>
              </w:rPr>
            </w:pPr>
            <w:r>
              <w:rPr>
                <w:rFonts w:ascii="Arial" w:cs="Arial" w:eastAsia="Arial" w:hAnsi="Arial"/>
                <w:sz w:val="16"/>
                <w:szCs w:val="16"/>
                <w:color w:val="auto"/>
              </w:rPr>
              <w:t>Labor and other related</w:t>
            </w:r>
          </w:p>
        </w:tc>
        <w:tc>
          <w:tcPr>
            <w:tcW w:w="1340" w:type="dxa"/>
            <w:vAlign w:val="bottom"/>
          </w:tcPr>
          <w:p>
            <w:pPr>
              <w:jc w:val="right"/>
              <w:spacing w:after="0"/>
              <w:rPr>
                <w:sz w:val="20"/>
                <w:szCs w:val="20"/>
                <w:color w:val="auto"/>
              </w:rPr>
            </w:pPr>
            <w:r>
              <w:rPr>
                <w:rFonts w:ascii="Arial" w:cs="Arial" w:eastAsia="Arial" w:hAnsi="Arial"/>
                <w:sz w:val="16"/>
                <w:szCs w:val="16"/>
                <w:color w:val="auto"/>
              </w:rPr>
              <w:t>32.7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32.7</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29.3</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29.3</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r>
      <w:tr>
        <w:trPr>
          <w:trHeight w:val="33"/>
        </w:trPr>
        <w:tc>
          <w:tcPr>
            <w:tcW w:w="46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restaurant operating</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r>
      <w:tr>
        <w:trPr>
          <w:trHeight w:val="257"/>
        </w:trPr>
        <w:tc>
          <w:tcPr>
            <w:tcW w:w="46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36"/>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Restaurant-level operating margin</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r>
      <w:tr>
        <w:trPr>
          <w:trHeight w:val="274"/>
        </w:trPr>
        <w:tc>
          <w:tcPr>
            <w:tcW w:w="4660" w:type="dxa"/>
            <w:vAlign w:val="bottom"/>
          </w:tcPr>
          <w:p>
            <w:pPr>
              <w:spacing w:after="0"/>
              <w:rPr>
                <w:sz w:val="20"/>
                <w:szCs w:val="20"/>
                <w:color w:val="auto"/>
              </w:rPr>
            </w:pPr>
            <w:r>
              <w:rPr>
                <w:rFonts w:ascii="Arial" w:cs="Arial" w:eastAsia="Arial" w:hAnsi="Arial"/>
                <w:sz w:val="16"/>
                <w:szCs w:val="16"/>
                <w:color w:val="auto"/>
              </w:rPr>
              <w:t>_________________</w:t>
            </w:r>
          </w:p>
        </w:tc>
        <w:tc>
          <w:tcPr>
            <w:tcW w:w="1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80" w:type="dxa"/>
            <w:vAlign w:val="bottom"/>
          </w:tcPr>
          <w:p>
            <w:pPr>
              <w:spacing w:after="0"/>
              <w:rPr>
                <w:sz w:val="23"/>
                <w:szCs w:val="23"/>
                <w:color w:val="auto"/>
              </w:rPr>
            </w:pPr>
          </w:p>
        </w:tc>
      </w:tr>
    </w:tbl>
    <w:p>
      <w:pPr>
        <w:jc w:val="both"/>
        <w:ind w:left="660" w:hanging="652"/>
        <w:spacing w:after="0" w:line="251" w:lineRule="auto"/>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 xml:space="preserve">Includes unfavorable (favorable) adjustments recorded in Other restaurant operating expense (unless otherwise noted below) for the following activities, as described in the </w:t>
      </w:r>
      <w:r>
        <w:rPr>
          <w:rFonts w:ascii="Arial" w:cs="Arial" w:eastAsia="Arial" w:hAnsi="Arial"/>
          <w:sz w:val="16"/>
          <w:szCs w:val="16"/>
          <w:i w:val="1"/>
          <w:iCs w:val="1"/>
          <w:color w:val="auto"/>
        </w:rPr>
        <w:t>Adjusted (loss) income from operations, Adjusted net (loss) income and Adjusted diluted (loss) earnings per share</w:t>
      </w:r>
      <w:r>
        <w:rPr>
          <w:rFonts w:ascii="Arial" w:cs="Arial" w:eastAsia="Arial" w:hAnsi="Arial"/>
          <w:sz w:val="16"/>
          <w:szCs w:val="16"/>
          <w:color w:val="auto"/>
        </w:rPr>
        <w:t xml:space="preserve"> table below for the periods indicated:</w:t>
      </w:r>
    </w:p>
    <w:p>
      <w:pPr>
        <w:spacing w:after="0" w:line="87" w:lineRule="exact"/>
        <w:rPr>
          <w:sz w:val="20"/>
          <w:szCs w:val="20"/>
          <w:color w:val="auto"/>
        </w:rPr>
      </w:pPr>
    </w:p>
    <w:tbl>
      <w:tblPr>
        <w:tblLayout w:type="fixed"/>
        <w:tblInd w:w="670" w:type="dxa"/>
        <w:tblCellMar>
          <w:top w:w="0" w:type="dxa"/>
          <w:left w:w="0" w:type="dxa"/>
          <w:bottom w:w="0" w:type="dxa"/>
          <w:right w:w="0" w:type="dxa"/>
        </w:tblCellMar>
      </w:tblPr>
      <w:tr>
        <w:trPr>
          <w:trHeight w:val="204"/>
        </w:trPr>
        <w:tc>
          <w:tcPr>
            <w:tcW w:w="4620" w:type="dxa"/>
            <w:vAlign w:val="bottom"/>
            <w:tcBorders>
              <w:top w:val="single" w:sz="8" w:color="auto"/>
              <w:left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440" w:type="dxa"/>
            <w:vAlign w:val="bottom"/>
            <w:tcBorders>
              <w:top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THIRTEEN WEEKS ENDED</w:t>
            </w:r>
          </w:p>
        </w:tc>
        <w:tc>
          <w:tcPr>
            <w:tcW w:w="180" w:type="dxa"/>
            <w:vAlign w:val="bottom"/>
            <w:tcBorders>
              <w:top w:val="single" w:sz="8" w:color="auto"/>
            </w:tcBorders>
          </w:tcPr>
          <w:p>
            <w:pPr>
              <w:spacing w:after="0"/>
              <w:rPr>
                <w:sz w:val="17"/>
                <w:szCs w:val="17"/>
                <w:color w:val="auto"/>
              </w:rPr>
            </w:pPr>
          </w:p>
        </w:tc>
        <w:tc>
          <w:tcPr>
            <w:tcW w:w="2380" w:type="dxa"/>
            <w:vAlign w:val="bottom"/>
            <w:tcBorders>
              <w:top w:val="single" w:sz="8" w:color="auto"/>
              <w:right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rPr>
              <w:t>TWENTY-SIX WEEKS ENDED</w:t>
            </w:r>
          </w:p>
        </w:tc>
      </w:tr>
      <w:tr>
        <w:trPr>
          <w:trHeight w:val="222"/>
        </w:trPr>
        <w:tc>
          <w:tcPr>
            <w:tcW w:w="4620" w:type="dxa"/>
            <w:vAlign w:val="bottom"/>
            <w:tcBorders>
              <w:left w:val="single" w:sz="8" w:color="auto"/>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22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96"/>
              </w:rPr>
              <w:t>JUNE 28, 2020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380" w:type="dxa"/>
            <w:vAlign w:val="bottom"/>
            <w:tcBorders>
              <w:bottom w:val="single" w:sz="8" w:color="auto"/>
              <w:right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93"/>
              </w:rPr>
              <w:t>JUNE 28, 2020</w:t>
            </w:r>
          </w:p>
        </w:tc>
      </w:tr>
      <w:tr>
        <w:trPr>
          <w:trHeight w:val="236"/>
        </w:trPr>
        <w:tc>
          <w:tcPr>
            <w:tcW w:w="4620" w:type="dxa"/>
            <w:vAlign w:val="bottom"/>
            <w:tcBorders>
              <w:left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Restaurant and asset impairments and closing costs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2440" w:type="dxa"/>
            <w:vAlign w:val="bottom"/>
            <w:tcBorders>
              <w:bottom w:val="single" w:sz="8" w:color="CCEEFF"/>
            </w:tcBorders>
            <w:gridSpan w:val="2"/>
            <w:shd w:val="clear" w:color="auto" w:fill="CCEEFF"/>
          </w:tcPr>
          <w:p>
            <w:pPr>
              <w:ind w:left="20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380" w:type="dxa"/>
            <w:vAlign w:val="bottom"/>
            <w:tcBorders>
              <w:bottom w:val="single" w:sz="8" w:color="CCEEFF"/>
              <w:right w:val="single" w:sz="8" w:color="auto"/>
            </w:tcBorders>
            <w:shd w:val="clear" w:color="auto" w:fill="CCEEFF"/>
          </w:tcPr>
          <w:p>
            <w:pPr>
              <w:jc w:val="center"/>
              <w:ind w:left="1782"/>
              <w:spacing w:after="0"/>
              <w:rPr>
                <w:sz w:val="20"/>
                <w:szCs w:val="20"/>
                <w:color w:val="auto"/>
              </w:rPr>
            </w:pPr>
            <w:r>
              <w:rPr>
                <w:rFonts w:ascii="Arial" w:cs="Arial" w:eastAsia="Arial" w:hAnsi="Arial"/>
                <w:sz w:val="16"/>
                <w:szCs w:val="16"/>
                <w:color w:val="auto"/>
                <w:w w:val="89"/>
              </w:rPr>
              <w:t>2.8</w:t>
            </w:r>
          </w:p>
        </w:tc>
      </w:tr>
      <w:tr>
        <w:trPr>
          <w:trHeight w:val="224"/>
        </w:trPr>
        <w:tc>
          <w:tcPr>
            <w:tcW w:w="4620" w:type="dxa"/>
            <w:vAlign w:val="bottom"/>
            <w:tcBorders>
              <w:left w:val="single" w:sz="8" w:color="auto"/>
            </w:tcBorders>
          </w:tcPr>
          <w:p>
            <w:pPr>
              <w:ind w:left="20"/>
              <w:spacing w:after="0"/>
              <w:rPr>
                <w:sz w:val="20"/>
                <w:szCs w:val="20"/>
                <w:color w:val="auto"/>
              </w:rPr>
            </w:pPr>
            <w:r>
              <w:rPr>
                <w:rFonts w:ascii="Arial" w:cs="Arial" w:eastAsia="Arial" w:hAnsi="Arial"/>
                <w:sz w:val="16"/>
                <w:szCs w:val="16"/>
                <w:color w:val="auto"/>
              </w:rPr>
              <w:t>Restaurant relocations and related costs</w:t>
            </w:r>
          </w:p>
        </w:tc>
        <w:tc>
          <w:tcPr>
            <w:tcW w:w="220" w:type="dxa"/>
            <w:vAlign w:val="bottom"/>
          </w:tcPr>
          <w:p>
            <w:pPr>
              <w:spacing w:after="0"/>
              <w:rPr>
                <w:sz w:val="19"/>
                <w:szCs w:val="19"/>
                <w:color w:val="auto"/>
              </w:rPr>
            </w:pPr>
          </w:p>
        </w:tc>
        <w:tc>
          <w:tcPr>
            <w:tcW w:w="2440" w:type="dxa"/>
            <w:vAlign w:val="bottom"/>
            <w:gridSpan w:val="2"/>
          </w:tcPr>
          <w:p>
            <w:pPr>
              <w:ind w:left="20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2380" w:type="dxa"/>
            <w:vAlign w:val="bottom"/>
            <w:tcBorders>
              <w:right w:val="single" w:sz="8" w:color="auto"/>
            </w:tcBorders>
          </w:tcPr>
          <w:p>
            <w:pPr>
              <w:jc w:val="center"/>
              <w:ind w:left="1762"/>
              <w:spacing w:after="0"/>
              <w:rPr>
                <w:sz w:val="20"/>
                <w:szCs w:val="20"/>
                <w:color w:val="auto"/>
              </w:rPr>
            </w:pPr>
            <w:r>
              <w:rPr>
                <w:rFonts w:ascii="Arial" w:cs="Arial" w:eastAsia="Arial" w:hAnsi="Arial"/>
                <w:sz w:val="16"/>
                <w:szCs w:val="16"/>
                <w:color w:val="auto"/>
                <w:w w:val="91"/>
              </w:rPr>
              <w:t>(0.1)</w:t>
            </w:r>
          </w:p>
        </w:tc>
      </w:tr>
      <w:tr>
        <w:trPr>
          <w:trHeight w:val="33"/>
        </w:trPr>
        <w:tc>
          <w:tcPr>
            <w:tcW w:w="4620" w:type="dxa"/>
            <w:vAlign w:val="bottom"/>
            <w:tcBorders>
              <w:lef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380" w:type="dxa"/>
            <w:vAlign w:val="bottom"/>
            <w:tcBorders>
              <w:right w:val="single" w:sz="8" w:color="auto"/>
            </w:tcBorders>
          </w:tcPr>
          <w:p>
            <w:pPr>
              <w:spacing w:after="0"/>
              <w:rPr>
                <w:sz w:val="2"/>
                <w:szCs w:val="2"/>
                <w:color w:val="auto"/>
              </w:rPr>
            </w:pPr>
          </w:p>
        </w:tc>
      </w:tr>
      <w:tr>
        <w:trPr>
          <w:trHeight w:val="263"/>
        </w:trPr>
        <w:tc>
          <w:tcPr>
            <w:tcW w:w="4620" w:type="dxa"/>
            <w:vAlign w:val="bottom"/>
            <w:tcBorders>
              <w:left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COVID-19 related costs (1)</w:t>
            </w:r>
          </w:p>
        </w:tc>
        <w:tc>
          <w:tcPr>
            <w:tcW w:w="220" w:type="dxa"/>
            <w:vAlign w:val="bottom"/>
            <w:tcBorders>
              <w:bottom w:val="single" w:sz="8" w:color="auto"/>
            </w:tcBorders>
            <w:shd w:val="clear" w:color="auto" w:fill="CCEEFF"/>
          </w:tcPr>
          <w:p>
            <w:pPr>
              <w:spacing w:after="0"/>
              <w:rPr>
                <w:sz w:val="22"/>
                <w:szCs w:val="22"/>
                <w:color w:val="auto"/>
              </w:rPr>
            </w:pPr>
          </w:p>
        </w:tc>
        <w:tc>
          <w:tcPr>
            <w:tcW w:w="23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2380" w:type="dxa"/>
            <w:vAlign w:val="bottom"/>
            <w:tcBorders>
              <w:bottom w:val="single" w:sz="8" w:color="auto"/>
              <w:right w:val="single" w:sz="8" w:color="auto"/>
            </w:tcBorders>
            <w:shd w:val="clear" w:color="auto" w:fill="CCEEFF"/>
          </w:tcPr>
          <w:p>
            <w:pPr>
              <w:jc w:val="center"/>
              <w:ind w:left="1762"/>
              <w:spacing w:after="0"/>
              <w:rPr>
                <w:sz w:val="20"/>
                <w:szCs w:val="20"/>
                <w:color w:val="auto"/>
              </w:rPr>
            </w:pPr>
            <w:r>
              <w:rPr>
                <w:rFonts w:ascii="Arial" w:cs="Arial" w:eastAsia="Arial" w:hAnsi="Arial"/>
                <w:sz w:val="16"/>
                <w:szCs w:val="16"/>
                <w:color w:val="auto"/>
                <w:w w:val="91"/>
              </w:rPr>
              <w:t>(9.9)</w:t>
            </w:r>
          </w:p>
        </w:tc>
      </w:tr>
      <w:tr>
        <w:trPr>
          <w:trHeight w:val="223"/>
        </w:trPr>
        <w:tc>
          <w:tcPr>
            <w:tcW w:w="4620" w:type="dxa"/>
            <w:vAlign w:val="bottom"/>
            <w:tcBorders>
              <w:left w:val="single" w:sz="8" w:color="auto"/>
            </w:tcBorders>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2320" w:type="dxa"/>
            <w:vAlign w:val="bottom"/>
          </w:tcPr>
          <w:p>
            <w:pPr>
              <w:jc w:val="right"/>
              <w:ind w:right="2"/>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2380" w:type="dxa"/>
            <w:vAlign w:val="bottom"/>
            <w:tcBorders>
              <w:right w:val="single" w:sz="8" w:color="auto"/>
            </w:tcBorders>
          </w:tcPr>
          <w:p>
            <w:pPr>
              <w:jc w:val="center"/>
              <w:ind w:left="1762"/>
              <w:spacing w:after="0"/>
              <w:rPr>
                <w:sz w:val="20"/>
                <w:szCs w:val="20"/>
                <w:color w:val="auto"/>
              </w:rPr>
            </w:pPr>
            <w:r>
              <w:rPr>
                <w:rFonts w:ascii="Arial" w:cs="Arial" w:eastAsia="Arial" w:hAnsi="Arial"/>
                <w:sz w:val="16"/>
                <w:szCs w:val="16"/>
                <w:color w:val="auto"/>
                <w:w w:val="91"/>
              </w:rPr>
              <w:t>(7.2)</w:t>
            </w:r>
          </w:p>
        </w:tc>
      </w:tr>
      <w:tr>
        <w:trPr>
          <w:trHeight w:val="33"/>
        </w:trPr>
        <w:tc>
          <w:tcPr>
            <w:tcW w:w="4620" w:type="dxa"/>
            <w:vAlign w:val="bottom"/>
            <w:tcBorders>
              <w:lef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r>
      <w:tr>
        <w:trPr>
          <w:trHeight w:val="20"/>
        </w:trPr>
        <w:tc>
          <w:tcPr>
            <w:tcW w:w="4620" w:type="dxa"/>
            <w:vAlign w:val="bottom"/>
            <w:tcBorders>
              <w:left w:val="single" w:sz="8" w:color="auto"/>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_________________</w:t>
      </w:r>
    </w:p>
    <w:p>
      <w:pPr>
        <w:spacing w:after="0" w:line="19" w:lineRule="exact"/>
        <w:rPr>
          <w:sz w:val="20"/>
          <w:szCs w:val="20"/>
          <w:color w:val="auto"/>
        </w:rPr>
      </w:pPr>
    </w:p>
    <w:p>
      <w:pPr>
        <w:ind w:left="1300" w:hanging="644"/>
        <w:spacing w:after="0"/>
        <w:tabs>
          <w:tab w:leader="none" w:pos="13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Includes $1.2 million and $7.3 million of adjustments for the thirteen and twenty-six weeks ended June 28, 2020, respectively, recorded in Cost of sales.</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3" w:lineRule="exact"/>
        <w:rPr>
          <w:rFonts w:ascii="Arial" w:cs="Arial" w:eastAsia="Arial" w:hAnsi="Arial"/>
          <w:sz w:val="14"/>
          <w:szCs w:val="14"/>
          <w:color w:val="auto"/>
        </w:rPr>
      </w:pPr>
    </w:p>
    <w:p>
      <w:pPr>
        <w:ind w:left="5540"/>
        <w:spacing w:after="0"/>
        <w:rPr>
          <w:rFonts w:ascii="Arial" w:cs="Arial" w:eastAsia="Arial" w:hAnsi="Arial"/>
          <w:sz w:val="14"/>
          <w:szCs w:val="14"/>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34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Adjusted (loss) income from operations, Adjusted net (loss) income and Adjusted diluted (loss) earnings per share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4"/>
          </w:tcPr>
          <w:p>
            <w:pPr>
              <w:jc w:val="right"/>
              <w:ind w:right="299"/>
              <w:spacing w:after="0"/>
              <w:rPr>
                <w:sz w:val="20"/>
                <w:szCs w:val="20"/>
                <w:color w:val="auto"/>
              </w:rPr>
            </w:pPr>
            <w:r>
              <w:rPr>
                <w:rFonts w:ascii="Arial" w:cs="Arial" w:eastAsia="Arial" w:hAnsi="Arial"/>
                <w:sz w:val="14"/>
                <w:szCs w:val="14"/>
                <w:b w:val="1"/>
                <w:bCs w:val="1"/>
                <w:color w:val="auto"/>
              </w:rPr>
              <w:t>THIRTEEN WEEKS ENDED</w:t>
            </w:r>
          </w:p>
        </w:tc>
        <w:tc>
          <w:tcPr>
            <w:tcW w:w="1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4"/>
          </w:tcPr>
          <w:p>
            <w:pPr>
              <w:jc w:val="right"/>
              <w:ind w:right="219"/>
              <w:spacing w:after="0"/>
              <w:rPr>
                <w:sz w:val="20"/>
                <w:szCs w:val="20"/>
                <w:color w:val="auto"/>
              </w:rPr>
            </w:pPr>
            <w:r>
              <w:rPr>
                <w:rFonts w:ascii="Arial" w:cs="Arial" w:eastAsia="Arial" w:hAnsi="Arial"/>
                <w:sz w:val="14"/>
                <w:szCs w:val="14"/>
                <w:b w:val="1"/>
                <w:bCs w:val="1"/>
                <w:color w:val="auto"/>
              </w:rPr>
              <w:t>TWENTY-SIX WEEKS ENDED</w:t>
            </w:r>
          </w:p>
        </w:tc>
        <w:tc>
          <w:tcPr>
            <w:tcW w:w="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JUNE 28, 2020</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2019</w:t>
            </w: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JUNE 28, 2020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2019</w:t>
            </w:r>
          </w:p>
        </w:tc>
        <w:tc>
          <w:tcPr>
            <w:tcW w:w="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(Loss) income from operations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(111,912)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43,460</w:t>
            </w:r>
          </w:p>
        </w:tc>
        <w:tc>
          <w:tcPr>
            <w:tcW w:w="4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(153,480)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125,954</w:t>
            </w:r>
          </w:p>
        </w:tc>
        <w:tc>
          <w:tcPr>
            <w:tcW w:w="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00" w:type="dxa"/>
            <w:vAlign w:val="bottom"/>
          </w:tcPr>
          <w:p>
            <w:pPr>
              <w:ind w:left="120"/>
              <w:spacing w:after="0"/>
              <w:rPr>
                <w:sz w:val="20"/>
                <w:szCs w:val="20"/>
                <w:color w:val="auto"/>
              </w:rPr>
            </w:pPr>
            <w:r>
              <w:rPr>
                <w:rFonts w:ascii="Arial" w:cs="Arial" w:eastAsia="Arial" w:hAnsi="Arial"/>
                <w:sz w:val="16"/>
                <w:szCs w:val="16"/>
                <w:i w:val="1"/>
                <w:iCs w:val="1"/>
                <w:color w:val="auto"/>
              </w:rPr>
              <w:t>Operating (loss) income margin</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(19.3)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4.3</w:t>
            </w:r>
          </w:p>
        </w:tc>
        <w:tc>
          <w:tcPr>
            <w:tcW w:w="16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(9.7)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5.9</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33"/>
        </w:trPr>
        <w:tc>
          <w:tcPr>
            <w:tcW w:w="5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Adjustments:</w:t>
            </w:r>
          </w:p>
        </w:tc>
        <w:tc>
          <w:tcPr>
            <w:tcW w:w="1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5200" w:type="dxa"/>
            <w:vAlign w:val="bottom"/>
          </w:tcPr>
          <w:p>
            <w:pPr>
              <w:ind w:left="120"/>
              <w:spacing w:after="0"/>
              <w:rPr>
                <w:sz w:val="20"/>
                <w:szCs w:val="20"/>
                <w:color w:val="auto"/>
              </w:rPr>
            </w:pPr>
            <w:r>
              <w:rPr>
                <w:rFonts w:ascii="Arial" w:cs="Arial" w:eastAsia="Arial" w:hAnsi="Arial"/>
                <w:sz w:val="16"/>
                <w:szCs w:val="16"/>
                <w:color w:val="auto"/>
              </w:rPr>
              <w:t>COVID-19 related costs (1)</w:t>
            </w:r>
          </w:p>
        </w:tc>
        <w:tc>
          <w:tcPr>
            <w:tcW w:w="180" w:type="dxa"/>
            <w:vAlign w:val="bottom"/>
          </w:tcPr>
          <w:p>
            <w:pPr>
              <w:spacing w:after="0"/>
              <w:rPr>
                <w:sz w:val="19"/>
                <w:szCs w:val="19"/>
                <w:color w:val="auto"/>
              </w:rPr>
            </w:pPr>
          </w:p>
        </w:tc>
        <w:tc>
          <w:tcPr>
            <w:tcW w:w="1240" w:type="dxa"/>
            <w:vAlign w:val="bottom"/>
          </w:tcPr>
          <w:p>
            <w:pPr>
              <w:jc w:val="right"/>
              <w:ind w:right="140"/>
              <w:spacing w:after="0"/>
              <w:rPr>
                <w:sz w:val="20"/>
                <w:szCs w:val="20"/>
                <w:color w:val="auto"/>
              </w:rPr>
            </w:pPr>
            <w:r>
              <w:rPr>
                <w:rFonts w:ascii="Arial" w:cs="Arial" w:eastAsia="Arial" w:hAnsi="Arial"/>
                <w:sz w:val="16"/>
                <w:szCs w:val="16"/>
                <w:color w:val="auto"/>
              </w:rPr>
              <w:t>30,342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ind w:right="120"/>
              <w:spacing w:after="0"/>
              <w:rPr>
                <w:sz w:val="20"/>
                <w:szCs w:val="20"/>
                <w:color w:val="auto"/>
              </w:rPr>
            </w:pPr>
            <w:r>
              <w:rPr>
                <w:rFonts w:ascii="Arial" w:cs="Arial" w:eastAsia="Arial" w:hAnsi="Arial"/>
                <w:sz w:val="16"/>
                <w:szCs w:val="16"/>
                <w:color w:val="auto"/>
              </w:rPr>
              <w:t>79,218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Severance and other transformational costs (2)</w:t>
            </w:r>
          </w:p>
        </w:tc>
        <w:tc>
          <w:tcPr>
            <w:tcW w:w="1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2,415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748</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24,647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3,603</w:t>
            </w:r>
          </w:p>
        </w:tc>
        <w:tc>
          <w:tcPr>
            <w:tcW w:w="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00" w:type="dxa"/>
            <w:vAlign w:val="bottom"/>
          </w:tcPr>
          <w:p>
            <w:pPr>
              <w:ind w:left="120"/>
              <w:spacing w:after="0"/>
              <w:rPr>
                <w:sz w:val="20"/>
                <w:szCs w:val="20"/>
                <w:color w:val="auto"/>
              </w:rPr>
            </w:pPr>
            <w:r>
              <w:rPr>
                <w:rFonts w:ascii="Arial" w:cs="Arial" w:eastAsia="Arial" w:hAnsi="Arial"/>
                <w:sz w:val="16"/>
                <w:szCs w:val="16"/>
                <w:color w:val="auto"/>
              </w:rPr>
              <w:t>Restaurant relocations and related costs (3)</w:t>
            </w:r>
          </w:p>
        </w:tc>
        <w:tc>
          <w:tcPr>
            <w:tcW w:w="180" w:type="dxa"/>
            <w:vAlign w:val="bottom"/>
          </w:tcPr>
          <w:p>
            <w:pPr>
              <w:spacing w:after="0"/>
              <w:rPr>
                <w:sz w:val="19"/>
                <w:szCs w:val="19"/>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952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ind w:right="120"/>
              <w:spacing w:after="0"/>
              <w:rPr>
                <w:sz w:val="20"/>
                <w:szCs w:val="20"/>
                <w:color w:val="auto"/>
              </w:rPr>
            </w:pPr>
            <w:r>
              <w:rPr>
                <w:rFonts w:ascii="Arial" w:cs="Arial" w:eastAsia="Arial" w:hAnsi="Arial"/>
                <w:sz w:val="16"/>
                <w:szCs w:val="16"/>
                <w:color w:val="auto"/>
              </w:rPr>
              <w:t>592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1,984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Legal and contingent matters</w:t>
            </w:r>
          </w:p>
        </w:tc>
        <w:tc>
          <w:tcPr>
            <w:tcW w:w="1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178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20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Restaurant and asset impairments and closing costs (4)</w:t>
            </w:r>
          </w:p>
        </w:tc>
        <w:tc>
          <w:tcPr>
            <w:tcW w:w="1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2,039</w:t>
            </w:r>
          </w:p>
        </w:tc>
        <w:tc>
          <w:tcPr>
            <w:tcW w:w="16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(2,797)</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4,170</w:t>
            </w:r>
          </w:p>
        </w:tc>
        <w:tc>
          <w:tcPr>
            <w:tcW w:w="1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income from operations adjustments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32,757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3,739</w:t>
            </w:r>
          </w:p>
        </w:tc>
        <w:tc>
          <w:tcPr>
            <w:tcW w:w="16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101,838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9,757</w:t>
            </w:r>
          </w:p>
        </w:tc>
        <w:tc>
          <w:tcPr>
            <w:tcW w:w="18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200" w:type="dxa"/>
            <w:vAlign w:val="bottom"/>
          </w:tcPr>
          <w:p>
            <w:pPr>
              <w:ind w:left="20"/>
              <w:spacing w:after="0"/>
              <w:rPr>
                <w:sz w:val="20"/>
                <w:szCs w:val="20"/>
                <w:color w:val="auto"/>
              </w:rPr>
            </w:pPr>
            <w:r>
              <w:rPr>
                <w:rFonts w:ascii="Arial" w:cs="Arial" w:eastAsia="Arial" w:hAnsi="Arial"/>
                <w:sz w:val="16"/>
                <w:szCs w:val="16"/>
                <w:color w:val="auto"/>
              </w:rPr>
              <w:t>Adjusted (loss) income from operations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00"/>
              <w:spacing w:after="0"/>
              <w:rPr>
                <w:sz w:val="20"/>
                <w:szCs w:val="20"/>
                <w:color w:val="auto"/>
              </w:rPr>
            </w:pPr>
            <w:r>
              <w:rPr>
                <w:rFonts w:ascii="Arial" w:cs="Arial" w:eastAsia="Arial" w:hAnsi="Arial"/>
                <w:sz w:val="16"/>
                <w:szCs w:val="16"/>
                <w:color w:val="auto"/>
              </w:rPr>
              <w:t>(79,155)</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47,199</w:t>
            </w:r>
          </w:p>
        </w:tc>
        <w:tc>
          <w:tcPr>
            <w:tcW w:w="46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80"/>
              <w:spacing w:after="0"/>
              <w:rPr>
                <w:sz w:val="20"/>
                <w:szCs w:val="20"/>
                <w:color w:val="auto"/>
              </w:rPr>
            </w:pPr>
            <w:r>
              <w:rPr>
                <w:rFonts w:ascii="Arial" w:cs="Arial" w:eastAsia="Arial" w:hAnsi="Arial"/>
                <w:sz w:val="16"/>
                <w:szCs w:val="16"/>
                <w:color w:val="auto"/>
              </w:rPr>
              <w:t>(51,642)</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135,711</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20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6"/>
                <w:szCs w:val="16"/>
                <w:i w:val="1"/>
                <w:iCs w:val="1"/>
                <w:color w:val="auto"/>
              </w:rPr>
              <w:t>Adjusted operating (loss) income margin</w:t>
            </w: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 %</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 %</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57"/>
        </w:trPr>
        <w:tc>
          <w:tcPr>
            <w:tcW w:w="5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income attributable to common stockholders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(92,256)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29,021</w:t>
            </w:r>
          </w:p>
        </w:tc>
        <w:tc>
          <w:tcPr>
            <w:tcW w:w="4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(130,363)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93,321</w:t>
            </w:r>
          </w:p>
        </w:tc>
        <w:tc>
          <w:tcPr>
            <w:tcW w:w="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5200" w:type="dxa"/>
            <w:vAlign w:val="bottom"/>
          </w:tcPr>
          <w:p>
            <w:pPr>
              <w:ind w:left="20"/>
              <w:spacing w:after="0"/>
              <w:rPr>
                <w:sz w:val="20"/>
                <w:szCs w:val="20"/>
                <w:color w:val="auto"/>
              </w:rPr>
            </w:pPr>
            <w:r>
              <w:rPr>
                <w:rFonts w:ascii="Arial" w:cs="Arial" w:eastAsia="Arial" w:hAnsi="Arial"/>
                <w:sz w:val="16"/>
                <w:szCs w:val="16"/>
                <w:color w:val="auto"/>
              </w:rPr>
              <w:t>Adjustments:</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(Loss) income from operations adjustments</w:t>
            </w:r>
          </w:p>
        </w:tc>
        <w:tc>
          <w:tcPr>
            <w:tcW w:w="1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32,757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3,739</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101,838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9,757</w:t>
            </w:r>
          </w:p>
        </w:tc>
        <w:tc>
          <w:tcPr>
            <w:tcW w:w="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20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Amortization of debt discount (5)</w:t>
            </w:r>
          </w:p>
        </w:tc>
        <w:tc>
          <w:tcPr>
            <w:tcW w:w="1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1,379</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1,379</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adjustments, before income taxes</w:t>
            </w:r>
          </w:p>
        </w:tc>
        <w:tc>
          <w:tcPr>
            <w:tcW w:w="1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34,136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3,739</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103,217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9,757</w:t>
            </w:r>
          </w:p>
        </w:tc>
        <w:tc>
          <w:tcPr>
            <w:tcW w:w="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00" w:type="dxa"/>
            <w:vAlign w:val="bottom"/>
          </w:tcPr>
          <w:p>
            <w:pPr>
              <w:ind w:left="120"/>
              <w:spacing w:after="0"/>
              <w:rPr>
                <w:sz w:val="20"/>
                <w:szCs w:val="20"/>
                <w:color w:val="auto"/>
              </w:rPr>
            </w:pPr>
            <w:r>
              <w:rPr>
                <w:rFonts w:ascii="Arial" w:cs="Arial" w:eastAsia="Arial" w:hAnsi="Arial"/>
                <w:sz w:val="16"/>
                <w:szCs w:val="16"/>
                <w:color w:val="auto"/>
              </w:rPr>
              <w:t>Adjustment to provision for income taxes (6)</w:t>
            </w:r>
          </w:p>
        </w:tc>
        <w:tc>
          <w:tcPr>
            <w:tcW w:w="180" w:type="dxa"/>
            <w:vAlign w:val="bottom"/>
          </w:tcPr>
          <w:p>
            <w:pPr>
              <w:spacing w:after="0"/>
              <w:rPr>
                <w:sz w:val="19"/>
                <w:szCs w:val="19"/>
                <w:color w:val="auto"/>
              </w:rPr>
            </w:pPr>
          </w:p>
        </w:tc>
        <w:tc>
          <w:tcPr>
            <w:tcW w:w="1240" w:type="dxa"/>
            <w:vAlign w:val="bottom"/>
          </w:tcPr>
          <w:p>
            <w:pPr>
              <w:jc w:val="right"/>
              <w:ind w:right="100"/>
              <w:spacing w:after="0"/>
              <w:rPr>
                <w:sz w:val="20"/>
                <w:szCs w:val="20"/>
                <w:color w:val="auto"/>
              </w:rPr>
            </w:pPr>
            <w:r>
              <w:rPr>
                <w:rFonts w:ascii="Arial" w:cs="Arial" w:eastAsia="Arial" w:hAnsi="Arial"/>
                <w:sz w:val="16"/>
                <w:szCs w:val="16"/>
                <w:color w:val="auto"/>
              </w:rPr>
              <w:t>(6,474)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(413)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color w:val="auto"/>
              </w:rPr>
              <w:t>(28,469)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(1,232)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2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Redemption of preferred stock in excess of carrying value (7)</w:t>
            </w:r>
          </w:p>
        </w:tc>
        <w:tc>
          <w:tcPr>
            <w:tcW w:w="18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3,496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200" w:type="dxa"/>
            <w:vAlign w:val="bottom"/>
            <w:tcBorders>
              <w:top w:val="single" w:sz="8" w:color="CCEEFF"/>
              <w:bottom w:val="single" w:sz="8" w:color="CCEEFF"/>
            </w:tcBorders>
          </w:tcPr>
          <w:p>
            <w:pPr>
              <w:ind w:left="20"/>
              <w:spacing w:after="0"/>
              <w:rPr>
                <w:sz w:val="20"/>
                <w:szCs w:val="20"/>
                <w:color w:val="auto"/>
              </w:rPr>
            </w:pPr>
            <w:r>
              <w:rPr>
                <w:rFonts w:ascii="Arial" w:cs="Arial" w:eastAsia="Arial" w:hAnsi="Arial"/>
                <w:sz w:val="16"/>
                <w:szCs w:val="16"/>
                <w:color w:val="auto"/>
              </w:rPr>
              <w:t>Net adjustments</w:t>
            </w:r>
          </w:p>
        </w:tc>
        <w:tc>
          <w:tcPr>
            <w:tcW w:w="180" w:type="dxa"/>
            <w:vAlign w:val="bottom"/>
            <w:tcBorders>
              <w:top w:val="single" w:sz="8" w:color="auto"/>
              <w:bottom w:val="single" w:sz="8" w:color="auto"/>
            </w:tcBorders>
          </w:tcPr>
          <w:p>
            <w:pPr>
              <w:spacing w:after="0"/>
              <w:rPr>
                <w:sz w:val="23"/>
                <w:szCs w:val="23"/>
                <w:color w:val="auto"/>
              </w:rPr>
            </w:pPr>
          </w:p>
        </w:tc>
        <w:tc>
          <w:tcPr>
            <w:tcW w:w="124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6"/>
                <w:szCs w:val="16"/>
                <w:color w:val="auto"/>
              </w:rPr>
              <w:t>27,662</w:t>
            </w:r>
          </w:p>
        </w:tc>
        <w:tc>
          <w:tcPr>
            <w:tcW w:w="120" w:type="dxa"/>
            <w:vAlign w:val="bottom"/>
            <w:tcBorders>
              <w:top w:val="single" w:sz="8" w:color="CCEEFF"/>
              <w:bottom w:val="single" w:sz="8" w:color="CCEEFF"/>
            </w:tcBorders>
          </w:tcPr>
          <w:p>
            <w:pPr>
              <w:spacing w:after="0"/>
              <w:rPr>
                <w:sz w:val="23"/>
                <w:szCs w:val="23"/>
                <w:color w:val="auto"/>
              </w:rPr>
            </w:pPr>
          </w:p>
        </w:tc>
        <w:tc>
          <w:tcPr>
            <w:tcW w:w="160" w:type="dxa"/>
            <w:vAlign w:val="bottom"/>
            <w:tcBorders>
              <w:top w:val="single" w:sz="8" w:color="auto"/>
              <w:bottom w:val="single" w:sz="8" w:color="auto"/>
            </w:tcBorders>
          </w:tcPr>
          <w:p>
            <w:pPr>
              <w:spacing w:after="0"/>
              <w:rPr>
                <w:sz w:val="23"/>
                <w:szCs w:val="23"/>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3,326</w:t>
            </w:r>
          </w:p>
        </w:tc>
        <w:tc>
          <w:tcPr>
            <w:tcW w:w="160" w:type="dxa"/>
            <w:vAlign w:val="bottom"/>
            <w:tcBorders>
              <w:top w:val="single" w:sz="8" w:color="auto"/>
              <w:bottom w:val="single" w:sz="8" w:color="auto"/>
            </w:tcBorders>
          </w:tcPr>
          <w:p>
            <w:pPr>
              <w:spacing w:after="0"/>
              <w:rPr>
                <w:sz w:val="23"/>
                <w:szCs w:val="23"/>
                <w:color w:val="auto"/>
              </w:rPr>
            </w:pPr>
          </w:p>
        </w:tc>
        <w:tc>
          <w:tcPr>
            <w:tcW w:w="120" w:type="dxa"/>
            <w:vAlign w:val="bottom"/>
            <w:tcBorders>
              <w:top w:val="single" w:sz="8" w:color="CCEEFF"/>
              <w:bottom w:val="single" w:sz="8" w:color="CCEEFF"/>
            </w:tcBorders>
          </w:tcPr>
          <w:p>
            <w:pPr>
              <w:spacing w:after="0"/>
              <w:rPr>
                <w:sz w:val="23"/>
                <w:szCs w:val="23"/>
                <w:color w:val="auto"/>
              </w:rPr>
            </w:pPr>
          </w:p>
        </w:tc>
        <w:tc>
          <w:tcPr>
            <w:tcW w:w="180" w:type="dxa"/>
            <w:vAlign w:val="bottom"/>
            <w:tcBorders>
              <w:top w:val="single" w:sz="8" w:color="auto"/>
              <w:bottom w:val="single" w:sz="8" w:color="auto"/>
            </w:tcBorders>
          </w:tcPr>
          <w:p>
            <w:pPr>
              <w:spacing w:after="0"/>
              <w:rPr>
                <w:sz w:val="23"/>
                <w:szCs w:val="23"/>
                <w:color w:val="auto"/>
              </w:rPr>
            </w:pPr>
          </w:p>
        </w:tc>
        <w:tc>
          <w:tcPr>
            <w:tcW w:w="124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6"/>
                <w:szCs w:val="16"/>
                <w:color w:val="auto"/>
              </w:rPr>
              <w:t>78,244</w:t>
            </w:r>
          </w:p>
        </w:tc>
        <w:tc>
          <w:tcPr>
            <w:tcW w:w="120" w:type="dxa"/>
            <w:vAlign w:val="bottom"/>
            <w:tcBorders>
              <w:top w:val="single" w:sz="8" w:color="CCEEFF"/>
              <w:bottom w:val="single" w:sz="8" w:color="CCEEFF"/>
            </w:tcBorders>
          </w:tcPr>
          <w:p>
            <w:pPr>
              <w:spacing w:after="0"/>
              <w:rPr>
                <w:sz w:val="23"/>
                <w:szCs w:val="23"/>
                <w:color w:val="auto"/>
              </w:rPr>
            </w:pPr>
          </w:p>
        </w:tc>
        <w:tc>
          <w:tcPr>
            <w:tcW w:w="180" w:type="dxa"/>
            <w:vAlign w:val="bottom"/>
            <w:tcBorders>
              <w:top w:val="single" w:sz="8" w:color="auto"/>
              <w:bottom w:val="single" w:sz="8" w:color="auto"/>
            </w:tcBorders>
          </w:tcPr>
          <w:p>
            <w:pPr>
              <w:spacing w:after="0"/>
              <w:rPr>
                <w:sz w:val="23"/>
                <w:szCs w:val="23"/>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8,525</w:t>
            </w:r>
          </w:p>
        </w:tc>
        <w:tc>
          <w:tcPr>
            <w:tcW w:w="180" w:type="dxa"/>
            <w:vAlign w:val="bottom"/>
            <w:tcBorders>
              <w:top w:val="single" w:sz="8" w:color="auto"/>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net (loss)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(64,594)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32,347</w:t>
            </w: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(52,119)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101,846</w:t>
            </w:r>
          </w:p>
        </w:tc>
        <w:tc>
          <w:tcPr>
            <w:tcW w:w="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5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9"/>
              </w:rPr>
              <w:t>Diluted (loss) earnings per share attributable to common stockholders (8)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(1.05)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0.32</w:t>
            </w:r>
          </w:p>
        </w:tc>
        <w:tc>
          <w:tcPr>
            <w:tcW w:w="16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(1.49)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8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6"/>
                <w:szCs w:val="16"/>
                <w:color w:val="auto"/>
              </w:rPr>
              <w:t>Adjusted diluted (loss) earnings per share (8)</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00"/>
              <w:spacing w:after="0"/>
              <w:rPr>
                <w:sz w:val="20"/>
                <w:szCs w:val="20"/>
                <w:color w:val="auto"/>
              </w:rPr>
            </w:pPr>
            <w:r>
              <w:rPr>
                <w:rFonts w:ascii="Arial" w:cs="Arial" w:eastAsia="Arial" w:hAnsi="Arial"/>
                <w:sz w:val="16"/>
                <w:szCs w:val="16"/>
                <w:color w:val="auto"/>
              </w:rPr>
              <w:t>(0.74)</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0.36</w:t>
            </w:r>
          </w:p>
        </w:tc>
        <w:tc>
          <w:tcPr>
            <w:tcW w:w="46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80"/>
              <w:spacing w:after="0"/>
              <w:rPr>
                <w:sz w:val="20"/>
                <w:szCs w:val="20"/>
                <w:color w:val="auto"/>
              </w:rPr>
            </w:pPr>
            <w:r>
              <w:rPr>
                <w:rFonts w:ascii="Arial" w:cs="Arial" w:eastAsia="Arial" w:hAnsi="Arial"/>
                <w:sz w:val="16"/>
                <w:szCs w:val="16"/>
                <w:color w:val="auto"/>
              </w:rPr>
              <w:t>(0.60)</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1.11</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5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200" w:type="dxa"/>
            <w:vAlign w:val="bottom"/>
          </w:tcPr>
          <w:p>
            <w:pPr>
              <w:ind w:left="20"/>
              <w:spacing w:after="0"/>
              <w:rPr>
                <w:sz w:val="20"/>
                <w:szCs w:val="20"/>
                <w:color w:val="auto"/>
              </w:rPr>
            </w:pPr>
            <w:r>
              <w:rPr>
                <w:rFonts w:ascii="Arial" w:cs="Arial" w:eastAsia="Arial" w:hAnsi="Arial"/>
                <w:sz w:val="16"/>
                <w:szCs w:val="16"/>
                <w:color w:val="auto"/>
              </w:rPr>
              <w:t>Diluted weighted average common shares outstanding (8)</w:t>
            </w:r>
          </w:p>
        </w:tc>
        <w:tc>
          <w:tcPr>
            <w:tcW w:w="1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87,496</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90,953</w:t>
            </w:r>
          </w:p>
        </w:tc>
        <w:tc>
          <w:tcPr>
            <w:tcW w:w="1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87,312</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91,807</w:t>
            </w:r>
          </w:p>
        </w:tc>
        <w:tc>
          <w:tcPr>
            <w:tcW w:w="1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00" w:type="dxa"/>
            <w:vAlign w:val="bottom"/>
            <w:vMerge w:val="restart"/>
          </w:tcPr>
          <w:p>
            <w:pPr>
              <w:spacing w:after="0"/>
              <w:rPr>
                <w:sz w:val="20"/>
                <w:szCs w:val="20"/>
                <w:color w:val="auto"/>
              </w:rPr>
            </w:pPr>
            <w:r>
              <w:rPr>
                <w:rFonts w:ascii="Arial" w:cs="Arial" w:eastAsia="Arial" w:hAnsi="Arial"/>
                <w:sz w:val="16"/>
                <w:szCs w:val="16"/>
                <w:color w:val="auto"/>
              </w:rPr>
              <w:t>_________________</w:t>
            </w: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5200" w:type="dxa"/>
            <w:vAlign w:val="bottom"/>
            <w:vMerge w:val="continue"/>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jc w:val="both"/>
        <w:ind w:left="660" w:hanging="652"/>
        <w:spacing w:after="0" w:line="262" w:lineRule="auto"/>
        <w:tabs>
          <w:tab w:leader="none" w:pos="660" w:val="left"/>
        </w:tabs>
        <w:numPr>
          <w:ilvl w:val="0"/>
          <w:numId w:val="43"/>
        </w:numPr>
        <w:rPr>
          <w:rFonts w:ascii="Arial" w:cs="Arial" w:eastAsia="Arial" w:hAnsi="Arial"/>
          <w:sz w:val="15"/>
          <w:szCs w:val="15"/>
          <w:color w:val="auto"/>
        </w:rPr>
      </w:pPr>
      <w:r>
        <w:rPr>
          <w:rFonts w:ascii="Arial" w:cs="Arial" w:eastAsia="Arial" w:hAnsi="Arial"/>
          <w:sz w:val="15"/>
          <w:szCs w:val="15"/>
          <w:color w:val="auto"/>
        </w:rPr>
        <w:t xml:space="preserve">Represents costs incurred in connection with the economic impact of the COVID-19 pandemic, primarily consisting of fixed asset and right-of-use asset impairments, restructuring charges, inventory obsolescence and spoilage, contingent lease liabilities and current expected credit losses. See Note 2 - </w:t>
      </w:r>
      <w:r>
        <w:rPr>
          <w:rFonts w:ascii="Arial" w:cs="Arial" w:eastAsia="Arial" w:hAnsi="Arial"/>
          <w:sz w:val="15"/>
          <w:szCs w:val="15"/>
          <w:i w:val="1"/>
          <w:iCs w:val="1"/>
          <w:color w:val="auto"/>
        </w:rPr>
        <w:t>COVID-19</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Charges </w:t>
      </w:r>
      <w:r>
        <w:rPr>
          <w:rFonts w:ascii="Arial" w:cs="Arial" w:eastAsia="Arial" w:hAnsi="Arial"/>
          <w:sz w:val="15"/>
          <w:szCs w:val="15"/>
          <w:color w:val="auto"/>
        </w:rPr>
        <w:t>of the Notes to Consolidated Financial Statements for additional details regarding the impact of the COVID-19 pandemic on our financial results.</w:t>
      </w:r>
    </w:p>
    <w:p>
      <w:pPr>
        <w:spacing w:after="0" w:line="2" w:lineRule="exact"/>
        <w:rPr>
          <w:rFonts w:ascii="Arial" w:cs="Arial" w:eastAsia="Arial" w:hAnsi="Arial"/>
          <w:sz w:val="15"/>
          <w:szCs w:val="15"/>
          <w:color w:val="auto"/>
        </w:rPr>
      </w:pPr>
    </w:p>
    <w:p>
      <w:pPr>
        <w:ind w:left="660" w:hanging="652"/>
        <w:spacing w:after="0"/>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Relates to severance and other costs incurred as a result of transformational and restructuring activities.</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Represents asset impairment charges and accelerated depreciation incurred in connection with our relocation program.</w:t>
      </w:r>
    </w:p>
    <w:p>
      <w:pPr>
        <w:spacing w:after="0" w:line="5" w:lineRule="exact"/>
        <w:rPr>
          <w:rFonts w:ascii="Arial" w:cs="Arial" w:eastAsia="Arial" w:hAnsi="Arial"/>
          <w:sz w:val="16"/>
          <w:szCs w:val="16"/>
          <w:color w:val="auto"/>
        </w:rPr>
      </w:pPr>
    </w:p>
    <w:p>
      <w:pPr>
        <w:ind w:left="660" w:hanging="652"/>
        <w:spacing w:after="0" w:line="246" w:lineRule="auto"/>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Includes a lease termination gain of $2.8 million during the twenty-six weeks ended June 28, 2020 and asset impairment charges and related costs primarily related to approved closure and restructuring initiatives in 2019.</w:t>
      </w:r>
    </w:p>
    <w:p>
      <w:pPr>
        <w:ind w:left="660" w:right="20" w:hanging="652"/>
        <w:spacing w:after="0" w:line="246" w:lineRule="auto"/>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 xml:space="preserve">Represents the amortization of the debt discount related to the issuance of the 2025 Notes. See Note 12 - </w:t>
      </w:r>
      <w:r>
        <w:rPr>
          <w:rFonts w:ascii="Arial" w:cs="Arial" w:eastAsia="Arial" w:hAnsi="Arial"/>
          <w:sz w:val="16"/>
          <w:szCs w:val="16"/>
          <w:i w:val="1"/>
          <w:iCs w:val="1"/>
          <w:color w:val="auto"/>
        </w:rPr>
        <w:t>Convertible Senior Notes</w:t>
      </w:r>
      <w:r>
        <w:rPr>
          <w:rFonts w:ascii="Arial" w:cs="Arial" w:eastAsia="Arial" w:hAnsi="Arial"/>
          <w:sz w:val="16"/>
          <w:szCs w:val="16"/>
          <w:color w:val="auto"/>
        </w:rPr>
        <w:t xml:space="preserve"> of the Notes to Consolidated Financial Statements for details.</w:t>
      </w:r>
    </w:p>
    <w:p>
      <w:pPr>
        <w:ind w:left="660" w:hanging="652"/>
        <w:spacing w:after="0"/>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Represents income tax effect of the adjustments for the periods presented.</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Represents consideration paid in excess of the carrying value for the redemption of preferred stock of our Abbraccio subsidiary.</w:t>
      </w:r>
    </w:p>
    <w:p>
      <w:pPr>
        <w:spacing w:after="0" w:line="5" w:lineRule="exact"/>
        <w:rPr>
          <w:rFonts w:ascii="Arial" w:cs="Arial" w:eastAsia="Arial" w:hAnsi="Arial"/>
          <w:sz w:val="16"/>
          <w:szCs w:val="16"/>
          <w:color w:val="auto"/>
        </w:rPr>
      </w:pPr>
    </w:p>
    <w:p>
      <w:pPr>
        <w:ind w:left="660" w:right="20" w:hanging="652"/>
        <w:spacing w:after="0" w:line="257" w:lineRule="auto"/>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Due to the net loss, the effect of dilutive securities was excluded from the calculation of diluted (loss) earnings per share for the thirteen and twenty-six weeks ended June 28,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3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LIQUIDITY</w:t>
      </w:r>
    </w:p>
    <w:p>
      <w:pPr>
        <w:spacing w:after="0" w:line="24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Typically, cash flows generated from operating activities and availability under our revolving credit facility are our principal sources of liquidity, which we use for operating expenses, payments on our debt, remodeling or relocating older restaurants, obligations related to our deferred compensation plans and investment in technology. Substantially all of our restaurants are currently operating at reduced capacities or, in some cases, off-premises only due to the COVID-19 pandemic which has negatively impacted our operating cashflows.</w:t>
      </w:r>
    </w:p>
    <w:p>
      <w:pPr>
        <w:spacing w:after="0" w:line="18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In response to the COVID-19 pandemic, we have tightly managed expenses while prioritizing supporting our workforce and our off-premises business. In addition, we have taken several precautionary measures to preserve liquidity, including the following:</w:t>
      </w:r>
    </w:p>
    <w:p>
      <w:pPr>
        <w:spacing w:after="0" w:line="204" w:lineRule="exact"/>
        <w:rPr>
          <w:sz w:val="20"/>
          <w:szCs w:val="20"/>
          <w:color w:val="auto"/>
        </w:rPr>
      </w:pPr>
    </w:p>
    <w:p>
      <w:pPr>
        <w:ind w:left="640" w:hanging="308"/>
        <w:spacing w:after="0"/>
        <w:tabs>
          <w:tab w:leader="none" w:pos="640" w:val="left"/>
        </w:tabs>
        <w:numPr>
          <w:ilvl w:val="0"/>
          <w:numId w:val="44"/>
        </w:numPr>
        <w:rPr>
          <w:rFonts w:ascii="Arial" w:cs="Arial" w:eastAsia="Arial" w:hAnsi="Arial"/>
          <w:sz w:val="20"/>
          <w:szCs w:val="20"/>
          <w:color w:val="auto"/>
        </w:rPr>
      </w:pPr>
      <w:r>
        <w:rPr>
          <w:rFonts w:ascii="Arial" w:cs="Arial" w:eastAsia="Arial" w:hAnsi="Arial"/>
          <w:sz w:val="20"/>
          <w:szCs w:val="20"/>
          <w:color w:val="auto"/>
        </w:rPr>
        <w:t>we suspended our quarterly cash dividend and stock repurchases;</w:t>
      </w:r>
    </w:p>
    <w:p>
      <w:pPr>
        <w:spacing w:after="0" w:line="15" w:lineRule="exact"/>
        <w:rPr>
          <w:rFonts w:ascii="Arial" w:cs="Arial" w:eastAsia="Arial" w:hAnsi="Arial"/>
          <w:sz w:val="20"/>
          <w:szCs w:val="20"/>
          <w:color w:val="auto"/>
        </w:rPr>
      </w:pPr>
    </w:p>
    <w:p>
      <w:pPr>
        <w:ind w:left="640" w:hanging="308"/>
        <w:spacing w:after="0"/>
        <w:tabs>
          <w:tab w:leader="none" w:pos="640" w:val="left"/>
        </w:tabs>
        <w:numPr>
          <w:ilvl w:val="0"/>
          <w:numId w:val="44"/>
        </w:numPr>
        <w:rPr>
          <w:rFonts w:ascii="Arial" w:cs="Arial" w:eastAsia="Arial" w:hAnsi="Arial"/>
          <w:sz w:val="20"/>
          <w:szCs w:val="20"/>
          <w:color w:val="auto"/>
        </w:rPr>
      </w:pPr>
      <w:r>
        <w:rPr>
          <w:rFonts w:ascii="Arial" w:cs="Arial" w:eastAsia="Arial" w:hAnsi="Arial"/>
          <w:sz w:val="20"/>
          <w:szCs w:val="20"/>
          <w:color w:val="auto"/>
        </w:rPr>
        <w:t>we significantly reduced marketing and tightly managed other expenses;</w:t>
      </w:r>
    </w:p>
    <w:p>
      <w:pPr>
        <w:ind w:left="640" w:hanging="308"/>
        <w:spacing w:after="0"/>
        <w:tabs>
          <w:tab w:leader="none" w:pos="640" w:val="left"/>
        </w:tabs>
        <w:numPr>
          <w:ilvl w:val="0"/>
          <w:numId w:val="44"/>
        </w:numPr>
        <w:rPr>
          <w:rFonts w:ascii="Arial" w:cs="Arial" w:eastAsia="Arial" w:hAnsi="Arial"/>
          <w:sz w:val="20"/>
          <w:szCs w:val="20"/>
          <w:color w:val="auto"/>
        </w:rPr>
      </w:pPr>
      <w:r>
        <w:rPr>
          <w:rFonts w:ascii="Arial" w:cs="Arial" w:eastAsia="Arial" w:hAnsi="Arial"/>
          <w:sz w:val="20"/>
          <w:szCs w:val="20"/>
          <w:color w:val="auto"/>
        </w:rPr>
        <w:t>we substantially limited capital expenditures to facility maintenance in support of our off-premises business; and</w:t>
      </w:r>
    </w:p>
    <w:p>
      <w:pPr>
        <w:ind w:left="640" w:hanging="308"/>
        <w:spacing w:after="0"/>
        <w:tabs>
          <w:tab w:leader="none" w:pos="640" w:val="left"/>
        </w:tabs>
        <w:numPr>
          <w:ilvl w:val="0"/>
          <w:numId w:val="44"/>
        </w:numPr>
        <w:rPr>
          <w:rFonts w:ascii="Arial" w:cs="Arial" w:eastAsia="Arial" w:hAnsi="Arial"/>
          <w:sz w:val="20"/>
          <w:szCs w:val="20"/>
          <w:color w:val="auto"/>
        </w:rPr>
      </w:pPr>
      <w:r>
        <w:rPr>
          <w:rFonts w:ascii="Arial" w:cs="Arial" w:eastAsia="Arial" w:hAnsi="Arial"/>
          <w:sz w:val="20"/>
          <w:szCs w:val="20"/>
          <w:color w:val="auto"/>
        </w:rPr>
        <w:t>we engaged in constructive dialogue with our landlords regarding rent abatements and deferrals.</w:t>
      </w:r>
    </w:p>
    <w:p>
      <w:pPr>
        <w:spacing w:after="0" w:line="22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above actions are in addition to the significant cost cutting measures for fiscal 2020 that we announced and implemented earlier in the year.</w:t>
      </w:r>
    </w:p>
    <w:p>
      <w:pPr>
        <w:spacing w:after="0" w:line="20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In addition, on March 16, 2020, in order to increase our cash position and preserve financial flexibility, we drew down substantially all remaining availability under our revolving credit facility.</w:t>
      </w:r>
    </w:p>
    <w:p>
      <w:pPr>
        <w:spacing w:after="0" w:line="20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In May 2020, we issued $230.0 million aggregate principal amount of 5.00% convertible senior notes due 2025. Net proceeds from the 2025 Notes were approximately $221.6 million, after deducting the initial purchaser’s discounts and commissions and our offering expenses. See “</w:t>
      </w:r>
      <w:r>
        <w:rPr>
          <w:rFonts w:ascii="Arial" w:cs="Arial" w:eastAsia="Arial" w:hAnsi="Arial"/>
          <w:sz w:val="20"/>
          <w:szCs w:val="20"/>
          <w:i w:val="1"/>
          <w:iCs w:val="1"/>
          <w:color w:val="auto"/>
        </w:rPr>
        <w:t>2025 Notes”</w:t>
      </w:r>
      <w:r>
        <w:rPr>
          <w:rFonts w:ascii="Arial" w:cs="Arial" w:eastAsia="Arial" w:hAnsi="Arial"/>
          <w:sz w:val="20"/>
          <w:szCs w:val="20"/>
          <w:color w:val="auto"/>
        </w:rPr>
        <w:t xml:space="preserve"> below for additional details regarding the convertible senior notes.</w:t>
      </w:r>
    </w:p>
    <w:p>
      <w:pPr>
        <w:spacing w:after="0" w:line="21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In June 2020, we repaid $360.0 million on our revolving credit facility with cash on hand, a portion of which was proceeds from the 2025 Notes.</w:t>
      </w:r>
    </w:p>
    <w:p>
      <w:pPr>
        <w:spacing w:after="0" w:line="20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Cash and Cash Equivalents </w:t>
      </w:r>
      <w:r>
        <w:rPr>
          <w:rFonts w:ascii="Arial" w:cs="Arial" w:eastAsia="Arial" w:hAnsi="Arial"/>
          <w:sz w:val="20"/>
          <w:szCs w:val="20"/>
          <w:color w:val="auto"/>
        </w:rPr>
        <w:t>- As of June 28, 2020, we had $181.4 million in cash and cash equivalents, of which $26.7 million was held by</w:t>
      </w:r>
      <w:r>
        <w:rPr>
          <w:rFonts w:ascii="Arial" w:cs="Arial" w:eastAsia="Arial" w:hAnsi="Arial"/>
          <w:sz w:val="20"/>
          <w:szCs w:val="20"/>
          <w:i w:val="1"/>
          <w:iCs w:val="1"/>
          <w:color w:val="auto"/>
        </w:rPr>
        <w:t xml:space="preserve"> </w:t>
      </w:r>
      <w:r>
        <w:rPr>
          <w:rFonts w:ascii="Arial" w:cs="Arial" w:eastAsia="Arial" w:hAnsi="Arial"/>
          <w:sz w:val="20"/>
          <w:szCs w:val="20"/>
          <w:color w:val="auto"/>
        </w:rPr>
        <w:t>foreign affiliates. The international jurisdictions in which we have significant cash do not have any known restrictions that would prohibit repatriation.</w:t>
      </w:r>
    </w:p>
    <w:p>
      <w:pPr>
        <w:spacing w:after="0" w:line="21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As of June 28, 2020, we had aggregate accumulated foreign earnings of approximately $54.8 million. This amount consisted primarily of historical earnings from 2017 and prior that were previously taxed in the U.S. under the 2017 Tax Cuts and Jobs Act and post-2017 foreign earnings, which we may repatriate to the U.S. without additional U.S. federal income tax. These amounts are no longer considered indefinitely reinvested in our foreign subsidiaries.</w:t>
      </w:r>
    </w:p>
    <w:p>
      <w:pPr>
        <w:spacing w:after="0" w:line="218" w:lineRule="exact"/>
        <w:rPr>
          <w:sz w:val="20"/>
          <w:szCs w:val="20"/>
          <w:color w:val="auto"/>
        </w:rPr>
      </w:pPr>
    </w:p>
    <w:p>
      <w:pPr>
        <w:jc w:val="both"/>
        <w:spacing w:after="0" w:line="316" w:lineRule="auto"/>
        <w:rPr>
          <w:sz w:val="20"/>
          <w:szCs w:val="20"/>
          <w:color w:val="auto"/>
        </w:rPr>
      </w:pPr>
      <w:r>
        <w:rPr>
          <w:rFonts w:ascii="Arial" w:cs="Arial" w:eastAsia="Arial" w:hAnsi="Arial"/>
          <w:sz w:val="18"/>
          <w:szCs w:val="18"/>
          <w:i w:val="1"/>
          <w:iCs w:val="1"/>
          <w:color w:val="auto"/>
        </w:rPr>
        <w:t xml:space="preserve">Closure and Restructuring Initiatives </w:t>
      </w:r>
      <w:r>
        <w:rPr>
          <w:rFonts w:ascii="Arial" w:cs="Arial" w:eastAsia="Arial" w:hAnsi="Arial"/>
          <w:sz w:val="18"/>
          <w:szCs w:val="18"/>
          <w:color w:val="auto"/>
        </w:rPr>
        <w:t>- Total aggregate future undiscounted cash expenditures of $12.1 million to $14.8 million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lease liabilities for certain closure and restructuring initiatives are expected to occur over the remaining lease terms through January 2029.</w:t>
      </w:r>
    </w:p>
    <w:p>
      <w:pPr>
        <w:spacing w:after="0" w:line="15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Capital Expenditures </w:t>
      </w:r>
      <w:r>
        <w:rPr>
          <w:rFonts w:ascii="Arial" w:cs="Arial" w:eastAsia="Arial" w:hAnsi="Arial"/>
          <w:sz w:val="20"/>
          <w:szCs w:val="20"/>
          <w:color w:val="auto"/>
        </w:rPr>
        <w:t>- We estimate that our capital expenditures will total approximately $100.0 million to $110.0 million in 2020. The</w:t>
      </w:r>
      <w:r>
        <w:rPr>
          <w:rFonts w:ascii="Arial" w:cs="Arial" w:eastAsia="Arial" w:hAnsi="Arial"/>
          <w:sz w:val="20"/>
          <w:szCs w:val="20"/>
          <w:i w:val="1"/>
          <w:iCs w:val="1"/>
          <w:color w:val="auto"/>
        </w:rPr>
        <w:t xml:space="preserve"> </w:t>
      </w:r>
      <w:r>
        <w:rPr>
          <w:rFonts w:ascii="Arial" w:cs="Arial" w:eastAsia="Arial" w:hAnsi="Arial"/>
          <w:sz w:val="20"/>
          <w:szCs w:val="20"/>
          <w:color w:val="auto"/>
        </w:rPr>
        <w:t>amount of actual capital expenditures may be affected by general economic, financial, competitive, legislative and regulatory factors, among other things, including restrictions imposed by our borrowing</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34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arrangements. Under the Amended Credit Agreement, we are limited to $100.0 million of aggregate capital expenditures for the four fiscal quarters through March 28, 2021.</w:t>
      </w:r>
    </w:p>
    <w:p>
      <w:pPr>
        <w:spacing w:after="0" w:line="20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 xml:space="preserve">Credit Facilities </w:t>
      </w:r>
      <w:r>
        <w:rPr>
          <w:rFonts w:ascii="Arial" w:cs="Arial" w:eastAsia="Arial" w:hAnsi="Arial"/>
          <w:sz w:val="20"/>
          <w:szCs w:val="20"/>
          <w:color w:val="auto"/>
        </w:rPr>
        <w:t>- As of June 28, 2020, we had $1.3 billion of outstanding borrowings under our Senior Secured Credit Facility and 2025</w:t>
      </w:r>
      <w:r>
        <w:rPr>
          <w:rFonts w:ascii="Arial" w:cs="Arial" w:eastAsia="Arial" w:hAnsi="Arial"/>
          <w:sz w:val="20"/>
          <w:szCs w:val="20"/>
          <w:i w:val="1"/>
          <w:iCs w:val="1"/>
          <w:color w:val="auto"/>
        </w:rPr>
        <w:t xml:space="preserve"> </w:t>
      </w:r>
      <w:r>
        <w:rPr>
          <w:rFonts w:ascii="Arial" w:cs="Arial" w:eastAsia="Arial" w:hAnsi="Arial"/>
          <w:sz w:val="20"/>
          <w:szCs w:val="20"/>
          <w:color w:val="auto"/>
        </w:rPr>
        <w:t>Notes. Following is a summary of our outstanding credit facilities as of the dates indicated and principal payments and debt issuance during the period indicated: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7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gridSpan w:val="5"/>
          </w:tcPr>
          <w:p>
            <w:pPr>
              <w:jc w:val="right"/>
              <w:ind w:right="239"/>
              <w:spacing w:after="0"/>
              <w:rPr>
                <w:sz w:val="20"/>
                <w:szCs w:val="20"/>
                <w:color w:val="auto"/>
              </w:rPr>
            </w:pPr>
            <w:r>
              <w:rPr>
                <w:rFonts w:ascii="Arial" w:cs="Arial" w:eastAsia="Arial" w:hAnsi="Arial"/>
                <w:sz w:val="14"/>
                <w:szCs w:val="14"/>
                <w:b w:val="1"/>
                <w:bCs w:val="1"/>
                <w:color w:val="auto"/>
              </w:rPr>
              <w:t>SENIOR SECURED CREDIT FACILITY</w:t>
            </w:r>
          </w:p>
        </w:tc>
        <w:tc>
          <w:tcPr>
            <w:tcW w:w="1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CREDIT</w:t>
            </w:r>
          </w:p>
        </w:tc>
      </w:tr>
      <w:tr>
        <w:trPr>
          <w:trHeight w:val="209"/>
        </w:trPr>
        <w:tc>
          <w:tcPr>
            <w:tcW w:w="47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TERM LOAN A</w:t>
            </w: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REVOLVING FACILITY</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2025 NOTES</w:t>
            </w: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FACILITIES</w:t>
            </w:r>
          </w:p>
        </w:tc>
      </w:tr>
      <w:tr>
        <w:trPr>
          <w:trHeight w:val="237"/>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December 29, 2019</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450,000</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599,000</w:t>
            </w:r>
          </w:p>
        </w:tc>
        <w:tc>
          <w:tcPr>
            <w:tcW w:w="5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1,049,000</w:t>
            </w:r>
          </w:p>
        </w:tc>
      </w:tr>
      <w:tr>
        <w:trPr>
          <w:trHeight w:val="223"/>
        </w:trPr>
        <w:tc>
          <w:tcPr>
            <w:tcW w:w="4720" w:type="dxa"/>
            <w:vAlign w:val="bottom"/>
          </w:tcPr>
          <w:p>
            <w:pPr>
              <w:ind w:left="20"/>
              <w:spacing w:after="0"/>
              <w:rPr>
                <w:sz w:val="20"/>
                <w:szCs w:val="20"/>
                <w:color w:val="auto"/>
              </w:rPr>
            </w:pPr>
            <w:r>
              <w:rPr>
                <w:rFonts w:ascii="Arial" w:cs="Arial" w:eastAsia="Arial" w:hAnsi="Arial"/>
                <w:sz w:val="16"/>
                <w:szCs w:val="16"/>
                <w:color w:val="auto"/>
              </w:rPr>
              <w:t>2020 new debt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505,000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230,000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81"/>
              <w:spacing w:after="0"/>
              <w:rPr>
                <w:sz w:val="20"/>
                <w:szCs w:val="20"/>
                <w:color w:val="auto"/>
              </w:rPr>
            </w:pPr>
            <w:r>
              <w:rPr>
                <w:rFonts w:ascii="Arial" w:cs="Arial" w:eastAsia="Arial" w:hAnsi="Arial"/>
                <w:sz w:val="16"/>
                <w:szCs w:val="16"/>
                <w:color w:val="auto"/>
              </w:rPr>
              <w:t>735,000</w:t>
            </w:r>
          </w:p>
        </w:tc>
      </w:tr>
      <w:tr>
        <w:trPr>
          <w:trHeight w:val="33"/>
        </w:trPr>
        <w:tc>
          <w:tcPr>
            <w:tcW w:w="4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63"/>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2020 payments</w:t>
            </w:r>
          </w:p>
        </w:tc>
        <w:tc>
          <w:tcPr>
            <w:tcW w:w="22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(12,500)</w:t>
            </w:r>
          </w:p>
        </w:tc>
        <w:tc>
          <w:tcPr>
            <w:tcW w:w="16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(489,000)</w:t>
            </w:r>
          </w:p>
        </w:tc>
        <w:tc>
          <w:tcPr>
            <w:tcW w:w="16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(501,500)</w:t>
            </w:r>
          </w:p>
        </w:tc>
      </w:tr>
      <w:tr>
        <w:trPr>
          <w:trHeight w:val="253"/>
        </w:trPr>
        <w:tc>
          <w:tcPr>
            <w:tcW w:w="4720" w:type="dxa"/>
            <w:vAlign w:val="bottom"/>
          </w:tcPr>
          <w:p>
            <w:pPr>
              <w:ind w:left="20"/>
              <w:spacing w:after="0"/>
              <w:rPr>
                <w:sz w:val="20"/>
                <w:szCs w:val="20"/>
                <w:color w:val="auto"/>
              </w:rPr>
            </w:pPr>
            <w:r>
              <w:rPr>
                <w:rFonts w:ascii="Arial" w:cs="Arial" w:eastAsia="Arial" w:hAnsi="Arial"/>
                <w:sz w:val="16"/>
                <w:szCs w:val="16"/>
                <w:color w:val="auto"/>
              </w:rPr>
              <w:t>Balance as of June 28, 2020</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437,500</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jc w:val="right"/>
              <w:ind w:right="202"/>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615,000</w:t>
            </w:r>
          </w:p>
        </w:tc>
        <w:tc>
          <w:tcPr>
            <w:tcW w:w="50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230,000</w:t>
            </w:r>
          </w:p>
        </w:tc>
        <w:tc>
          <w:tcPr>
            <w:tcW w:w="420" w:type="dxa"/>
            <w:vAlign w:val="bottom"/>
            <w:gridSpan w:val="3"/>
          </w:tcPr>
          <w:p>
            <w:pPr>
              <w:ind w:left="320"/>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81"/>
              <w:spacing w:after="0"/>
              <w:rPr>
                <w:sz w:val="20"/>
                <w:szCs w:val="20"/>
                <w:color w:val="auto"/>
              </w:rPr>
            </w:pPr>
            <w:r>
              <w:rPr>
                <w:rFonts w:ascii="Arial" w:cs="Arial" w:eastAsia="Arial" w:hAnsi="Arial"/>
                <w:sz w:val="16"/>
                <w:szCs w:val="16"/>
                <w:color w:val="auto"/>
              </w:rPr>
              <w:t>1,282,500</w:t>
            </w:r>
          </w:p>
        </w:tc>
      </w:tr>
      <w:tr>
        <w:trPr>
          <w:trHeight w:val="20"/>
        </w:trPr>
        <w:tc>
          <w:tcPr>
            <w:tcW w:w="47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40"/>
        </w:trPr>
        <w:tc>
          <w:tcPr>
            <w:tcW w:w="4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23"/>
        </w:trPr>
        <w:tc>
          <w:tcPr>
            <w:tcW w:w="4720" w:type="dxa"/>
            <w:vAlign w:val="bottom"/>
          </w:tcPr>
          <w:p>
            <w:pPr>
              <w:ind w:left="20"/>
              <w:spacing w:after="0"/>
              <w:rPr>
                <w:sz w:val="20"/>
                <w:szCs w:val="20"/>
                <w:color w:val="auto"/>
              </w:rPr>
            </w:pPr>
            <w:r>
              <w:rPr>
                <w:rFonts w:ascii="Arial" w:cs="Arial" w:eastAsia="Arial" w:hAnsi="Arial"/>
                <w:sz w:val="16"/>
                <w:szCs w:val="16"/>
                <w:color w:val="auto"/>
              </w:rPr>
              <w:t>Weighted-average interest rate, as of June 28, 2020</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2.90</w:t>
            </w:r>
          </w:p>
        </w:tc>
        <w:tc>
          <w:tcPr>
            <w:tcW w:w="16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2.89</w:t>
            </w:r>
          </w:p>
        </w:tc>
        <w:tc>
          <w:tcPr>
            <w:tcW w:w="16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5.00</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33"/>
        </w:trPr>
        <w:tc>
          <w:tcPr>
            <w:tcW w:w="4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3"/>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Principal maturity date</w:t>
            </w:r>
          </w:p>
        </w:tc>
        <w:tc>
          <w:tcPr>
            <w:tcW w:w="220" w:type="dxa"/>
            <w:vAlign w:val="bottom"/>
            <w:shd w:val="clear" w:color="auto" w:fill="CCEEFF"/>
          </w:tcPr>
          <w:p>
            <w:pPr>
              <w:spacing w:after="0"/>
              <w:rPr>
                <w:sz w:val="19"/>
                <w:szCs w:val="19"/>
                <w:color w:val="auto"/>
              </w:rPr>
            </w:pPr>
          </w:p>
        </w:tc>
        <w:tc>
          <w:tcPr>
            <w:tcW w:w="16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November 2022</w:t>
            </w:r>
          </w:p>
        </w:tc>
        <w:tc>
          <w:tcPr>
            <w:tcW w:w="380" w:type="dxa"/>
            <w:vAlign w:val="bottom"/>
            <w:shd w:val="clear" w:color="auto" w:fill="CCEEFF"/>
          </w:tcPr>
          <w:p>
            <w:pPr>
              <w:spacing w:after="0"/>
              <w:rPr>
                <w:sz w:val="19"/>
                <w:szCs w:val="19"/>
                <w:color w:val="auto"/>
              </w:rPr>
            </w:pPr>
          </w:p>
        </w:tc>
        <w:tc>
          <w:tcPr>
            <w:tcW w:w="1680" w:type="dxa"/>
            <w:vAlign w:val="bottom"/>
            <w:gridSpan w:val="4"/>
            <w:shd w:val="clear" w:color="auto" w:fill="CCEEFF"/>
          </w:tcPr>
          <w:p>
            <w:pPr>
              <w:jc w:val="right"/>
              <w:ind w:right="360"/>
              <w:spacing w:after="0"/>
              <w:rPr>
                <w:sz w:val="20"/>
                <w:szCs w:val="20"/>
                <w:color w:val="auto"/>
              </w:rPr>
            </w:pPr>
            <w:r>
              <w:rPr>
                <w:rFonts w:ascii="Arial" w:cs="Arial" w:eastAsia="Arial" w:hAnsi="Arial"/>
                <w:sz w:val="16"/>
                <w:szCs w:val="16"/>
                <w:color w:val="auto"/>
              </w:rPr>
              <w:t>November 2022</w:t>
            </w:r>
          </w:p>
        </w:tc>
        <w:tc>
          <w:tcPr>
            <w:tcW w:w="1560" w:type="dxa"/>
            <w:vAlign w:val="bottom"/>
            <w:gridSpan w:val="4"/>
            <w:shd w:val="clear" w:color="auto" w:fill="CCEEFF"/>
          </w:tcPr>
          <w:p>
            <w:pPr>
              <w:jc w:val="right"/>
              <w:ind w:right="188"/>
              <w:spacing w:after="0"/>
              <w:rPr>
                <w:sz w:val="20"/>
                <w:szCs w:val="20"/>
                <w:color w:val="auto"/>
              </w:rPr>
            </w:pPr>
            <w:r>
              <w:rPr>
                <w:rFonts w:ascii="Arial" w:cs="Arial" w:eastAsia="Arial" w:hAnsi="Arial"/>
                <w:sz w:val="16"/>
                <w:szCs w:val="16"/>
                <w:color w:val="auto"/>
              </w:rPr>
              <w:t>May 2025</w:t>
            </w:r>
          </w:p>
        </w:tc>
        <w:tc>
          <w:tcPr>
            <w:tcW w:w="1040" w:type="dxa"/>
            <w:vAlign w:val="bottom"/>
            <w:shd w:val="clear" w:color="auto" w:fill="CCEEFF"/>
          </w:tcPr>
          <w:p>
            <w:pPr>
              <w:spacing w:after="0"/>
              <w:rPr>
                <w:sz w:val="19"/>
                <w:szCs w:val="19"/>
                <w:color w:val="auto"/>
              </w:rPr>
            </w:pPr>
          </w:p>
        </w:tc>
      </w:tr>
      <w:tr>
        <w:trPr>
          <w:trHeight w:val="33"/>
        </w:trPr>
        <w:tc>
          <w:tcPr>
            <w:tcW w:w="47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30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As of June 28, 2020, we had $364.8 million in available unused borrowing capacity under our revolving credit facility, net of letters of credit of $20.2 million.</w:t>
      </w:r>
    </w:p>
    <w:p>
      <w:pPr>
        <w:spacing w:after="0" w:line="204" w:lineRule="exact"/>
        <w:rPr>
          <w:sz w:val="20"/>
          <w:szCs w:val="20"/>
          <w:color w:val="auto"/>
        </w:rPr>
      </w:pPr>
    </w:p>
    <w:p>
      <w:pPr>
        <w:jc w:val="both"/>
        <w:spacing w:after="0" w:line="244" w:lineRule="auto"/>
        <w:rPr>
          <w:sz w:val="20"/>
          <w:szCs w:val="20"/>
          <w:color w:val="auto"/>
        </w:rPr>
      </w:pPr>
      <w:r>
        <w:rPr>
          <w:rFonts w:ascii="Arial" w:cs="Arial" w:eastAsia="Arial" w:hAnsi="Arial"/>
          <w:sz w:val="20"/>
          <w:szCs w:val="20"/>
          <w:i w:val="1"/>
          <w:iCs w:val="1"/>
          <w:color w:val="auto"/>
        </w:rPr>
        <w:t xml:space="preserve">Amended Credit Agreement </w:t>
      </w:r>
      <w:r>
        <w:rPr>
          <w:rFonts w:ascii="Arial" w:cs="Arial" w:eastAsia="Arial" w:hAnsi="Arial"/>
          <w:sz w:val="20"/>
          <w:szCs w:val="20"/>
          <w:color w:val="auto"/>
        </w:rPr>
        <w:t>- On May 4, 2020, we and OSI, as co-borrowers, entered into the Amended Credit Agreement which provides</w:t>
      </w:r>
      <w:r>
        <w:rPr>
          <w:rFonts w:ascii="Arial" w:cs="Arial" w:eastAsia="Arial" w:hAnsi="Arial"/>
          <w:sz w:val="20"/>
          <w:szCs w:val="20"/>
          <w:i w:val="1"/>
          <w:iCs w:val="1"/>
          <w:color w:val="auto"/>
        </w:rPr>
        <w:t xml:space="preserve"> </w:t>
      </w:r>
      <w:r>
        <w:rPr>
          <w:rFonts w:ascii="Arial" w:cs="Arial" w:eastAsia="Arial" w:hAnsi="Arial"/>
          <w:sz w:val="20"/>
          <w:szCs w:val="20"/>
          <w:color w:val="auto"/>
        </w:rPr>
        <w:t>relief for the financial covenant to maintain a specified quarterly TNLR. Without such amendment, violation of financial covenants under the original credit agreement could have resulted in default. The Amended Credit Agreement waives the TNLR requirement for the remainder of fiscal year 2020 and requires a TNLR based on a seasonally annualized calculation of Consolidated EBITDA not to exceed the following thresholds for the periods indicated: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QUARTERLY PERIOD ENDED</w:t>
            </w:r>
          </w:p>
        </w:tc>
        <w:tc>
          <w:tcPr>
            <w:tcW w:w="120" w:type="dxa"/>
            <w:vAlign w:val="bottom"/>
            <w:tcBorders>
              <w:bottom w:val="single" w:sz="8" w:color="CCEEFF"/>
            </w:tcBorders>
          </w:tcPr>
          <w:p>
            <w:pPr>
              <w:spacing w:after="0"/>
              <w:rPr>
                <w:sz w:val="17"/>
                <w:szCs w:val="17"/>
                <w:color w:val="auto"/>
              </w:rPr>
            </w:pPr>
          </w:p>
        </w:tc>
        <w:tc>
          <w:tcPr>
            <w:tcW w:w="184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MAXIMUM RATIO</w:t>
            </w:r>
          </w:p>
        </w:tc>
      </w:tr>
      <w:tr>
        <w:trPr>
          <w:trHeight w:val="250"/>
        </w:trPr>
        <w:tc>
          <w:tcPr>
            <w:tcW w:w="9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March 28, 2021 (1)</w:t>
            </w:r>
          </w:p>
        </w:tc>
        <w:tc>
          <w:tcPr>
            <w:tcW w:w="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5.50</w:t>
            </w:r>
          </w:p>
        </w:tc>
        <w:tc>
          <w:tcPr>
            <w:tcW w:w="3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to</w:t>
            </w:r>
          </w:p>
        </w:tc>
        <w:tc>
          <w:tcPr>
            <w:tcW w:w="8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1.00</w:t>
            </w:r>
          </w:p>
        </w:tc>
      </w:tr>
      <w:tr>
        <w:trPr>
          <w:trHeight w:val="243"/>
        </w:trPr>
        <w:tc>
          <w:tcPr>
            <w:tcW w:w="9400" w:type="dxa"/>
            <w:vAlign w:val="bottom"/>
            <w:gridSpan w:val="2"/>
          </w:tcPr>
          <w:p>
            <w:pPr>
              <w:ind w:left="20"/>
              <w:spacing w:after="0"/>
              <w:rPr>
                <w:sz w:val="20"/>
                <w:szCs w:val="20"/>
                <w:color w:val="auto"/>
              </w:rPr>
            </w:pPr>
            <w:r>
              <w:rPr>
                <w:rFonts w:ascii="Arial" w:cs="Arial" w:eastAsia="Arial" w:hAnsi="Arial"/>
                <w:sz w:val="18"/>
                <w:szCs w:val="18"/>
                <w:color w:val="auto"/>
              </w:rPr>
              <w:t>June 27, 2021 (2)</w:t>
            </w:r>
          </w:p>
        </w:tc>
        <w:tc>
          <w:tcPr>
            <w:tcW w:w="680" w:type="dxa"/>
            <w:vAlign w:val="bottom"/>
          </w:tcPr>
          <w:p>
            <w:pPr>
              <w:ind w:left="280"/>
              <w:spacing w:after="0"/>
              <w:rPr>
                <w:sz w:val="20"/>
                <w:szCs w:val="20"/>
                <w:color w:val="auto"/>
              </w:rPr>
            </w:pPr>
            <w:r>
              <w:rPr>
                <w:rFonts w:ascii="Arial" w:cs="Arial" w:eastAsia="Arial" w:hAnsi="Arial"/>
                <w:sz w:val="18"/>
                <w:szCs w:val="18"/>
                <w:color w:val="auto"/>
              </w:rPr>
              <w:t>5.00</w:t>
            </w:r>
          </w:p>
        </w:tc>
        <w:tc>
          <w:tcPr>
            <w:tcW w:w="320" w:type="dxa"/>
            <w:vAlign w:val="bottom"/>
          </w:tcPr>
          <w:p>
            <w:pPr>
              <w:ind w:left="80"/>
              <w:spacing w:after="0"/>
              <w:rPr>
                <w:sz w:val="20"/>
                <w:szCs w:val="20"/>
                <w:color w:val="auto"/>
              </w:rPr>
            </w:pPr>
            <w:r>
              <w:rPr>
                <w:rFonts w:ascii="Arial" w:cs="Arial" w:eastAsia="Arial" w:hAnsi="Arial"/>
                <w:sz w:val="18"/>
                <w:szCs w:val="18"/>
                <w:color w:val="auto"/>
              </w:rPr>
              <w:t>to</w:t>
            </w:r>
          </w:p>
        </w:tc>
        <w:tc>
          <w:tcPr>
            <w:tcW w:w="840" w:type="dxa"/>
            <w:vAlign w:val="bottom"/>
          </w:tcPr>
          <w:p>
            <w:pPr>
              <w:jc w:val="right"/>
              <w:ind w:right="330"/>
              <w:spacing w:after="0"/>
              <w:rPr>
                <w:sz w:val="20"/>
                <w:szCs w:val="20"/>
                <w:color w:val="auto"/>
              </w:rPr>
            </w:pPr>
            <w:r>
              <w:rPr>
                <w:rFonts w:ascii="Arial" w:cs="Arial" w:eastAsia="Arial" w:hAnsi="Arial"/>
                <w:sz w:val="18"/>
                <w:szCs w:val="18"/>
                <w:color w:val="auto"/>
              </w:rPr>
              <w:t>1.00</w:t>
            </w:r>
          </w:p>
        </w:tc>
      </w:tr>
      <w:tr>
        <w:trPr>
          <w:trHeight w:val="27"/>
        </w:trPr>
        <w:tc>
          <w:tcPr>
            <w:tcW w:w="9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3"/>
        </w:trPr>
        <w:tc>
          <w:tcPr>
            <w:tcW w:w="9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September 26, 2021 and thereafter (3)</w:t>
            </w:r>
          </w:p>
        </w:tc>
        <w:tc>
          <w:tcPr>
            <w:tcW w:w="6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4.50</w:t>
            </w:r>
          </w:p>
        </w:tc>
        <w:tc>
          <w:tcPr>
            <w:tcW w:w="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to</w:t>
            </w:r>
          </w:p>
        </w:tc>
        <w:tc>
          <w:tcPr>
            <w:tcW w:w="8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1.00</w:t>
            </w:r>
          </w:p>
        </w:tc>
      </w:tr>
      <w:tr>
        <w:trPr>
          <w:trHeight w:val="27"/>
        </w:trPr>
        <w:tc>
          <w:tcPr>
            <w:tcW w:w="9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19" w:lineRule="exact"/>
        <w:rPr>
          <w:sz w:val="20"/>
          <w:szCs w:val="20"/>
          <w:color w:val="auto"/>
        </w:rPr>
      </w:pPr>
    </w:p>
    <w:p>
      <w:pPr>
        <w:ind w:left="660" w:hanging="652"/>
        <w:spacing w:after="0"/>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Seasonally annualized Consolidated EBITDA calculated as Consolidated EBITDA for the fiscal quarter ending March 28, 2021 divided by 34.1%.</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45"/>
        </w:numPr>
        <w:rPr>
          <w:rFonts w:ascii="Arial" w:cs="Arial" w:eastAsia="Arial" w:hAnsi="Arial"/>
          <w:sz w:val="15"/>
          <w:szCs w:val="15"/>
          <w:color w:val="auto"/>
        </w:rPr>
      </w:pPr>
      <w:r>
        <w:rPr>
          <w:rFonts w:ascii="Arial" w:cs="Arial" w:eastAsia="Arial" w:hAnsi="Arial"/>
          <w:sz w:val="15"/>
          <w:szCs w:val="15"/>
          <w:color w:val="auto"/>
        </w:rPr>
        <w:t>Seasonally annualized Consolidated EBITDA calculated as Consolidated EBITDA for the two consecutive quarters ending June 27, 2021 divided by 58.5%.</w:t>
      </w:r>
    </w:p>
    <w:p>
      <w:pPr>
        <w:spacing w:after="0" w:line="16" w:lineRule="exact"/>
        <w:rPr>
          <w:rFonts w:ascii="Arial" w:cs="Arial" w:eastAsia="Arial" w:hAnsi="Arial"/>
          <w:sz w:val="15"/>
          <w:szCs w:val="15"/>
          <w:color w:val="auto"/>
        </w:rPr>
      </w:pPr>
    </w:p>
    <w:p>
      <w:pPr>
        <w:ind w:left="660" w:right="20" w:hanging="652"/>
        <w:spacing w:after="0" w:line="257" w:lineRule="auto"/>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Seasonally annualized Consolidated EBITDA calculated as Consolidated EBITDA for the three consecutive quarters ending September 26, 2021 divided by 77.0%.</w:t>
      </w: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Under the terms of the Amended Credit Agreement, we are required to meet minimum monthly liquidity threshold of $125.0 million through March 28, 2021, calculated as the sum of available capacity under our revolving credit facility, unrestricted domestic cash on hand and up to $25.0 million of unrestricted cash held by foreign subsidiaries. We are also prohibited from making certain restricted payments, investments or acquisitions until after September 26, 2021, with an exception for investments in our foreign subsidiaries which are capped at $27.5 million. Repurchasing shares of our outstanding common stock and paying dividends are also restricted until after September 26, 2021 under the terms of the Amended Credit Agreement.</w:t>
      </w:r>
    </w:p>
    <w:p>
      <w:pPr>
        <w:spacing w:after="0" w:line="20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Interest rates under the Amended Credit Agreement are 275 and 175 basis points above the Eurocurrency Rate and Base Rate, respectively, and letter of credit fees and fees for the daily unused availability under the revolving credit facility are 2.75% and 0.40%, respectively, subject to reversion to rates under the original credit agreement when we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34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are in compliance with the TNLR covenant for the test period ending September 26, 2021. We are also subject to a 0% Eurocurrency floor under the Amended Credit Agreement.</w:t>
      </w:r>
    </w:p>
    <w:p>
      <w:pPr>
        <w:spacing w:after="0" w:line="20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Amended Credit Agreement contains term loan mandatory prepayment requirements of 50% of our annual excess cash flow (as defined in the Amended Credit Agreement) after December 27, 2020. The amount outstanding required to be prepaid may vary based on our leverage ratio and year end results. Other than the annual required minimum amortization premiums of $31.3 million, we do not anticipate any other payments will be required through June 27, 2021.</w:t>
      </w:r>
    </w:p>
    <w:p>
      <w:pPr>
        <w:spacing w:after="0" w:line="218"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As of June 28, 2020 and December 29, 2019, we were in compliance with our debt covenants. We believe that we will remain in compliance with our debt covenants during the next 12 months.</w:t>
      </w:r>
    </w:p>
    <w:p>
      <w:pPr>
        <w:spacing w:after="0" w:line="204" w:lineRule="exact"/>
        <w:rPr>
          <w:sz w:val="20"/>
          <w:szCs w:val="20"/>
          <w:color w:val="auto"/>
        </w:rPr>
      </w:pPr>
    </w:p>
    <w:p>
      <w:pPr>
        <w:jc w:val="both"/>
        <w:spacing w:after="0" w:line="244" w:lineRule="auto"/>
        <w:rPr>
          <w:sz w:val="20"/>
          <w:szCs w:val="20"/>
          <w:color w:val="auto"/>
        </w:rPr>
      </w:pPr>
      <w:r>
        <w:rPr>
          <w:rFonts w:ascii="Arial" w:cs="Arial" w:eastAsia="Arial" w:hAnsi="Arial"/>
          <w:sz w:val="20"/>
          <w:szCs w:val="20"/>
          <w:i w:val="1"/>
          <w:iCs w:val="1"/>
          <w:color w:val="auto"/>
        </w:rPr>
        <w:t xml:space="preserve">2025 Notes </w:t>
      </w:r>
      <w:r>
        <w:rPr>
          <w:rFonts w:ascii="Arial" w:cs="Arial" w:eastAsia="Arial" w:hAnsi="Arial"/>
          <w:sz w:val="20"/>
          <w:szCs w:val="20"/>
          <w:color w:val="auto"/>
        </w:rPr>
        <w:t>- On May 8, 2020, we completed a $200.0 million principal amount private offering of 5.00% convertible senior notes due 2025</w:t>
      </w:r>
      <w:r>
        <w:rPr>
          <w:rFonts w:ascii="Arial" w:cs="Arial" w:eastAsia="Arial" w:hAnsi="Arial"/>
          <w:sz w:val="20"/>
          <w:szCs w:val="20"/>
          <w:i w:val="1"/>
          <w:iCs w:val="1"/>
          <w:color w:val="auto"/>
        </w:rPr>
        <w:t xml:space="preserve"> </w:t>
      </w:r>
      <w:r>
        <w:rPr>
          <w:rFonts w:ascii="Arial" w:cs="Arial" w:eastAsia="Arial" w:hAnsi="Arial"/>
          <w:sz w:val="20"/>
          <w:szCs w:val="20"/>
          <w:color w:val="auto"/>
        </w:rPr>
        <w:t>and on May 12, 2020, issued an additional $30.0 million principal amount in connection with the option granted to the initial purchasers as part of the offering. The 2025 Notes will mature on May 1, 2025, unless earlier converted, redeemed or purchased by us. The 2025 Notes bear cash interest at an annual rate of 5.00%, payable semi-annually in arrears on May 1 and November 1 of each year, beginning on November 1, 2020.</w:t>
      </w:r>
    </w:p>
    <w:p>
      <w:pPr>
        <w:spacing w:after="0" w:line="221"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The initial conversion rate applicable to the 2025 Notes is 84.122 shares of common stock per $1,000 principal amount of 2025 Notes, or a total of approximately 19.348 million shares for the total $230.0 million principal amount. This initial conversion rate is equivalent to an initial conversion price of approximately $11.89 per share. We will settle conversions by paying or delivering, as applicable, cash, shares of our common stock or a combination of cash and shares of our common stock, at our election, based on the applicable conversion rate. We expect to settle the principal amount of our outstanding convertible senior notes in cash and any excess in shares.</w:t>
      </w:r>
    </w:p>
    <w:p>
      <w:pPr>
        <w:spacing w:after="0" w:line="19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Net proceeds from this offering were approximately $221.6 million, after deducting the initial purchaser’s discounts and commissions and our offering expenses.</w:t>
      </w:r>
    </w:p>
    <w:p>
      <w:pPr>
        <w:spacing w:after="0" w:line="20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 xml:space="preserve">Convertible Note Hedge and Warrant Transactions </w:t>
      </w:r>
      <w:r>
        <w:rPr>
          <w:rFonts w:ascii="Arial" w:cs="Arial" w:eastAsia="Arial" w:hAnsi="Arial"/>
          <w:sz w:val="20"/>
          <w:szCs w:val="20"/>
          <w:color w:val="252525"/>
        </w:rPr>
        <w:t>- In connection with the offering of the</w:t>
      </w:r>
      <w:r>
        <w:rPr>
          <w:rFonts w:ascii="Arial" w:cs="Arial" w:eastAsia="Arial" w:hAnsi="Arial"/>
          <w:sz w:val="20"/>
          <w:szCs w:val="20"/>
          <w:i w:val="1"/>
          <w:iCs w:val="1"/>
          <w:color w:val="auto"/>
        </w:rPr>
        <w:t xml:space="preserve"> </w:t>
      </w:r>
      <w:r>
        <w:rPr>
          <w:rFonts w:ascii="Arial" w:cs="Arial" w:eastAsia="Arial" w:hAnsi="Arial"/>
          <w:sz w:val="20"/>
          <w:szCs w:val="20"/>
          <w:color w:val="auto"/>
        </w:rPr>
        <w:t>2025 Notes</w:t>
      </w:r>
      <w:r>
        <w:rPr>
          <w:rFonts w:ascii="Arial" w:cs="Arial" w:eastAsia="Arial" w:hAnsi="Arial"/>
          <w:sz w:val="20"/>
          <w:szCs w:val="20"/>
          <w:color w:val="252525"/>
        </w:rPr>
        <w:t>, we entered into Convertible Note</w:t>
      </w:r>
      <w:r>
        <w:rPr>
          <w:rFonts w:ascii="Arial" w:cs="Arial" w:eastAsia="Arial" w:hAnsi="Arial"/>
          <w:sz w:val="20"/>
          <w:szCs w:val="20"/>
          <w:i w:val="1"/>
          <w:iCs w:val="1"/>
          <w:color w:val="auto"/>
        </w:rPr>
        <w:t xml:space="preserve"> </w:t>
      </w:r>
      <w:r>
        <w:rPr>
          <w:rFonts w:ascii="Arial" w:cs="Arial" w:eastAsia="Arial" w:hAnsi="Arial"/>
          <w:sz w:val="20"/>
          <w:szCs w:val="20"/>
          <w:color w:val="252525"/>
        </w:rPr>
        <w:t>Hedge Transactions with the Hedge Counterparties. Concurrently with our entry into the Convertible Note Hedge Transactions, we also entered into separate Warrant Transactions with the Hedge Counterparties collectively relating to the same number of shares of our common stock.</w:t>
      </w:r>
    </w:p>
    <w:p>
      <w:pPr>
        <w:spacing w:after="0" w:line="218"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252525"/>
        </w:rPr>
        <w:t>The portion of the net proceeds from our offering of the 2025 Notes that was used to pay the premium on the Convertible Note Hedge Transactions (calculated after taking into account our proceeds from the Warrant Transactions) was approximately $19.6 million.</w:t>
      </w:r>
    </w:p>
    <w:p>
      <w:pPr>
        <w:spacing w:after="0" w:line="17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 xml:space="preserve">See Note 12 </w:t>
      </w:r>
      <w:r>
        <w:rPr>
          <w:rFonts w:ascii="Arial" w:cs="Arial" w:eastAsia="Arial" w:hAnsi="Arial"/>
          <w:sz w:val="17"/>
          <w:szCs w:val="17"/>
          <w:color w:val="auto"/>
        </w:rPr>
        <w:t>-</w:t>
      </w:r>
      <w:r>
        <w:rPr>
          <w:rFonts w:ascii="Arial" w:cs="Arial" w:eastAsia="Arial" w:hAnsi="Arial"/>
          <w:sz w:val="20"/>
          <w:szCs w:val="20"/>
          <w:color w:val="auto"/>
        </w:rPr>
        <w:t xml:space="preserve"> </w:t>
      </w:r>
      <w:r>
        <w:rPr>
          <w:rFonts w:ascii="Arial" w:cs="Arial" w:eastAsia="Arial" w:hAnsi="Arial"/>
          <w:sz w:val="20"/>
          <w:szCs w:val="20"/>
          <w:i w:val="1"/>
          <w:iCs w:val="1"/>
          <w:color w:val="auto"/>
        </w:rPr>
        <w:t>Convertible Senior Notes</w:t>
      </w:r>
      <w:r>
        <w:rPr>
          <w:rFonts w:ascii="Arial" w:cs="Arial" w:eastAsia="Arial" w:hAnsi="Arial"/>
          <w:sz w:val="20"/>
          <w:szCs w:val="20"/>
          <w:color w:val="auto"/>
        </w:rPr>
        <w:t xml:space="preserve"> of the Notes to Consolidated Financial Statements for additional details regarding the convertible senior notes and related hedge and warrant transactions.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348" w:lineRule="exact"/>
        <w:rPr>
          <w:sz w:val="20"/>
          <w:szCs w:val="20"/>
          <w:color w:val="auto"/>
        </w:rPr>
      </w:pPr>
    </w:p>
    <w:p>
      <w:pPr>
        <w:spacing w:after="0"/>
        <w:rPr>
          <w:sz w:val="20"/>
          <w:szCs w:val="20"/>
          <w:color w:val="auto"/>
        </w:rPr>
      </w:pPr>
      <w:r>
        <w:rPr>
          <w:rFonts w:ascii="Arial" w:cs="Arial" w:eastAsia="Arial" w:hAnsi="Arial"/>
          <w:sz w:val="20"/>
          <w:szCs w:val="20"/>
          <w:color w:val="auto"/>
        </w:rPr>
        <w:t>SUMMARY OF CASH FLOWS</w:t>
      </w:r>
    </w:p>
    <w:p>
      <w:pPr>
        <w:spacing w:after="0" w:line="24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following table presents a summary of our cash flows (used in) provided by operating, investing and financing activities for the periods indicated: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0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gridSpan w:val="4"/>
          </w:tcPr>
          <w:p>
            <w:pPr>
              <w:jc w:val="right"/>
              <w:ind w:right="501"/>
              <w:spacing w:after="0"/>
              <w:rPr>
                <w:sz w:val="20"/>
                <w:szCs w:val="20"/>
                <w:color w:val="auto"/>
              </w:rPr>
            </w:pPr>
            <w:r>
              <w:rPr>
                <w:rFonts w:ascii="Arial" w:cs="Arial" w:eastAsia="Arial" w:hAnsi="Arial"/>
                <w:sz w:val="14"/>
                <w:szCs w:val="14"/>
                <w:b w:val="1"/>
                <w:bCs w:val="1"/>
                <w:color w:val="auto"/>
              </w:rPr>
              <w:t>TWENTY-SIX WEEKS ENDED</w:t>
            </w:r>
          </w:p>
        </w:tc>
      </w:tr>
      <w:tr>
        <w:trPr>
          <w:trHeight w:val="209"/>
        </w:trPr>
        <w:tc>
          <w:tcPr>
            <w:tcW w:w="806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Pr>
          <w:p>
            <w:pPr>
              <w:spacing w:after="0"/>
              <w:rPr>
                <w:sz w:val="18"/>
                <w:szCs w:val="18"/>
                <w:color w:val="auto"/>
              </w:rPr>
            </w:pPr>
          </w:p>
        </w:tc>
        <w:tc>
          <w:tcPr>
            <w:tcW w:w="142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28, 2020</w:t>
            </w:r>
          </w:p>
        </w:tc>
        <w:tc>
          <w:tcPr>
            <w:tcW w:w="200" w:type="dxa"/>
            <w:vAlign w:val="bottom"/>
          </w:tcPr>
          <w:p>
            <w:pPr>
              <w:spacing w:after="0"/>
              <w:rPr>
                <w:sz w:val="18"/>
                <w:szCs w:val="18"/>
                <w:color w:val="auto"/>
              </w:rPr>
            </w:pPr>
          </w:p>
        </w:tc>
        <w:tc>
          <w:tcPr>
            <w:tcW w:w="1340" w:type="dxa"/>
            <w:vAlign w:val="bottom"/>
          </w:tcPr>
          <w:p>
            <w:pPr>
              <w:jc w:val="right"/>
              <w:ind w:right="241"/>
              <w:spacing w:after="0"/>
              <w:rPr>
                <w:sz w:val="20"/>
                <w:szCs w:val="20"/>
                <w:color w:val="auto"/>
              </w:rPr>
            </w:pPr>
            <w:r>
              <w:rPr>
                <w:rFonts w:ascii="Arial" w:cs="Arial" w:eastAsia="Arial" w:hAnsi="Arial"/>
                <w:sz w:val="14"/>
                <w:szCs w:val="14"/>
                <w:b w:val="1"/>
                <w:bCs w:val="1"/>
                <w:color w:val="auto"/>
              </w:rPr>
              <w:t>JUNE 30, 2019</w:t>
            </w:r>
          </w:p>
        </w:tc>
      </w:tr>
      <w:tr>
        <w:trPr>
          <w:trHeight w:val="237"/>
        </w:trPr>
        <w:tc>
          <w:tcPr>
            <w:tcW w:w="8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(used in) provided by operating activities</w:t>
            </w: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(3,313)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132,443</w:t>
            </w:r>
          </w:p>
        </w:tc>
      </w:tr>
      <w:tr>
        <w:trPr>
          <w:trHeight w:val="224"/>
        </w:trPr>
        <w:tc>
          <w:tcPr>
            <w:tcW w:w="806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200" w:type="dxa"/>
            <w:vAlign w:val="bottom"/>
          </w:tcPr>
          <w:p>
            <w:pPr>
              <w:spacing w:after="0"/>
              <w:rPr>
                <w:sz w:val="19"/>
                <w:szCs w:val="19"/>
                <w:color w:val="auto"/>
              </w:rPr>
            </w:pPr>
          </w:p>
        </w:tc>
        <w:tc>
          <w:tcPr>
            <w:tcW w:w="1320" w:type="dxa"/>
            <w:vAlign w:val="bottom"/>
          </w:tcPr>
          <w:p>
            <w:pPr>
              <w:jc w:val="right"/>
              <w:ind w:right="22"/>
              <w:spacing w:after="0"/>
              <w:rPr>
                <w:sz w:val="20"/>
                <w:szCs w:val="20"/>
                <w:color w:val="auto"/>
              </w:rPr>
            </w:pPr>
            <w:r>
              <w:rPr>
                <w:rFonts w:ascii="Arial" w:cs="Arial" w:eastAsia="Arial" w:hAnsi="Arial"/>
                <w:sz w:val="16"/>
                <w:szCs w:val="16"/>
                <w:color w:val="auto"/>
              </w:rPr>
              <w:t>(48,001)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(73,854)</w:t>
            </w:r>
          </w:p>
        </w:tc>
      </w:tr>
      <w:tr>
        <w:trPr>
          <w:trHeight w:val="33"/>
        </w:trPr>
        <w:tc>
          <w:tcPr>
            <w:tcW w:w="8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provided by (used in) financing activities</w:t>
            </w:r>
          </w:p>
        </w:tc>
        <w:tc>
          <w:tcPr>
            <w:tcW w:w="2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169,655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(63,415)</w:t>
            </w:r>
          </w:p>
        </w:tc>
      </w:tr>
      <w:tr>
        <w:trPr>
          <w:trHeight w:val="256"/>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2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(2,955)</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(157)</w:t>
            </w:r>
          </w:p>
        </w:tc>
      </w:tr>
      <w:tr>
        <w:trPr>
          <w:trHeight w:val="272"/>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115,386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(4,983)</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both"/>
        <w:spacing w:after="0" w:line="243" w:lineRule="auto"/>
        <w:rPr>
          <w:sz w:val="20"/>
          <w:szCs w:val="20"/>
          <w:color w:val="auto"/>
        </w:rPr>
      </w:pPr>
      <w:r>
        <w:rPr>
          <w:rFonts w:ascii="Arial" w:cs="Arial" w:eastAsia="Arial" w:hAnsi="Arial"/>
          <w:sz w:val="20"/>
          <w:szCs w:val="20"/>
          <w:i w:val="1"/>
          <w:iCs w:val="1"/>
          <w:color w:val="auto"/>
        </w:rPr>
        <w:t xml:space="preserve">Operating activities </w:t>
      </w:r>
      <w:r>
        <w:rPr>
          <w:rFonts w:ascii="Arial" w:cs="Arial" w:eastAsia="Arial" w:hAnsi="Arial"/>
          <w:sz w:val="20"/>
          <w:szCs w:val="20"/>
          <w:color w:val="auto"/>
        </w:rPr>
        <w:t>- Net cash (used in) provided by operating activities decreased during the twenty-six weeks ended June 28, 2020, as</w:t>
      </w:r>
      <w:r>
        <w:rPr>
          <w:rFonts w:ascii="Arial" w:cs="Arial" w:eastAsia="Arial" w:hAnsi="Arial"/>
          <w:sz w:val="20"/>
          <w:szCs w:val="20"/>
          <w:i w:val="1"/>
          <w:iCs w:val="1"/>
          <w:color w:val="auto"/>
        </w:rPr>
        <w:t xml:space="preserve"> </w:t>
      </w:r>
      <w:r>
        <w:rPr>
          <w:rFonts w:ascii="Arial" w:cs="Arial" w:eastAsia="Arial" w:hAnsi="Arial"/>
          <w:sz w:val="20"/>
          <w:szCs w:val="20"/>
          <w:color w:val="auto"/>
        </w:rPr>
        <w:t>compared to the twenty-six weeks ended June 30, 2019 primarily due to a decrease in net restaurant sales and relief payments made to employees, net of employee retention tax credits as a result of the COVID-19 pandemic. These decreases were partially offset by: (i) decreased variable operating costs as a result of lower net restaurant sales, (ii) decreased rent payments, (iii) the timing of collections of receivables, (iv) deferral of payroll tax payments as a result of the CARES Act, (v) lower inventory purchases and (vi) lower income tax and interest payments.</w:t>
      </w:r>
    </w:p>
    <w:p>
      <w:pPr>
        <w:spacing w:after="0" w:line="22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 xml:space="preserve">Investing activities - </w:t>
      </w:r>
      <w:r>
        <w:rPr>
          <w:rFonts w:ascii="Arial" w:cs="Arial" w:eastAsia="Arial" w:hAnsi="Arial"/>
          <w:sz w:val="20"/>
          <w:szCs w:val="20"/>
          <w:color w:val="auto"/>
        </w:rPr>
        <w:t>Net cash used in investing activities during the twenty-six weeks ended June 28, 2020 primarily consisted of capital</w:t>
      </w:r>
      <w:r>
        <w:rPr>
          <w:rFonts w:ascii="Arial" w:cs="Arial" w:eastAsia="Arial" w:hAnsi="Arial"/>
          <w:sz w:val="20"/>
          <w:szCs w:val="20"/>
          <w:i w:val="1"/>
          <w:iCs w:val="1"/>
          <w:color w:val="auto"/>
        </w:rPr>
        <w:t xml:space="preserve"> </w:t>
      </w:r>
      <w:r>
        <w:rPr>
          <w:rFonts w:ascii="Arial" w:cs="Arial" w:eastAsia="Arial" w:hAnsi="Arial"/>
          <w:sz w:val="20"/>
          <w:szCs w:val="20"/>
          <w:color w:val="auto"/>
        </w:rPr>
        <w:t>expenditures, partially offset by withdrawals from company-owned life insurance policies.</w:t>
      </w:r>
    </w:p>
    <w:p>
      <w:pPr>
        <w:spacing w:after="0" w:line="20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Net cash used in investing activities during the twenty-six weeks ended June 30, 2019 primarily consisted of capital expenditures, partially offset by proceeds from sale-leaseback transactions.</w:t>
      </w:r>
    </w:p>
    <w:p>
      <w:pPr>
        <w:spacing w:after="0" w:line="204" w:lineRule="exact"/>
        <w:rPr>
          <w:sz w:val="20"/>
          <w:szCs w:val="20"/>
          <w:color w:val="auto"/>
        </w:rPr>
      </w:pPr>
    </w:p>
    <w:p>
      <w:pPr>
        <w:jc w:val="both"/>
        <w:spacing w:after="0" w:line="244" w:lineRule="auto"/>
        <w:rPr>
          <w:sz w:val="20"/>
          <w:szCs w:val="20"/>
          <w:color w:val="auto"/>
        </w:rPr>
      </w:pPr>
      <w:r>
        <w:rPr>
          <w:rFonts w:ascii="Arial" w:cs="Arial" w:eastAsia="Arial" w:hAnsi="Arial"/>
          <w:sz w:val="20"/>
          <w:szCs w:val="20"/>
          <w:i w:val="1"/>
          <w:iCs w:val="1"/>
          <w:color w:val="auto"/>
        </w:rPr>
        <w:t xml:space="preserve">Financing activities - </w:t>
      </w:r>
      <w:r>
        <w:rPr>
          <w:rFonts w:ascii="Arial" w:cs="Arial" w:eastAsia="Arial" w:hAnsi="Arial"/>
          <w:sz w:val="20"/>
          <w:szCs w:val="20"/>
          <w:color w:val="auto"/>
        </w:rPr>
        <w:t>Net cash provided by financing activities during the twenty-six weeks ended June 28, 2020 primarily consisted of</w:t>
      </w:r>
      <w:r>
        <w:rPr>
          <w:rFonts w:ascii="Arial" w:cs="Arial" w:eastAsia="Arial" w:hAnsi="Arial"/>
          <w:sz w:val="20"/>
          <w:szCs w:val="20"/>
          <w:i w:val="1"/>
          <w:iCs w:val="1"/>
          <w:color w:val="auto"/>
        </w:rPr>
        <w:t xml:space="preserve"> </w:t>
      </w:r>
      <w:r>
        <w:rPr>
          <w:rFonts w:ascii="Arial" w:cs="Arial" w:eastAsia="Arial" w:hAnsi="Arial"/>
          <w:sz w:val="20"/>
          <w:szCs w:val="20"/>
          <w:color w:val="auto"/>
        </w:rPr>
        <w:t>proceeds from issuance of convertible senior notes and related warrants transactions and drawdowns on our revolving credit facility, net of repayments, partially offset by: (i) premium payments for Convertible Note Hedge Transactions, (ii) payment of cash dividends on our common stock, (iii) the repayment of long-term debt, (iv) issuance costs and financing fees in connection with our 2025 Notes and Amended Credit Agreement and (v) partner equity plan payments.</w:t>
      </w:r>
    </w:p>
    <w:p>
      <w:pPr>
        <w:spacing w:after="0" w:line="221"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Net cash used in financing activities during the twenty-six weeks ended June 30, 2019 primarily consisted of: (i) the repurchase of common stock, (ii) payment of cash dividends on our common stock, (iii) the repayment of long-term debt and (iv) partner equity plan payments. Net cash used in financing activities was partially offset by drawdowns on our revolving credit facility, net of repayments.</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color w:val="auto"/>
        </w:rPr>
        <w:t>FINANCIAL CONDITION</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Following is a summary of our current assets, current liabilities and working capital (deficit) as of the periods indicated: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20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20" w:type="dxa"/>
            <w:vAlign w:val="bottom"/>
          </w:tcPr>
          <w:p>
            <w:pPr>
              <w:spacing w:after="0"/>
              <w:rPr>
                <w:sz w:val="17"/>
                <w:szCs w:val="17"/>
                <w:color w:val="auto"/>
              </w:rPr>
            </w:pPr>
          </w:p>
        </w:tc>
        <w:tc>
          <w:tcPr>
            <w:tcW w:w="174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28, 2020</w:t>
            </w:r>
          </w:p>
        </w:tc>
        <w:tc>
          <w:tcPr>
            <w:tcW w:w="200" w:type="dxa"/>
            <w:vAlign w:val="bottom"/>
          </w:tcPr>
          <w:p>
            <w:pPr>
              <w:spacing w:after="0"/>
              <w:rPr>
                <w:sz w:val="17"/>
                <w:szCs w:val="17"/>
                <w:color w:val="auto"/>
              </w:rPr>
            </w:pPr>
          </w:p>
        </w:tc>
        <w:tc>
          <w:tcPr>
            <w:tcW w:w="1780" w:type="dxa"/>
            <w:vAlign w:val="bottom"/>
          </w:tcPr>
          <w:p>
            <w:pPr>
              <w:ind w:left="100"/>
              <w:spacing w:after="0"/>
              <w:rPr>
                <w:sz w:val="20"/>
                <w:szCs w:val="20"/>
                <w:color w:val="auto"/>
              </w:rPr>
            </w:pPr>
            <w:r>
              <w:rPr>
                <w:rFonts w:ascii="Arial" w:cs="Arial" w:eastAsia="Arial" w:hAnsi="Arial"/>
                <w:sz w:val="14"/>
                <w:szCs w:val="14"/>
                <w:b w:val="1"/>
                <w:bCs w:val="1"/>
                <w:color w:val="auto"/>
              </w:rPr>
              <w:t>DECEMBER 29, 2019</w:t>
            </w:r>
          </w:p>
        </w:tc>
      </w:tr>
      <w:tr>
        <w:trPr>
          <w:trHeight w:val="236"/>
        </w:trPr>
        <w:tc>
          <w:tcPr>
            <w:tcW w:w="7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320" w:type="dxa"/>
            <w:vAlign w:val="bottom"/>
            <w:tcBorders>
              <w:top w:val="single" w:sz="8" w:color="auto"/>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bottom w:val="single" w:sz="8" w:color="CCEEFF"/>
            </w:tcBorders>
            <w:shd w:val="clear" w:color="auto" w:fill="CCEEFF"/>
          </w:tcPr>
          <w:p>
            <w:pPr>
              <w:jc w:val="center"/>
              <w:ind w:left="741"/>
              <w:spacing w:after="0"/>
              <w:rPr>
                <w:sz w:val="20"/>
                <w:szCs w:val="20"/>
                <w:color w:val="auto"/>
              </w:rPr>
            </w:pPr>
            <w:r>
              <w:rPr>
                <w:rFonts w:ascii="Arial" w:cs="Arial" w:eastAsia="Arial" w:hAnsi="Arial"/>
                <w:sz w:val="16"/>
                <w:szCs w:val="16"/>
                <w:color w:val="auto"/>
                <w:w w:val="93"/>
              </w:rPr>
              <w:t>327,583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80" w:type="dxa"/>
            <w:vAlign w:val="bottom"/>
            <w:tcBorders>
              <w:top w:val="single" w:sz="8" w:color="auto"/>
              <w:bottom w:val="single" w:sz="8" w:color="CCEEFF"/>
            </w:tcBorders>
            <w:shd w:val="clear" w:color="auto" w:fill="CCEEFF"/>
          </w:tcPr>
          <w:p>
            <w:pPr>
              <w:jc w:val="center"/>
              <w:ind w:left="881"/>
              <w:spacing w:after="0"/>
              <w:rPr>
                <w:sz w:val="20"/>
                <w:szCs w:val="20"/>
                <w:color w:val="auto"/>
              </w:rPr>
            </w:pPr>
            <w:r>
              <w:rPr>
                <w:rFonts w:ascii="Arial" w:cs="Arial" w:eastAsia="Arial" w:hAnsi="Arial"/>
                <w:sz w:val="16"/>
                <w:szCs w:val="16"/>
                <w:color w:val="auto"/>
                <w:w w:val="93"/>
              </w:rPr>
              <w:t>340,468</w:t>
            </w:r>
          </w:p>
        </w:tc>
      </w:tr>
      <w:tr>
        <w:trPr>
          <w:trHeight w:val="270"/>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Current liabilities</w:t>
            </w:r>
          </w:p>
        </w:tc>
        <w:tc>
          <w:tcPr>
            <w:tcW w:w="32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center"/>
              <w:ind w:left="741"/>
              <w:spacing w:after="0"/>
              <w:rPr>
                <w:sz w:val="20"/>
                <w:szCs w:val="20"/>
                <w:color w:val="auto"/>
              </w:rPr>
            </w:pPr>
            <w:r>
              <w:rPr>
                <w:rFonts w:ascii="Arial" w:cs="Arial" w:eastAsia="Arial" w:hAnsi="Arial"/>
                <w:sz w:val="16"/>
                <w:szCs w:val="16"/>
                <w:color w:val="auto"/>
                <w:w w:val="93"/>
              </w:rPr>
              <w:t>810,838</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780" w:type="dxa"/>
            <w:vAlign w:val="bottom"/>
            <w:tcBorders>
              <w:bottom w:val="single" w:sz="8" w:color="auto"/>
            </w:tcBorders>
          </w:tcPr>
          <w:p>
            <w:pPr>
              <w:jc w:val="center"/>
              <w:ind w:left="881"/>
              <w:spacing w:after="0"/>
              <w:rPr>
                <w:sz w:val="20"/>
                <w:szCs w:val="20"/>
                <w:color w:val="auto"/>
              </w:rPr>
            </w:pPr>
            <w:r>
              <w:rPr>
                <w:rFonts w:ascii="Arial" w:cs="Arial" w:eastAsia="Arial" w:hAnsi="Arial"/>
                <w:sz w:val="16"/>
                <w:szCs w:val="16"/>
                <w:color w:val="auto"/>
                <w:w w:val="93"/>
              </w:rPr>
              <w:t>962,021</w:t>
            </w:r>
          </w:p>
        </w:tc>
      </w:tr>
      <w:tr>
        <w:trPr>
          <w:trHeight w:val="272"/>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Working capital (deficit)</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center"/>
              <w:ind w:left="721"/>
              <w:spacing w:after="0"/>
              <w:rPr>
                <w:sz w:val="20"/>
                <w:szCs w:val="20"/>
                <w:color w:val="auto"/>
              </w:rPr>
            </w:pPr>
            <w:r>
              <w:rPr>
                <w:rFonts w:ascii="Arial" w:cs="Arial" w:eastAsia="Arial" w:hAnsi="Arial"/>
                <w:sz w:val="16"/>
                <w:szCs w:val="16"/>
                <w:color w:val="auto"/>
                <w:w w:val="93"/>
              </w:rPr>
              <w:t>(483,255)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shd w:val="clear" w:color="auto" w:fill="CCEEFF"/>
          </w:tcPr>
          <w:p>
            <w:pPr>
              <w:jc w:val="center"/>
              <w:ind w:left="861"/>
              <w:spacing w:after="0"/>
              <w:rPr>
                <w:sz w:val="20"/>
                <w:szCs w:val="20"/>
                <w:color w:val="auto"/>
              </w:rPr>
            </w:pPr>
            <w:r>
              <w:rPr>
                <w:rFonts w:ascii="Arial" w:cs="Arial" w:eastAsia="Arial" w:hAnsi="Arial"/>
                <w:sz w:val="16"/>
                <w:szCs w:val="16"/>
                <w:color w:val="auto"/>
                <w:w w:val="93"/>
              </w:rPr>
              <w:t>(621,553)</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348"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The change in net working capital (deficit) during the twenty-six weeks ended June 28, 2020 is primarily due to: (i) cash proceeds from the issuance of the 2025 Notes, (ii) a decrease in Accounts payable due to lower vendor activity and capital expenditures in connection with COVID-19 and (iii) a decrease in Unearned revenue related to the seasonal fluctuation of the sale and redemption of gift cards. Working capital (deficit) includes: (i) Unearned revenue primarily from unredeemed gift cards of $293.6 million and $369.3 million as of June 28, 2020 and December 29, 2019, respectively, and (ii) current operating lease liabilities of $177.2 million and $171.9 million as of June 28, 2020 and December 29, 2019, respectively, with the corresponding operating right-of-use assets recorded as non-current on our Consolidated Balance Sheets. We have, and in the future may continue to have, negative working capital balances (as is common for many restaurant companies). We operate successfully with negative working capital because cash collected on restaurant sales are typically received before payment is due on our current liabilities, and our inventory turnover rates require relatively low investment in inventories. Additionally, ongoing cash flows from restaurant operations and gift card sales are typically used to service debt obligations and to make capital expenditures.</w:t>
      </w:r>
    </w:p>
    <w:p>
      <w:pPr>
        <w:spacing w:after="0" w:line="214" w:lineRule="exact"/>
        <w:rPr>
          <w:sz w:val="20"/>
          <w:szCs w:val="20"/>
          <w:color w:val="auto"/>
        </w:rPr>
      </w:pPr>
    </w:p>
    <w:p>
      <w:pPr>
        <w:jc w:val="both"/>
        <w:spacing w:after="0" w:line="244" w:lineRule="auto"/>
        <w:rPr>
          <w:sz w:val="20"/>
          <w:szCs w:val="20"/>
          <w:color w:val="auto"/>
        </w:rPr>
      </w:pPr>
      <w:r>
        <w:rPr>
          <w:rFonts w:ascii="Arial" w:cs="Arial" w:eastAsia="Arial" w:hAnsi="Arial"/>
          <w:sz w:val="20"/>
          <w:szCs w:val="20"/>
          <w:i w:val="1"/>
          <w:iCs w:val="1"/>
          <w:color w:val="auto"/>
        </w:rPr>
        <w:t xml:space="preserve">Deferred Compensation Programs - </w:t>
      </w:r>
      <w:r>
        <w:rPr>
          <w:rFonts w:ascii="Arial" w:cs="Arial" w:eastAsia="Arial" w:hAnsi="Arial"/>
          <w:sz w:val="20"/>
          <w:szCs w:val="20"/>
          <w:color w:val="auto"/>
        </w:rPr>
        <w:t>The deferred compensation obligation due to managing and chef partners was $35.5 million and $49.0</w:t>
      </w:r>
      <w:r>
        <w:rPr>
          <w:rFonts w:ascii="Arial" w:cs="Arial" w:eastAsia="Arial" w:hAnsi="Arial"/>
          <w:sz w:val="20"/>
          <w:szCs w:val="20"/>
          <w:i w:val="1"/>
          <w:iCs w:val="1"/>
          <w:color w:val="auto"/>
        </w:rPr>
        <w:t xml:space="preserve"> </w:t>
      </w:r>
      <w:r>
        <w:rPr>
          <w:rFonts w:ascii="Arial" w:cs="Arial" w:eastAsia="Arial" w:hAnsi="Arial"/>
          <w:sz w:val="20"/>
          <w:szCs w:val="20"/>
          <w:color w:val="auto"/>
        </w:rPr>
        <w:t>million as of June 28, 2020 and December 29, 2019, respectively. We invest in various corporate-owned life insurance policies (“COLI assets”), which are held within an irrevocable grantor or “rabbi” trust account for settlement of our obligations under the deferred compensation plans. The rabbi trust is funded through our voluntary contributions. The unfunded obligation for managing and chef partners’ deferred compensation was $0.1 million as of June 28, 2020.</w:t>
      </w:r>
    </w:p>
    <w:p>
      <w:pPr>
        <w:spacing w:after="0" w:line="221"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We use capital to fund the deferred compensation plans and currently expect cash funding of $9.0 million to $11.0 million for 2020. We will also fund a portion of our 2020 obligation with $9.1 million expected to be withdrawn from our COLI assets in 2020. Through June 28, 2020 we have withdrawn $5.4 million of COLI assets to fund deferred compensation plan obligations. Actual funding of the deferred compensation obligations and future funding requirements may vary significantly depending on the actual performance compared to targets, timing of deferred payments of partner contracts, forfeiture rates, number of partner participants, growth of partner investments and our funding strategy.</w:t>
      </w:r>
    </w:p>
    <w:p>
      <w:pPr>
        <w:spacing w:after="0" w:line="22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 xml:space="preserve">Other Compensation Programs </w:t>
      </w:r>
      <w:r>
        <w:rPr>
          <w:rFonts w:ascii="Arial" w:cs="Arial" w:eastAsia="Arial" w:hAnsi="Arial"/>
          <w:sz w:val="20"/>
          <w:szCs w:val="20"/>
          <w:color w:val="auto"/>
        </w:rPr>
        <w:t>- Certain U.S. partners participate in a non-qualified long-term compensation program that we fund as the</w:t>
      </w:r>
      <w:r>
        <w:rPr>
          <w:rFonts w:ascii="Arial" w:cs="Arial" w:eastAsia="Arial" w:hAnsi="Arial"/>
          <w:sz w:val="20"/>
          <w:szCs w:val="20"/>
          <w:i w:val="1"/>
          <w:iCs w:val="1"/>
          <w:color w:val="auto"/>
        </w:rPr>
        <w:t xml:space="preserve"> </w:t>
      </w:r>
      <w:r>
        <w:rPr>
          <w:rFonts w:ascii="Arial" w:cs="Arial" w:eastAsia="Arial" w:hAnsi="Arial"/>
          <w:sz w:val="20"/>
          <w:szCs w:val="20"/>
          <w:color w:val="auto"/>
        </w:rPr>
        <w:t>obligation for each participant becomes due.</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DIVIDENDS AND SHARE REPURCHASES</w:t>
      </w:r>
    </w:p>
    <w:p>
      <w:pPr>
        <w:spacing w:after="0" w:line="24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We did not pay dividends or repurchase any shares of our outstanding common stock during the thirteen weeks ended June 28, 2020. The terms of our Amended Credit Agreement contain certain restrictions on cash dividends and share repurchases until after September 26, 2021 and we are compliant with our financial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CONDITION AND RESULTS OF OPERATIONS - Continued</w:t>
      </w:r>
    </w:p>
    <w:p>
      <w:pPr>
        <w:spacing w:after="0" w:line="348" w:lineRule="exact"/>
        <w:rPr>
          <w:sz w:val="20"/>
          <w:szCs w:val="20"/>
          <w:color w:val="auto"/>
        </w:rPr>
      </w:pPr>
    </w:p>
    <w:p>
      <w:pPr>
        <w:spacing w:after="0"/>
        <w:rPr>
          <w:sz w:val="20"/>
          <w:szCs w:val="20"/>
          <w:color w:val="auto"/>
        </w:rPr>
      </w:pPr>
      <w:r>
        <w:rPr>
          <w:rFonts w:ascii="Arial" w:cs="Arial" w:eastAsia="Arial" w:hAnsi="Arial"/>
          <w:sz w:val="20"/>
          <w:szCs w:val="20"/>
          <w:color w:val="auto"/>
        </w:rPr>
        <w:t>Following is a summary of our dividends and share repurchases from fiscal year 2015 through June 28, 2020:</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3"/>
          </w:tcPr>
          <w:p>
            <w:pPr>
              <w:ind w:left="80"/>
              <w:spacing w:after="0"/>
              <w:rPr>
                <w:sz w:val="20"/>
                <w:szCs w:val="20"/>
                <w:color w:val="auto"/>
              </w:rPr>
            </w:pPr>
            <w:r>
              <w:rPr>
                <w:rFonts w:ascii="Arial" w:cs="Arial" w:eastAsia="Arial" w:hAnsi="Arial"/>
                <w:sz w:val="14"/>
                <w:szCs w:val="14"/>
                <w:b w:val="1"/>
                <w:bCs w:val="1"/>
                <w:color w:val="auto"/>
              </w:rPr>
              <w:t>SHARE REPURCHASES</w:t>
            </w:r>
          </w:p>
        </w:tc>
        <w:tc>
          <w:tcPr>
            <w:tcW w:w="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576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Pr>
          <w:p>
            <w:pPr>
              <w:spacing w:after="0"/>
              <w:rPr>
                <w:sz w:val="17"/>
                <w:szCs w:val="17"/>
                <w:color w:val="auto"/>
              </w:rPr>
            </w:pPr>
          </w:p>
        </w:tc>
        <w:tc>
          <w:tcPr>
            <w:tcW w:w="1660" w:type="dxa"/>
            <w:vAlign w:val="bottom"/>
            <w:gridSpan w:val="2"/>
          </w:tcPr>
          <w:p>
            <w:pPr>
              <w:ind w:left="80"/>
              <w:spacing w:after="0"/>
              <w:rPr>
                <w:sz w:val="20"/>
                <w:szCs w:val="20"/>
                <w:color w:val="auto"/>
              </w:rPr>
            </w:pPr>
            <w:r>
              <w:rPr>
                <w:rFonts w:ascii="Arial" w:cs="Arial" w:eastAsia="Arial" w:hAnsi="Arial"/>
                <w:sz w:val="14"/>
                <w:szCs w:val="14"/>
                <w:b w:val="1"/>
                <w:bCs w:val="1"/>
                <w:color w:val="auto"/>
              </w:rPr>
              <w:t>DIVIDENDS PAID</w:t>
            </w:r>
          </w:p>
        </w:tc>
        <w:tc>
          <w:tcPr>
            <w:tcW w:w="440" w:type="dxa"/>
            <w:vAlign w:val="bottom"/>
          </w:tcPr>
          <w:p>
            <w:pPr>
              <w:spacing w:after="0"/>
              <w:rPr>
                <w:sz w:val="17"/>
                <w:szCs w:val="17"/>
                <w:color w:val="auto"/>
              </w:rPr>
            </w:pPr>
          </w:p>
        </w:tc>
        <w:tc>
          <w:tcPr>
            <w:tcW w:w="1320" w:type="dxa"/>
            <w:vAlign w:val="bottom"/>
          </w:tcPr>
          <w:p>
            <w:pPr>
              <w:jc w:val="right"/>
              <w:ind w:right="720"/>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80" w:type="dxa"/>
            <w:vAlign w:val="bottom"/>
          </w:tcPr>
          <w:p>
            <w:pPr>
              <w:jc w:val="right"/>
              <w:ind w:right="5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7"/>
        </w:trPr>
        <w:tc>
          <w:tcPr>
            <w:tcW w:w="5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Fiscal year 2015</w:t>
            </w: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29,332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CCEEFF"/>
            </w:tcBorders>
            <w:shd w:val="clear" w:color="auto" w:fill="CCEEFF"/>
          </w:tcPr>
          <w:p>
            <w:pPr>
              <w:jc w:val="right"/>
              <w:ind w:right="262"/>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169,999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199,331</w:t>
            </w:r>
          </w:p>
        </w:tc>
        <w:tc>
          <w:tcPr>
            <w:tcW w:w="0" w:type="dxa"/>
            <w:vAlign w:val="bottom"/>
          </w:tcPr>
          <w:p>
            <w:pPr>
              <w:spacing w:after="0"/>
              <w:rPr>
                <w:sz w:val="1"/>
                <w:szCs w:val="1"/>
                <w:color w:val="auto"/>
              </w:rPr>
            </w:pPr>
          </w:p>
        </w:tc>
      </w:tr>
      <w:tr>
        <w:trPr>
          <w:trHeight w:val="223"/>
        </w:trPr>
        <w:tc>
          <w:tcPr>
            <w:tcW w:w="5760" w:type="dxa"/>
            <w:vAlign w:val="bottom"/>
          </w:tcPr>
          <w:p>
            <w:pPr>
              <w:ind w:left="20"/>
              <w:spacing w:after="0"/>
              <w:rPr>
                <w:sz w:val="20"/>
                <w:szCs w:val="20"/>
                <w:color w:val="auto"/>
              </w:rPr>
            </w:pPr>
            <w:r>
              <w:rPr>
                <w:rFonts w:ascii="Arial" w:cs="Arial" w:eastAsia="Arial" w:hAnsi="Arial"/>
                <w:sz w:val="16"/>
                <w:szCs w:val="16"/>
                <w:color w:val="auto"/>
              </w:rPr>
              <w:t>Fiscal year 2016</w:t>
            </w:r>
          </w:p>
        </w:tc>
        <w:tc>
          <w:tcPr>
            <w:tcW w:w="200" w:type="dxa"/>
            <w:vAlign w:val="bottom"/>
          </w:tcPr>
          <w:p>
            <w:pPr>
              <w:spacing w:after="0"/>
              <w:rPr>
                <w:sz w:val="19"/>
                <w:szCs w:val="19"/>
                <w:color w:val="auto"/>
              </w:rPr>
            </w:pPr>
          </w:p>
        </w:tc>
        <w:tc>
          <w:tcPr>
            <w:tcW w:w="1560" w:type="dxa"/>
            <w:vAlign w:val="bottom"/>
          </w:tcPr>
          <w:p>
            <w:pPr>
              <w:jc w:val="right"/>
              <w:ind w:right="80"/>
              <w:spacing w:after="0"/>
              <w:rPr>
                <w:sz w:val="20"/>
                <w:szCs w:val="20"/>
                <w:color w:val="auto"/>
              </w:rPr>
            </w:pPr>
            <w:r>
              <w:rPr>
                <w:rFonts w:ascii="Arial" w:cs="Arial" w:eastAsia="Arial" w:hAnsi="Arial"/>
                <w:sz w:val="16"/>
                <w:szCs w:val="16"/>
                <w:color w:val="auto"/>
              </w:rPr>
              <w:t>31,379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20" w:type="dxa"/>
            <w:vAlign w:val="bottom"/>
          </w:tcPr>
          <w:p>
            <w:pPr>
              <w:jc w:val="right"/>
              <w:ind w:right="80"/>
              <w:spacing w:after="0"/>
              <w:rPr>
                <w:sz w:val="20"/>
                <w:szCs w:val="20"/>
                <w:color w:val="auto"/>
              </w:rPr>
            </w:pPr>
            <w:r>
              <w:rPr>
                <w:rFonts w:ascii="Arial" w:cs="Arial" w:eastAsia="Arial" w:hAnsi="Arial"/>
                <w:sz w:val="16"/>
                <w:szCs w:val="16"/>
                <w:color w:val="auto"/>
              </w:rPr>
              <w:t>309,887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tcPr>
          <w:p>
            <w:pPr>
              <w:jc w:val="right"/>
              <w:ind w:right="60"/>
              <w:spacing w:after="0"/>
              <w:rPr>
                <w:sz w:val="20"/>
                <w:szCs w:val="20"/>
                <w:color w:val="auto"/>
              </w:rPr>
            </w:pPr>
            <w:r>
              <w:rPr>
                <w:rFonts w:ascii="Arial" w:cs="Arial" w:eastAsia="Arial" w:hAnsi="Arial"/>
                <w:sz w:val="16"/>
                <w:szCs w:val="16"/>
                <w:color w:val="auto"/>
              </w:rPr>
              <w:t>341,266</w:t>
            </w:r>
          </w:p>
        </w:tc>
        <w:tc>
          <w:tcPr>
            <w:tcW w:w="0" w:type="dxa"/>
            <w:vAlign w:val="bottom"/>
          </w:tcPr>
          <w:p>
            <w:pPr>
              <w:spacing w:after="0"/>
              <w:rPr>
                <w:sz w:val="1"/>
                <w:szCs w:val="1"/>
                <w:color w:val="auto"/>
              </w:rPr>
            </w:pPr>
          </w:p>
        </w:tc>
      </w:tr>
      <w:tr>
        <w:trPr>
          <w:trHeight w:val="33"/>
        </w:trPr>
        <w:tc>
          <w:tcPr>
            <w:tcW w:w="5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Fiscal year 2017</w:t>
            </w:r>
          </w:p>
        </w:tc>
        <w:tc>
          <w:tcPr>
            <w:tcW w:w="2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30,988</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272,736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303,724</w:t>
            </w:r>
          </w:p>
        </w:tc>
        <w:tc>
          <w:tcPr>
            <w:tcW w:w="0" w:type="dxa"/>
            <w:vAlign w:val="bottom"/>
          </w:tcPr>
          <w:p>
            <w:pPr>
              <w:spacing w:after="0"/>
              <w:rPr>
                <w:sz w:val="1"/>
                <w:szCs w:val="1"/>
                <w:color w:val="auto"/>
              </w:rPr>
            </w:pPr>
          </w:p>
        </w:tc>
      </w:tr>
      <w:tr>
        <w:trPr>
          <w:trHeight w:val="224"/>
        </w:trPr>
        <w:tc>
          <w:tcPr>
            <w:tcW w:w="5760" w:type="dxa"/>
            <w:vAlign w:val="bottom"/>
          </w:tcPr>
          <w:p>
            <w:pPr>
              <w:ind w:left="20"/>
              <w:spacing w:after="0"/>
              <w:rPr>
                <w:sz w:val="20"/>
                <w:szCs w:val="20"/>
                <w:color w:val="auto"/>
              </w:rPr>
            </w:pPr>
            <w:r>
              <w:rPr>
                <w:rFonts w:ascii="Arial" w:cs="Arial" w:eastAsia="Arial" w:hAnsi="Arial"/>
                <w:sz w:val="16"/>
                <w:szCs w:val="16"/>
                <w:color w:val="auto"/>
              </w:rPr>
              <w:t>Fiscal year 2018</w:t>
            </w:r>
          </w:p>
        </w:tc>
        <w:tc>
          <w:tcPr>
            <w:tcW w:w="200" w:type="dxa"/>
            <w:vAlign w:val="bottom"/>
          </w:tcPr>
          <w:p>
            <w:pPr>
              <w:spacing w:after="0"/>
              <w:rPr>
                <w:sz w:val="19"/>
                <w:szCs w:val="19"/>
                <w:color w:val="auto"/>
              </w:rPr>
            </w:pPr>
          </w:p>
        </w:tc>
        <w:tc>
          <w:tcPr>
            <w:tcW w:w="1560" w:type="dxa"/>
            <w:vAlign w:val="bottom"/>
          </w:tcPr>
          <w:p>
            <w:pPr>
              <w:jc w:val="right"/>
              <w:ind w:right="80"/>
              <w:spacing w:after="0"/>
              <w:rPr>
                <w:sz w:val="20"/>
                <w:szCs w:val="20"/>
                <w:color w:val="auto"/>
              </w:rPr>
            </w:pPr>
            <w:r>
              <w:rPr>
                <w:rFonts w:ascii="Arial" w:cs="Arial" w:eastAsia="Arial" w:hAnsi="Arial"/>
                <w:sz w:val="16"/>
                <w:szCs w:val="16"/>
                <w:color w:val="auto"/>
              </w:rPr>
              <w:t>33,312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20" w:type="dxa"/>
            <w:vAlign w:val="bottom"/>
          </w:tcPr>
          <w:p>
            <w:pPr>
              <w:jc w:val="right"/>
              <w:ind w:right="80"/>
              <w:spacing w:after="0"/>
              <w:rPr>
                <w:sz w:val="20"/>
                <w:szCs w:val="20"/>
                <w:color w:val="auto"/>
              </w:rPr>
            </w:pPr>
            <w:r>
              <w:rPr>
                <w:rFonts w:ascii="Arial" w:cs="Arial" w:eastAsia="Arial" w:hAnsi="Arial"/>
                <w:sz w:val="16"/>
                <w:szCs w:val="16"/>
                <w:color w:val="auto"/>
              </w:rPr>
              <w:t>113,967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tcPr>
          <w:p>
            <w:pPr>
              <w:jc w:val="right"/>
              <w:ind w:right="60"/>
              <w:spacing w:after="0"/>
              <w:rPr>
                <w:sz w:val="20"/>
                <w:szCs w:val="20"/>
                <w:color w:val="auto"/>
              </w:rPr>
            </w:pPr>
            <w:r>
              <w:rPr>
                <w:rFonts w:ascii="Arial" w:cs="Arial" w:eastAsia="Arial" w:hAnsi="Arial"/>
                <w:sz w:val="16"/>
                <w:szCs w:val="16"/>
                <w:color w:val="auto"/>
              </w:rPr>
              <w:t>147,279</w:t>
            </w:r>
          </w:p>
        </w:tc>
        <w:tc>
          <w:tcPr>
            <w:tcW w:w="0" w:type="dxa"/>
            <w:vAlign w:val="bottom"/>
          </w:tcPr>
          <w:p>
            <w:pPr>
              <w:spacing w:after="0"/>
              <w:rPr>
                <w:sz w:val="1"/>
                <w:szCs w:val="1"/>
                <w:color w:val="auto"/>
              </w:rPr>
            </w:pPr>
          </w:p>
        </w:tc>
      </w:tr>
      <w:tr>
        <w:trPr>
          <w:trHeight w:val="33"/>
        </w:trPr>
        <w:tc>
          <w:tcPr>
            <w:tcW w:w="5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Fiscal year 2019</w:t>
            </w:r>
          </w:p>
        </w:tc>
        <w:tc>
          <w:tcPr>
            <w:tcW w:w="2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35,734</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106,992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142,726</w:t>
            </w:r>
          </w:p>
        </w:tc>
        <w:tc>
          <w:tcPr>
            <w:tcW w:w="0" w:type="dxa"/>
            <w:vAlign w:val="bottom"/>
          </w:tcPr>
          <w:p>
            <w:pPr>
              <w:spacing w:after="0"/>
              <w:rPr>
                <w:sz w:val="1"/>
                <w:szCs w:val="1"/>
                <w:color w:val="auto"/>
              </w:rPr>
            </w:pPr>
          </w:p>
        </w:tc>
      </w:tr>
      <w:tr>
        <w:trPr>
          <w:trHeight w:val="256"/>
        </w:trPr>
        <w:tc>
          <w:tcPr>
            <w:tcW w:w="5760" w:type="dxa"/>
            <w:vAlign w:val="bottom"/>
          </w:tcPr>
          <w:p>
            <w:pPr>
              <w:ind w:left="20"/>
              <w:spacing w:after="0"/>
              <w:rPr>
                <w:sz w:val="20"/>
                <w:szCs w:val="20"/>
                <w:color w:val="auto"/>
              </w:rPr>
            </w:pPr>
            <w:r>
              <w:rPr>
                <w:rFonts w:ascii="Arial" w:cs="Arial" w:eastAsia="Arial" w:hAnsi="Arial"/>
                <w:sz w:val="16"/>
                <w:szCs w:val="16"/>
                <w:color w:val="auto"/>
              </w:rPr>
              <w:t>First fiscal quarter 2020</w:t>
            </w:r>
          </w:p>
        </w:tc>
        <w:tc>
          <w:tcPr>
            <w:tcW w:w="200" w:type="dxa"/>
            <w:vAlign w:val="bottom"/>
          </w:tcPr>
          <w:p>
            <w:pPr>
              <w:spacing w:after="0"/>
              <w:rPr>
                <w:sz w:val="22"/>
                <w:szCs w:val="22"/>
                <w:color w:val="auto"/>
              </w:rPr>
            </w:pPr>
          </w:p>
        </w:tc>
        <w:tc>
          <w:tcPr>
            <w:tcW w:w="1560" w:type="dxa"/>
            <w:vAlign w:val="bottom"/>
          </w:tcPr>
          <w:p>
            <w:pPr>
              <w:jc w:val="right"/>
              <w:ind w:right="80"/>
              <w:spacing w:after="0"/>
              <w:rPr>
                <w:sz w:val="20"/>
                <w:szCs w:val="20"/>
                <w:color w:val="auto"/>
              </w:rPr>
            </w:pPr>
            <w:r>
              <w:rPr>
                <w:rFonts w:ascii="Arial" w:cs="Arial" w:eastAsia="Arial" w:hAnsi="Arial"/>
                <w:sz w:val="16"/>
                <w:szCs w:val="16"/>
                <w:color w:val="auto"/>
              </w:rPr>
              <w:t>17,480</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2"/>
                <w:szCs w:val="22"/>
                <w:color w:val="auto"/>
              </w:rPr>
            </w:pPr>
          </w:p>
        </w:tc>
        <w:tc>
          <w:tcPr>
            <w:tcW w:w="1380" w:type="dxa"/>
            <w:vAlign w:val="bottom"/>
          </w:tcPr>
          <w:p>
            <w:pPr>
              <w:jc w:val="right"/>
              <w:ind w:right="60"/>
              <w:spacing w:after="0"/>
              <w:rPr>
                <w:sz w:val="20"/>
                <w:szCs w:val="20"/>
                <w:color w:val="auto"/>
              </w:rPr>
            </w:pPr>
            <w:r>
              <w:rPr>
                <w:rFonts w:ascii="Arial" w:cs="Arial" w:eastAsia="Arial" w:hAnsi="Arial"/>
                <w:sz w:val="16"/>
                <w:szCs w:val="16"/>
                <w:color w:val="auto"/>
              </w:rPr>
              <w:t>17,480</w:t>
            </w:r>
          </w:p>
        </w:tc>
        <w:tc>
          <w:tcPr>
            <w:tcW w:w="0" w:type="dxa"/>
            <w:vAlign w:val="bottom"/>
          </w:tcPr>
          <w:p>
            <w:pPr>
              <w:spacing w:after="0"/>
              <w:rPr>
                <w:sz w:val="1"/>
                <w:szCs w:val="1"/>
                <w:color w:val="auto"/>
              </w:rPr>
            </w:pPr>
          </w:p>
        </w:tc>
      </w:tr>
      <w:tr>
        <w:trPr>
          <w:trHeight w:val="272"/>
        </w:trPr>
        <w:tc>
          <w:tcPr>
            <w:tcW w:w="5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178,225</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440" w:type="dxa"/>
            <w:vAlign w:val="bottom"/>
            <w:tcBorders>
              <w:top w:val="single" w:sz="8" w:color="auto"/>
              <w:bottom w:val="single" w:sz="8" w:color="auto"/>
            </w:tcBorders>
            <w:shd w:val="clear" w:color="auto" w:fill="CCEEFF"/>
          </w:tcPr>
          <w:p>
            <w:pPr>
              <w:jc w:val="right"/>
              <w:ind w:right="262"/>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973,581</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8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1,151,806</w:t>
            </w: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________________</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7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46"/>
        </w:numPr>
        <w:rPr>
          <w:rFonts w:ascii="Arial" w:cs="Arial" w:eastAsia="Arial" w:hAnsi="Arial"/>
          <w:sz w:val="15"/>
          <w:szCs w:val="15"/>
          <w:color w:val="auto"/>
        </w:rPr>
      </w:pPr>
      <w:r>
        <w:rPr>
          <w:rFonts w:ascii="Arial" w:cs="Arial" w:eastAsia="Arial" w:hAnsi="Arial"/>
          <w:sz w:val="15"/>
          <w:szCs w:val="15"/>
          <w:color w:val="auto"/>
        </w:rPr>
        <w:t>Excludes share repurchases for the settlement of taxes related to equity awards of $180, $447, and $770 for fiscal years 2017, 2016 and 2015, respectively.</w:t>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Recently Issued Financial Accounting Standards</w:t>
      </w:r>
    </w:p>
    <w:p>
      <w:pPr>
        <w:spacing w:after="0" w:line="249" w:lineRule="exact"/>
        <w:rPr>
          <w:sz w:val="20"/>
          <w:szCs w:val="20"/>
          <w:color w:val="auto"/>
        </w:rPr>
      </w:pPr>
    </w:p>
    <w:p>
      <w:pPr>
        <w:spacing w:after="0" w:line="309" w:lineRule="auto"/>
        <w:rPr>
          <w:sz w:val="20"/>
          <w:szCs w:val="20"/>
          <w:color w:val="auto"/>
        </w:rPr>
      </w:pPr>
      <w:r>
        <w:rPr>
          <w:rFonts w:ascii="Arial" w:cs="Arial" w:eastAsia="Arial" w:hAnsi="Arial"/>
          <w:sz w:val="16"/>
          <w:szCs w:val="16"/>
          <w:color w:val="auto"/>
        </w:rPr>
        <w:t>For a description of recently issued Financial Accounting Standards that we adopted during the twenty-six weeks ended June 28, 2020 and, that are applicable to us and likely to have material effect on our consolidated financial statements, but have not yet been adopted, see Note 1</w:t>
      </w:r>
    </w:p>
    <w:p>
      <w:pPr>
        <w:spacing w:after="0" w:line="1" w:lineRule="exact"/>
        <w:rPr>
          <w:sz w:val="20"/>
          <w:szCs w:val="20"/>
          <w:color w:val="auto"/>
        </w:rPr>
      </w:pPr>
    </w:p>
    <w:p>
      <w:pPr>
        <w:ind w:firstLine="8"/>
        <w:spacing w:after="0" w:line="244" w:lineRule="auto"/>
        <w:tabs>
          <w:tab w:leader="none" w:pos="115" w:val="left"/>
        </w:tabs>
        <w:numPr>
          <w:ilvl w:val="0"/>
          <w:numId w:val="47"/>
        </w:numPr>
        <w:rPr>
          <w:rFonts w:ascii="Arial" w:cs="Arial" w:eastAsia="Arial" w:hAnsi="Arial"/>
          <w:sz w:val="20"/>
          <w:szCs w:val="20"/>
          <w:color w:val="auto"/>
        </w:rPr>
      </w:pPr>
      <w:r>
        <w:rPr>
          <w:rFonts w:ascii="Arial" w:cs="Arial" w:eastAsia="Arial" w:hAnsi="Arial"/>
          <w:sz w:val="20"/>
          <w:szCs w:val="20"/>
          <w:i w:val="1"/>
          <w:iCs w:val="1"/>
          <w:color w:val="auto"/>
        </w:rPr>
        <w:t xml:space="preserve">Description of the Business and Basis of Presentation </w:t>
      </w:r>
      <w:r>
        <w:rPr>
          <w:rFonts w:ascii="Arial" w:cs="Arial" w:eastAsia="Arial" w:hAnsi="Arial"/>
          <w:sz w:val="20"/>
          <w:szCs w:val="20"/>
          <w:color w:val="auto"/>
        </w:rPr>
        <w:t>of the Notes to Consolidated Financial Statements of this Quarterly Report on Form</w:t>
      </w:r>
      <w:r>
        <w:rPr>
          <w:rFonts w:ascii="Arial" w:cs="Arial" w:eastAsia="Arial" w:hAnsi="Arial"/>
          <w:sz w:val="20"/>
          <w:szCs w:val="20"/>
          <w:i w:val="1"/>
          <w:iCs w:val="1"/>
          <w:color w:val="auto"/>
        </w:rPr>
        <w:t xml:space="preserve"> </w:t>
      </w:r>
      <w:r>
        <w:rPr>
          <w:rFonts w:ascii="Arial" w:cs="Arial" w:eastAsia="Arial" w:hAnsi="Arial"/>
          <w:sz w:val="20"/>
          <w:szCs w:val="20"/>
          <w:color w:val="auto"/>
        </w:rPr>
        <w:t>10-Q.</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Quantitative and Qualitative Disclosures about Market Risk</w:t>
      </w:r>
    </w:p>
    <w:p>
      <w:pPr>
        <w:spacing w:after="0" w:line="24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We are exposed to market risk from changes in interest rates, changes in foreign currency exchange rates and changes in commodity prices. We believe that there have been no material changes in our market risk since December 29, 2019, except as set forth below. See Part II, Item 7A., “Quantitative and Qualitative Disclosures about Market Risk,” in our Annual Report on Form 10-K for the year ended December 29, 2019 for further information regarding market risk.</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Foreign Currency Exchange Rate Risk</w:t>
      </w:r>
    </w:p>
    <w:p>
      <w:pPr>
        <w:spacing w:after="0" w:line="249"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We are subject to foreign currency exchange risk for our restaurants operating in foreign countries. Our exposure to foreign currency exchange risk is primarily related to fluctuations in the Brazilian Real relative to the U.S. dollar. Our operations in other markets consist of Company-owned restaurants on a smaller scale than Brazil. If foreign currency exchange rates depreciate in the countries in which we operate, we may experience declines in our operating results. For the twenty-six weeks ended June 28, 2020, a 10% change in average foreign currency rates against the U.S. dollar would have increased or decreased our Total revenues and Net (loss) income for our consolidated foreign entities by $16.8 million and $1.1 million, respectively. Currently, we do not enter into currency forward exchange or option contracts to hedge foreign currency exposures.</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Controls and Procedures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Evaluation of Disclosure Controls and Procedures</w:t>
      </w:r>
    </w:p>
    <w:p>
      <w:pPr>
        <w:spacing w:after="0" w:line="249"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We have established and maintain disclosure controls and procedures that are designed to ensure that information required to be disclosed by us in the reports that we file or submit under the Securities Exchange Act of 1934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as appropriate to allow timely decisions regarding required disclosure. We carried out an evaluation, under the supervision and with the participation of our management, including our Chief Executive Officer and Chief Financial Officer, of the effectiveness of our disclosure controls and procedures as of the end of the period covered by this report. Based on that evaluation, the Chief Executive Officer and Chief Financial Officer concluded that our disclosure controls and procedures were effective as of June 28, 2020.</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Changes in Internal Control over Financial Reporting</w:t>
      </w:r>
    </w:p>
    <w:p>
      <w:pPr>
        <w:spacing w:after="0" w:line="24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There have been no changes in our internal control over financial reporting during the thirteen weeks ended June 28, 2020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PART II: OTHER INFORMATION</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Legal Proceedings</w:t>
      </w:r>
    </w:p>
    <w:p>
      <w:pPr>
        <w:spacing w:after="0" w:line="249"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 xml:space="preserve">For a description of our legal proceedings, see Note 20 - </w:t>
      </w:r>
      <w:r>
        <w:rPr>
          <w:rFonts w:ascii="Arial" w:cs="Arial" w:eastAsia="Arial" w:hAnsi="Arial"/>
          <w:sz w:val="20"/>
          <w:szCs w:val="20"/>
          <w:i w:val="1"/>
          <w:iCs w:val="1"/>
          <w:color w:val="auto"/>
        </w:rPr>
        <w:t>Commitments and Contingencies</w:t>
      </w:r>
      <w:r>
        <w:rPr>
          <w:rFonts w:ascii="Arial" w:cs="Arial" w:eastAsia="Arial" w:hAnsi="Arial"/>
          <w:sz w:val="20"/>
          <w:szCs w:val="20"/>
          <w:color w:val="auto"/>
        </w:rPr>
        <w:t xml:space="preserve"> of the Notes to Consolidated Financial Statements of this Quarterly Report on Form 10-Q.</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1A. Risk Factors</w:t>
      </w:r>
    </w:p>
    <w:p>
      <w:pPr>
        <w:spacing w:after="0" w:line="249"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In addition to the other information discussed in this report, please consider the factors described in Part I, Item 1A., “Risk Factors” in our 2019 Form 10-K which could materially affect our business, financial condition or future results. Other than the risk factor discussed below, there have not been any material changes to the risk factors described in our 2019 Form 10-K, but these are not the only risks facing our Company. Additional risks and uncertainties not currently known to us or that we currently deem to be immaterial also may adversely affect our business, financial condition or operating results.</w:t>
      </w:r>
    </w:p>
    <w:p>
      <w:pPr>
        <w:spacing w:after="0" w:line="221" w:lineRule="exact"/>
        <w:rPr>
          <w:sz w:val="20"/>
          <w:szCs w:val="20"/>
          <w:color w:val="auto"/>
        </w:rPr>
      </w:pPr>
    </w:p>
    <w:p>
      <w:pPr>
        <w:jc w:val="both"/>
        <w:spacing w:after="0" w:line="316" w:lineRule="auto"/>
        <w:rPr>
          <w:sz w:val="20"/>
          <w:szCs w:val="20"/>
          <w:color w:val="auto"/>
        </w:rPr>
      </w:pPr>
      <w:r>
        <w:rPr>
          <w:rFonts w:ascii="Arial" w:cs="Arial" w:eastAsia="Arial" w:hAnsi="Arial"/>
          <w:sz w:val="18"/>
          <w:szCs w:val="18"/>
          <w:b w:val="1"/>
          <w:bCs w:val="1"/>
          <w:i w:val="1"/>
          <w:iCs w:val="1"/>
          <w:color w:val="auto"/>
        </w:rPr>
        <w:t>The COVID-19 pandemic has disrupted and is expected to continue to disrupt our business, and could continue to materially and adversely affect our business, revenues, financial condition and results of operations for an extended period of time.</w:t>
      </w:r>
    </w:p>
    <w:p>
      <w:pPr>
        <w:spacing w:after="0" w:line="15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COVID-19 was first detected in Wuhan, China in late 2019, and in March 2020, the World Health Organization declared COVID-19 a global pandemic. Governmental authorities around the world have since implemented measures to reduce the spread of COVID-19, and COVID-19 and related preventative and protective measures have impacted, and are expected to continue to impact, our business globally, including through restaurant closures, reductions in operating hours, capacity restrictions and decreased restaurant traffic. In the United States and in foreign countries in which we operate, individuals are encouraged to practice social distancing, and numerous jurisdictions have imposed on a temporary or on-going basis, and others in the future may impose or reinstate, restrictions from gathering in groups, restriction from non-essential movements outside of ones’ home, shelter-in-place orders, quarantines, executive orders and similar governmental orders and restrictions for residents to control the spread of COVID-19. While certain of these restrictions have been lifted or reduced in the past few months, the recent resurgence of cases has caused governments to slow or roll back their re-opening plans, and this trend may continue. These preventative and protective measures, which vary significantly across the jurisdictions where our restaurants are located. create a rapidly changing and complicated system for ensuring compliance and predicting our revenues and cost structure.</w:t>
      </w:r>
    </w:p>
    <w:p>
      <w:pPr>
        <w:spacing w:after="0" w:line="197"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In response to the COVID-19 pandemic and these changing conditions, we have modified work hours for our team members, identified and implemented cost savings measures throughout our operations, shifted the majority of our corporate employees to remote working and temporarily limited our services in the U.S. to carry-out and delivery only beginning in March 2020. In early May 2020, we began to reopen our restaurant dining rooms with limited seating capacity in compliance with state and local regulations and, as of June 28, 2020, we had reopened substantially all of our restaurant dining rooms with limited seating capacity. The temporary closure of our dining rooms and the limitations on seating capacity in our reopened dining rooms has resulted in significantly reduced traffic in our restaurants.</w:t>
      </w:r>
    </w:p>
    <w:p>
      <w:pPr>
        <w:spacing w:after="0" w:line="192"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In the normal course of business, the majority of our sales are generated through on-premises dining in our restaurants, and the COVID-19 pandemic has affected and will continue to adversely affect our guest traffic, sales and operating costs. Even with substantially all of our restaurant dining rooms open for on-premises dining, however there can be no assurances that on-premises sales will return to prior levels given capacity restrictions, continued uncertainties surrounding the economic and public health impact of the COVID-19 pandemic, or that any of the restaurants we have reopened, or any additional restaurants we may reopen in the future, will not be subject to additional closures or limitations on our capacity or the services we may provide. We are unable to accurately predict with certainty the ultimate impact that COVID-19 will have on our operations going forward due to uncertainties including the currently unknowable duration of the COVID-19 pandemic and impact of further</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8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governmental regulations that might be imposed or reinstated in response to the pandemic. The longer our restaurants remain closed to the public or under restrictions for on-premises dining, however, the greater impact we expect it will have on our financial results. In addition, if we revert to solely or primarily off-premises sales, there can be no assurance that our off-premises sales will grow or remain at levels experienced while our dining rooms were previously closed.</w:t>
      </w:r>
    </w:p>
    <w:p>
      <w:pPr>
        <w:spacing w:after="0" w:line="218"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The COVID-19 outbreak has also adversely affected our ability to open new restaurants and remodel and relocate existing restaurants. Due to the uncertainty in the economy and to preserve liquidity, we have paused activities with respect to new locations, remodels and relocations, and limited capital spending to maintenance necessary to support our off-premises business. In addition, we have closed certain restaurants where conditions were unlikely to support profitable operations for the foreseeable future. These changes may materially adversely affect our ability to grow our business, particularly if these pauses are in place for a significant amount of time or further closures are appropriate.</w:t>
      </w:r>
    </w:p>
    <w:p>
      <w:pPr>
        <w:spacing w:after="0" w:line="2"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In order to increase our cash position and preserve financial flexibility, we have made significant draws under our revolving credit facility and issued $230.0 million of convertible senior notes. Our resulting aggregate debt levels have significantly increased from levels prior to COVID-19. Given the uncertainty of the severity, extent and duration of the COVID-19 pandemic and its impacts on our business and results of operations, the general risks associated with increased debt levels are exacerbated. In addition, although we entered into an Amended Credit Agreement and obtained covenant relief, there can be no assurance we can continue to comply with the revised covenants during the relief period or thereafter when they revert to prior levels if the COVID-19 pandemic lasts longer than expected or our business does not quickly recover afterward.</w:t>
      </w:r>
    </w:p>
    <w:p>
      <w:pPr>
        <w:spacing w:after="0" w:line="3" w:lineRule="exact"/>
        <w:rPr>
          <w:sz w:val="20"/>
          <w:szCs w:val="20"/>
          <w:color w:val="auto"/>
        </w:rPr>
      </w:pPr>
    </w:p>
    <w:p>
      <w:pPr>
        <w:jc w:val="both"/>
        <w:spacing w:after="0" w:line="253" w:lineRule="auto"/>
        <w:rPr>
          <w:sz w:val="20"/>
          <w:szCs w:val="20"/>
          <w:color w:val="auto"/>
        </w:rPr>
      </w:pPr>
      <w:r>
        <w:rPr>
          <w:rFonts w:ascii="Arial" w:cs="Arial" w:eastAsia="Arial" w:hAnsi="Arial"/>
          <w:sz w:val="19"/>
          <w:szCs w:val="19"/>
          <w:color w:val="auto"/>
        </w:rPr>
        <w:t>Our business is sensitive to changes in macroeconomic conditions that impact consumer spending. The rapid and diffuse spread of COVID-19 has had severe negative impacts on, among other things, real GDP growth, consumer confidence, financial markets, liquidity, economic conditions, employment levels, interest rates, tax rates, foreign currency exchange rate fluctuations, supply chain related costs and other macroeconomic trends and could continue to do so or could worsen for an unknown period of time. If the business interruptions caused by COVID-19 last longer than we expect or our assumptions regarding liquidity needs prove inaccurate, we may need to seek other sources of liquidity. The COVID-19 pandemic is adversely affecting the availability of liquidity generally in the credit markets, and there can be no guarantee that additional liquidity will be readily available or available on favorable terms, especially the longer the COVID-19 pandemic lasts. In an effort to preserve liquidity, we have and may continue to take certain actions with respect to some or all of our leases, including negotiating with landlords to obtain rent abatement or deferrals, terminating certain leases or discontinuing payment. We can provide no assurances that forbearance of any lease obligations will be provided to us, or that, following the COVID-19 pandemic, we will be able to continue restaurant operations on the current terms of our existing leases, any of which could have an adverse effect on our business and results.</w:t>
      </w:r>
    </w:p>
    <w:p>
      <w:pPr>
        <w:spacing w:after="0" w:line="217"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Our restaurant operations could be further disrupted if any of our employees are diagnosed with COVID-19, since this could require further restaurant closures and some or all of a restaurant’s employees to self-quarantine. If the employees of any of our third-party delivery service providers are diagnosed with COVID-19, or if the operations of these service providers are otherwise significantly impaired, our off-premises sales would also be adversely impacted. Our supply chain could similarly be adversely impacted. If our customers become ill, a significant percentage of our or our suppliers’ or distributors’ workforce is unable to work, or if there are similar disruptions in the supply chain generally for certain products, whether because of illness, quarantine, limitations on travel or other government restrictions in connection with COVID-19, we could face disruptions to restaurant operations, cost increases and shortages of food or other supplies, or reputational harm or negative publicity directed at our brands that causes customers to avoid our restaurants, potentially materially adversely affecting our operations and sales. This is particularly true given our reliance on a small number of suppliers and distributors for the beef we serve in our U.S. and Brazil restaurants. In 2019, we purchased approximately 95% of our U.S. beef raw materials from four beef suppliers that represent more than 80% of the total beef marketplace in the U.S., and approximately 90% of our Brazil beef raw materials from two beef suppliers that represent approximately 45% of the total Brazil beef marketplace. We also primarily use one supplier in the U.S. and Brazil, respectively, to process beef raw materials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8" w:name="page59"/>
    <w:bookmarkEnd w:id="5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83"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to our specifications and we use one distribution company to provide distribution services in the U.S and Brazil, respectively. Consequently, our operations could be adversely affected if any of these suppliers or distributors were unable to fulfill their responsibilities and we were unable to locate substitutes in a timely manner. Although we have not experienced material adverse impacts to date, additional or prolonged closures of meat processing facilities that have occurred due to the effects of COVID-19 could adversely impact our supply chain and the products that we offer.</w:t>
      </w:r>
    </w:p>
    <w:p>
      <w:pPr>
        <w:spacing w:after="0" w:line="22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addition to decisions we have made and may make in the future relating to the compensation and benefits of our employees, additional government regulations or legislation as a result of COVID-19 could also have an adverse effect on our business. We cannot predict the types of government regulations or legislation that may be passed relating to employee compensation or benefits as a result of the COVID-19 pandemic. In order to support our off-premises business and ensure we would be prepared to re-open our restaurants to on-premises dining when permitted, we retained our restaurant management across all of our brands. We have taken and continue to evaluate compensation and benefit actions to support our restaurant team members during the COVID-19 business interruption, including relief pay to hourly employees and continued payments to employees who have been quarantined or who had a personal illness related to COVID-19. Those actions may be insufficient to compensate our team members for the entire duration of any business interruption resulting from COVID-19, and our team members might seek and find other employment during that interruption, which could adversely affect our ability to properly staff and reopen our restaurants with experienced team members when the business interruptions caused by COVID-19 abate or end.</w:t>
      </w:r>
    </w:p>
    <w:p>
      <w:pPr>
        <w:spacing w:after="0" w:line="201"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In addition, the operations of our franchisees are subject to the same risks discussed above with respect to our business, and the COVID-19 pandemic could cause financial distress for the franchisees that have been or will be impacted. As a result of this distress, we have deferred certain of their payment obligations and, even with these actions, our franchisees may not be able to meet or will defer payment of their financial obligations as they come due, including the payment of royalties, rent or other amounts due to the Company. In addition, our franchisees may not be able to make payments to landlords and key suppliers, as well as payments to service any debt they have outstanding. In some cases, we are contingently liable for franchisee lease obligations, and a failure by a franchisee to perform its obligations under such lease could result in direct payment obligations for us.</w:t>
      </w:r>
    </w:p>
    <w:p>
      <w:pPr>
        <w:spacing w:after="0" w:line="212"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In addition, we have and could continue to experience other material impacts as a result of COVID-19, including, but not limited to, impairment charges. We cannot accurately predict the amount and timing of any further impairment of assets. A significant amount of judgment is involved in determining if an indication of impairment exists and the COVID-19 pandemic has made developing forecasts for, and the accounting of, valuation of goodwill and certain other assets slower and more difficult. Should the value of goodwill or other intangible or long-lived assets become further impaired, there could be an adverse effect on our financial condition and consolidated results of operations. To the extent the COVID-19 pandemic adversely affects our business and financial results, it may also have the effect of heightening many of the other risks described in “Risk Factors” under Item 1A and “Management’s Discussion and Analysis of Financial Condition and Results of Operation” under Item 7 of our Annual Report on Form 10-K that we filed with the SEC on February 26, 2020, including without limitation risks relating to competition in the restaurant industry, consumer preferences and perceptions, our level of indebtedness, availability of adequate capital, our ability to execute business plans related to remodeling, relocation and expansions, our lease obligations, our franchisees, disruptions to our supply chain and third-party delivery service providers, foreign currency exchange rates, regulatory restrictions and compliance, government proceedings or litigation arising out of claims from our customers, employees, business partners and stockholders, vulnerability of our data systems and volatility in the price of our common stock.</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9" w:name="page60"/>
    <w:bookmarkEnd w:id="5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Unregistered Sales of Equity Securities and Use of Proceeds</w:t>
      </w:r>
    </w:p>
    <w:p>
      <w:pPr>
        <w:spacing w:after="0" w:line="249"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Other than the 2025 Notes, as discussed above and in our Current Report on Form 8-K filed on May 11, 2020, there were no sales of equity securities during the second quarter of 2020 that were not registered under the Securities Act of 1933.</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We did not repurchase any shares of our outstanding common stock during the thirteen weeks ended June 28, 2020.</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6. Exhibits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200" w:type="dxa"/>
            <w:vAlign w:val="bottom"/>
            <w:gridSpan w:val="2"/>
          </w:tcPr>
          <w:p>
            <w:pPr>
              <w:ind w:left="200"/>
              <w:spacing w:after="0"/>
              <w:rPr>
                <w:sz w:val="20"/>
                <w:szCs w:val="20"/>
                <w:color w:val="auto"/>
              </w:rPr>
            </w:pPr>
            <w:r>
              <w:rPr>
                <w:rFonts w:ascii="Arial" w:cs="Arial" w:eastAsia="Arial" w:hAnsi="Arial"/>
                <w:sz w:val="16"/>
                <w:szCs w:val="16"/>
                <w:b w:val="1"/>
                <w:bCs w:val="1"/>
                <w:color w:val="auto"/>
              </w:rPr>
              <w:t>EXHIBIT</w:t>
            </w:r>
          </w:p>
        </w:tc>
        <w:tc>
          <w:tcPr>
            <w:tcW w:w="6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20" w:type="dxa"/>
            <w:vAlign w:val="bottom"/>
          </w:tcPr>
          <w:p>
            <w:pPr>
              <w:jc w:val="center"/>
              <w:spacing w:after="0"/>
              <w:rPr>
                <w:sz w:val="20"/>
                <w:szCs w:val="20"/>
                <w:color w:val="auto"/>
              </w:rPr>
            </w:pPr>
            <w:r>
              <w:rPr>
                <w:rFonts w:ascii="Arial" w:cs="Arial" w:eastAsia="Arial" w:hAnsi="Arial"/>
                <w:sz w:val="16"/>
                <w:szCs w:val="16"/>
                <w:b w:val="1"/>
                <w:bCs w:val="1"/>
                <w:color w:val="auto"/>
              </w:rPr>
              <w:t>FILINGS REFERENCED FOR</w:t>
            </w:r>
          </w:p>
        </w:tc>
      </w:tr>
      <w:tr>
        <w:trPr>
          <w:trHeight w:val="210"/>
        </w:trPr>
        <w:tc>
          <w:tcPr>
            <w:tcW w:w="1200" w:type="dxa"/>
            <w:vAlign w:val="bottom"/>
            <w:gridSpan w:val="2"/>
          </w:tcPr>
          <w:p>
            <w:pPr>
              <w:ind w:left="180"/>
              <w:spacing w:after="0"/>
              <w:rPr>
                <w:sz w:val="20"/>
                <w:szCs w:val="20"/>
                <w:color w:val="auto"/>
              </w:rPr>
            </w:pPr>
            <w:r>
              <w:rPr>
                <w:rFonts w:ascii="Arial" w:cs="Arial" w:eastAsia="Arial" w:hAnsi="Arial"/>
                <w:sz w:val="16"/>
                <w:szCs w:val="16"/>
                <w:b w:val="1"/>
                <w:bCs w:val="1"/>
                <w:color w:val="auto"/>
              </w:rPr>
              <w:t>NUMBER</w:t>
            </w:r>
          </w:p>
        </w:tc>
        <w:tc>
          <w:tcPr>
            <w:tcW w:w="6320" w:type="dxa"/>
            <w:vAlign w:val="bottom"/>
            <w:gridSpan w:val="2"/>
          </w:tcPr>
          <w:p>
            <w:pPr>
              <w:ind w:left="2000"/>
              <w:spacing w:after="0"/>
              <w:rPr>
                <w:sz w:val="20"/>
                <w:szCs w:val="20"/>
                <w:color w:val="auto"/>
              </w:rPr>
            </w:pPr>
            <w:r>
              <w:rPr>
                <w:rFonts w:ascii="Arial" w:cs="Arial" w:eastAsia="Arial" w:hAnsi="Arial"/>
                <w:sz w:val="16"/>
                <w:szCs w:val="16"/>
                <w:b w:val="1"/>
                <w:bCs w:val="1"/>
                <w:color w:val="auto"/>
              </w:rPr>
              <w:t>DESCRIPTION OF EXHIBITS</w:t>
            </w:r>
          </w:p>
        </w:tc>
        <w:tc>
          <w:tcPr>
            <w:tcW w:w="3720" w:type="dxa"/>
            <w:vAlign w:val="bottom"/>
          </w:tcPr>
          <w:p>
            <w:pPr>
              <w:jc w:val="center"/>
              <w:spacing w:after="0"/>
              <w:rPr>
                <w:sz w:val="20"/>
                <w:szCs w:val="20"/>
                <w:color w:val="auto"/>
              </w:rPr>
            </w:pPr>
            <w:r>
              <w:rPr>
                <w:rFonts w:ascii="Arial" w:cs="Arial" w:eastAsia="Arial" w:hAnsi="Arial"/>
                <w:sz w:val="16"/>
                <w:szCs w:val="16"/>
                <w:b w:val="1"/>
                <w:bCs w:val="1"/>
                <w:color w:val="auto"/>
              </w:rPr>
              <w:t>INCORPORATION BY REFERENCE</w:t>
            </w:r>
          </w:p>
        </w:tc>
      </w:tr>
      <w:tr>
        <w:trPr>
          <w:trHeight w:val="40"/>
        </w:trPr>
        <w:tc>
          <w:tcPr>
            <w:tcW w:w="10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62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720" w:type="dxa"/>
            <w:vAlign w:val="bottom"/>
            <w:tcBorders>
              <w:bottom w:val="single" w:sz="8" w:color="auto"/>
            </w:tcBorders>
          </w:tcPr>
          <w:p>
            <w:pPr>
              <w:spacing w:after="0"/>
              <w:rPr>
                <w:sz w:val="3"/>
                <w:szCs w:val="3"/>
                <w:color w:val="auto"/>
              </w:rPr>
            </w:pPr>
          </w:p>
        </w:tc>
      </w:tr>
    </w:tbl>
    <w:p>
      <w:pPr>
        <w:spacing w:after="0" w:line="91" w:lineRule="exact"/>
        <w:rPr>
          <w:sz w:val="20"/>
          <w:szCs w:val="20"/>
          <w:color w:val="auto"/>
        </w:rPr>
      </w:pPr>
    </w:p>
    <w:p>
      <w:pPr>
        <w:sectPr>
          <w:pgSz w:w="11900" w:h="16838" w:orient="portrait"/>
          <w:cols w:equalWidth="0" w:num="1">
            <w:col w:w="11240"/>
          </w:cols>
          <w:pgMar w:left="320" w:top="122" w:right="339" w:bottom="1440" w:gutter="0" w:footer="0" w:header="0"/>
        </w:sectPr>
      </w:pPr>
    </w:p>
    <w:p>
      <w:pPr>
        <w:ind w:left="1220" w:hanging="789"/>
        <w:spacing w:after="0" w:line="229" w:lineRule="auto"/>
        <w:tabs>
          <w:tab w:leader="none" w:pos="1200" w:val="left"/>
        </w:tabs>
        <w:rPr>
          <w:rFonts w:ascii="Arial" w:cs="Arial" w:eastAsia="Arial" w:hAnsi="Arial"/>
          <w:sz w:val="20"/>
          <w:szCs w:val="20"/>
          <w:u w:val="single" w:color="auto"/>
          <w:color w:val="0000FF"/>
        </w:rPr>
      </w:pPr>
      <w:r>
        <w:rPr>
          <w:rFonts w:ascii="Arial" w:cs="Arial" w:eastAsia="Arial" w:hAnsi="Arial"/>
          <w:sz w:val="20"/>
          <w:szCs w:val="20"/>
          <w:color w:val="auto"/>
        </w:rPr>
        <w:t>4.1</w:t>
      </w:r>
      <w:r>
        <w:rPr>
          <w:sz w:val="20"/>
          <w:szCs w:val="20"/>
          <w:color w:val="auto"/>
        </w:rPr>
        <w:tab/>
      </w:r>
      <w:hyperlink r:id="rId87">
        <w:r>
          <w:rPr>
            <w:rFonts w:ascii="Arial" w:cs="Arial" w:eastAsia="Arial" w:hAnsi="Arial"/>
            <w:sz w:val="20"/>
            <w:szCs w:val="20"/>
            <w:u w:val="single" w:color="auto"/>
            <w:color w:val="0000FF"/>
          </w:rPr>
          <w:t>Indenture, dated as of May 8, 2020, between Bloomin’ Brands, Inc. and Wells</w:t>
        </w:r>
      </w:hyperlink>
      <w:r>
        <w:rPr>
          <w:rFonts w:ascii="Arial" w:cs="Arial" w:eastAsia="Arial" w:hAnsi="Arial"/>
          <w:sz w:val="20"/>
          <w:szCs w:val="20"/>
          <w:u w:val="single" w:color="auto"/>
          <w:color w:val="0000FF"/>
        </w:rPr>
        <w:t xml:space="preserve"> </w:t>
      </w:r>
      <w:hyperlink r:id="rId87">
        <w:r>
          <w:rPr>
            <w:rFonts w:ascii="Arial" w:cs="Arial" w:eastAsia="Arial" w:hAnsi="Arial"/>
            <w:sz w:val="20"/>
            <w:szCs w:val="20"/>
            <w:u w:val="single" w:color="auto"/>
            <w:color w:val="0000FF"/>
          </w:rPr>
          <w:t>Fargo Bank, National Association</w:t>
        </w:r>
      </w:hyperlink>
    </w:p>
    <w:p>
      <w:pPr>
        <w:spacing w:after="0" w:line="47" w:lineRule="exact"/>
        <w:rPr>
          <w:sz w:val="20"/>
          <w:szCs w:val="20"/>
          <w:color w:val="auto"/>
        </w:rPr>
      </w:pPr>
    </w:p>
    <w:p>
      <w:pPr>
        <w:ind w:left="420"/>
        <w:spacing w:after="0"/>
        <w:tabs>
          <w:tab w:leader="none" w:pos="1200" w:val="left"/>
        </w:tabs>
        <w:rPr>
          <w:rFonts w:ascii="Arial" w:cs="Arial" w:eastAsia="Arial" w:hAnsi="Arial"/>
          <w:sz w:val="18"/>
          <w:szCs w:val="18"/>
          <w:u w:val="single" w:color="auto"/>
          <w:color w:val="0000FF"/>
        </w:rPr>
      </w:pPr>
      <w:r>
        <w:rPr>
          <w:rFonts w:ascii="Arial" w:cs="Arial" w:eastAsia="Arial" w:hAnsi="Arial"/>
          <w:sz w:val="20"/>
          <w:szCs w:val="20"/>
          <w:color w:val="auto"/>
        </w:rPr>
        <w:t>4.2</w:t>
      </w:r>
      <w:r>
        <w:rPr>
          <w:sz w:val="20"/>
          <w:szCs w:val="20"/>
          <w:color w:val="auto"/>
        </w:rPr>
        <w:tab/>
      </w:r>
      <w:hyperlink r:id="rId88">
        <w:r>
          <w:rPr>
            <w:rFonts w:ascii="Arial" w:cs="Arial" w:eastAsia="Arial" w:hAnsi="Arial"/>
            <w:sz w:val="18"/>
            <w:szCs w:val="18"/>
            <w:u w:val="single" w:color="auto"/>
            <w:color w:val="0000FF"/>
          </w:rPr>
          <w:t>Form of 5.00% Convertible Senior Notes due 2025</w:t>
        </w:r>
      </w:hyperlink>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auto"/>
        </w:rPr>
        <w:t>May 11, 2020 Form 8-K, Exhibit 4.1</w:t>
      </w:r>
    </w:p>
    <w:p>
      <w:pPr>
        <w:spacing w:after="0" w:line="256"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May 11, 2020 Form 8-K, Included as Exhibit A to Exhibit 4.1</w:t>
      </w:r>
    </w:p>
    <w:p>
      <w:pPr>
        <w:spacing w:after="0" w:line="31" w:lineRule="exact"/>
        <w:rPr>
          <w:sz w:val="20"/>
          <w:szCs w:val="20"/>
          <w:color w:val="auto"/>
        </w:rPr>
      </w:pPr>
    </w:p>
    <w:p>
      <w:pPr>
        <w:sectPr>
          <w:pgSz w:w="11900" w:h="16838" w:orient="portrait"/>
          <w:cols w:equalWidth="0" w:num="2">
            <w:col w:w="7400" w:space="140"/>
            <w:col w:w="3700"/>
          </w:cols>
          <w:pgMar w:left="320" w:top="122" w:right="339" w:bottom="1440" w:gutter="0" w:footer="0" w:header="0"/>
          <w:type w:val="continuous"/>
        </w:sectPr>
      </w:pPr>
    </w:p>
    <w:tbl>
      <w:tblPr>
        <w:tblLayout w:type="fixed"/>
        <w:tblInd w:w="180" w:type="dxa"/>
        <w:tblCellMar>
          <w:top w:w="0" w:type="dxa"/>
          <w:left w:w="0" w:type="dxa"/>
          <w:bottom w:w="0" w:type="dxa"/>
          <w:right w:w="0" w:type="dxa"/>
        </w:tblCellMar>
      </w:tblPr>
      <w:tr>
        <w:trPr>
          <w:trHeight w:val="230"/>
        </w:trPr>
        <w:tc>
          <w:tcPr>
            <w:tcW w:w="1040" w:type="dxa"/>
            <w:vAlign w:val="bottom"/>
          </w:tcPr>
          <w:p>
            <w:pPr>
              <w:jc w:val="center"/>
              <w:ind w:right="201"/>
              <w:spacing w:after="0"/>
              <w:rPr>
                <w:sz w:val="20"/>
                <w:szCs w:val="20"/>
                <w:color w:val="auto"/>
              </w:rPr>
            </w:pPr>
            <w:r>
              <w:rPr>
                <w:rFonts w:ascii="Arial" w:cs="Arial" w:eastAsia="Arial" w:hAnsi="Arial"/>
                <w:sz w:val="20"/>
                <w:szCs w:val="20"/>
                <w:color w:val="auto"/>
                <w:w w:val="98"/>
              </w:rPr>
              <w:t>10.1*</w:t>
            </w:r>
          </w:p>
        </w:tc>
        <w:tc>
          <w:tcPr>
            <w:tcW w:w="6340" w:type="dxa"/>
            <w:vAlign w:val="bottom"/>
            <w:gridSpan w:val="14"/>
          </w:tcPr>
          <w:p>
            <w:pPr>
              <w:spacing w:after="0"/>
              <w:rPr>
                <w:rFonts w:ascii="Arial" w:cs="Arial" w:eastAsia="Arial" w:hAnsi="Arial"/>
                <w:sz w:val="20"/>
                <w:szCs w:val="20"/>
                <w:color w:val="0000FF"/>
                <w:w w:val="97"/>
              </w:rPr>
            </w:pPr>
            <w:hyperlink r:id="rId89">
              <w:r>
                <w:rPr>
                  <w:rFonts w:ascii="Arial" w:cs="Arial" w:eastAsia="Arial" w:hAnsi="Arial"/>
                  <w:sz w:val="20"/>
                  <w:szCs w:val="20"/>
                  <w:color w:val="0000FF"/>
                  <w:w w:val="97"/>
                </w:rPr>
                <w:t>Amendment to Officer Employment Agreement, dated as of April 6, 2020,</w:t>
              </w:r>
            </w:hyperlink>
          </w:p>
        </w:tc>
      </w:tr>
      <w:tr>
        <w:trPr>
          <w:trHeight w:val="169"/>
        </w:trPr>
        <w:tc>
          <w:tcPr>
            <w:tcW w:w="1040" w:type="dxa"/>
            <w:vAlign w:val="bottom"/>
          </w:tcPr>
          <w:p>
            <w:pPr>
              <w:spacing w:after="0"/>
              <w:rPr>
                <w:sz w:val="14"/>
                <w:szCs w:val="14"/>
                <w:color w:val="auto"/>
              </w:rPr>
            </w:pPr>
          </w:p>
        </w:tc>
        <w:tc>
          <w:tcPr>
            <w:tcW w:w="4000" w:type="dxa"/>
            <w:vAlign w:val="bottom"/>
            <w:tcBorders>
              <w:top w:val="single" w:sz="8" w:color="0000FF"/>
              <w:bottom w:val="single" w:sz="8" w:color="0000FF"/>
            </w:tcBorders>
            <w:gridSpan w:val="5"/>
          </w:tcPr>
          <w:p>
            <w:pPr>
              <w:spacing w:after="0" w:line="169" w:lineRule="exact"/>
              <w:rPr>
                <w:rFonts w:ascii="Arial" w:cs="Arial" w:eastAsia="Arial" w:hAnsi="Arial"/>
                <w:sz w:val="19"/>
                <w:szCs w:val="19"/>
                <w:color w:val="0000FF"/>
                <w:w w:val="95"/>
              </w:rPr>
            </w:pPr>
            <w:hyperlink r:id="rId89">
              <w:r>
                <w:rPr>
                  <w:rFonts w:ascii="Arial" w:cs="Arial" w:eastAsia="Arial" w:hAnsi="Arial"/>
                  <w:sz w:val="19"/>
                  <w:szCs w:val="19"/>
                  <w:color w:val="0000FF"/>
                  <w:w w:val="95"/>
                </w:rPr>
                <w:t>between Bloomin’ Brands, Inc. and David J. Deno</w:t>
              </w:r>
            </w:hyperlink>
          </w:p>
        </w:tc>
        <w:tc>
          <w:tcPr>
            <w:tcW w:w="2300" w:type="dxa"/>
            <w:vAlign w:val="bottom"/>
            <w:tcBorders>
              <w:top w:val="single" w:sz="8" w:color="0000FF"/>
            </w:tcBorders>
            <w:gridSpan w:val="7"/>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77"/>
        </w:trPr>
        <w:tc>
          <w:tcPr>
            <w:tcW w:w="1040" w:type="dxa"/>
            <w:vAlign w:val="bottom"/>
          </w:tcPr>
          <w:p>
            <w:pPr>
              <w:jc w:val="center"/>
              <w:ind w:right="201"/>
              <w:spacing w:after="0"/>
              <w:rPr>
                <w:sz w:val="20"/>
                <w:szCs w:val="20"/>
                <w:color w:val="auto"/>
              </w:rPr>
            </w:pPr>
            <w:r>
              <w:rPr>
                <w:rFonts w:ascii="Arial" w:cs="Arial" w:eastAsia="Arial" w:hAnsi="Arial"/>
                <w:sz w:val="20"/>
                <w:szCs w:val="20"/>
                <w:color w:val="auto"/>
                <w:w w:val="87"/>
              </w:rPr>
              <w:t>10.2</w:t>
            </w:r>
          </w:p>
        </w:tc>
        <w:tc>
          <w:tcPr>
            <w:tcW w:w="6340" w:type="dxa"/>
            <w:vAlign w:val="bottom"/>
            <w:gridSpan w:val="14"/>
          </w:tcPr>
          <w:p>
            <w:pPr>
              <w:spacing w:after="0"/>
              <w:rPr>
                <w:rFonts w:ascii="Arial" w:cs="Arial" w:eastAsia="Arial" w:hAnsi="Arial"/>
                <w:sz w:val="20"/>
                <w:szCs w:val="20"/>
                <w:color w:val="0000FF"/>
                <w:w w:val="97"/>
              </w:rPr>
            </w:pPr>
            <w:hyperlink r:id="rId90">
              <w:r>
                <w:rPr>
                  <w:rFonts w:ascii="Arial" w:cs="Arial" w:eastAsia="Arial" w:hAnsi="Arial"/>
                  <w:sz w:val="20"/>
                  <w:szCs w:val="20"/>
                  <w:color w:val="0000FF"/>
                  <w:w w:val="97"/>
                </w:rPr>
                <w:t>Agreement dated April 8, 2020, between Bloomin’ Brands, Inc. and JANA</w:t>
              </w:r>
            </w:hyperlink>
          </w:p>
        </w:tc>
      </w:tr>
      <w:tr>
        <w:trPr>
          <w:trHeight w:val="169"/>
        </w:trPr>
        <w:tc>
          <w:tcPr>
            <w:tcW w:w="1040" w:type="dxa"/>
            <w:vAlign w:val="bottom"/>
          </w:tcPr>
          <w:p>
            <w:pPr>
              <w:spacing w:after="0"/>
              <w:rPr>
                <w:sz w:val="14"/>
                <w:szCs w:val="14"/>
                <w:color w:val="auto"/>
              </w:rPr>
            </w:pPr>
          </w:p>
        </w:tc>
        <w:tc>
          <w:tcPr>
            <w:tcW w:w="6200" w:type="dxa"/>
            <w:vAlign w:val="bottom"/>
            <w:tcBorders>
              <w:top w:val="single" w:sz="8" w:color="0000FF"/>
            </w:tcBorders>
            <w:gridSpan w:val="7"/>
          </w:tcPr>
          <w:p>
            <w:pPr>
              <w:spacing w:after="0" w:line="169" w:lineRule="exact"/>
              <w:rPr>
                <w:rFonts w:ascii="Arial" w:cs="Arial" w:eastAsia="Arial" w:hAnsi="Arial"/>
                <w:sz w:val="19"/>
                <w:szCs w:val="19"/>
                <w:color w:val="0000FF"/>
              </w:rPr>
            </w:pPr>
            <w:hyperlink r:id="rId90">
              <w:r>
                <w:rPr>
                  <w:rFonts w:ascii="Arial" w:cs="Arial" w:eastAsia="Arial" w:hAnsi="Arial"/>
                  <w:sz w:val="19"/>
                  <w:szCs w:val="19"/>
                  <w:color w:val="0000FF"/>
                </w:rPr>
                <w:t>Partners, LLC.</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04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5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40" w:type="dxa"/>
            <w:vAlign w:val="bottom"/>
          </w:tcPr>
          <w:p>
            <w:pPr>
              <w:jc w:val="center"/>
              <w:ind w:right="201"/>
              <w:spacing w:after="0"/>
              <w:rPr>
                <w:sz w:val="20"/>
                <w:szCs w:val="20"/>
                <w:color w:val="auto"/>
              </w:rPr>
            </w:pPr>
            <w:r>
              <w:rPr>
                <w:rFonts w:ascii="Arial" w:cs="Arial" w:eastAsia="Arial" w:hAnsi="Arial"/>
                <w:sz w:val="20"/>
                <w:szCs w:val="20"/>
                <w:color w:val="auto"/>
                <w:w w:val="87"/>
              </w:rPr>
              <w:t>10.3</w:t>
            </w:r>
          </w:p>
        </w:tc>
        <w:tc>
          <w:tcPr>
            <w:tcW w:w="6340" w:type="dxa"/>
            <w:vAlign w:val="bottom"/>
            <w:gridSpan w:val="14"/>
          </w:tcPr>
          <w:p>
            <w:pPr>
              <w:spacing w:after="0"/>
              <w:rPr>
                <w:rFonts w:ascii="Arial" w:cs="Arial" w:eastAsia="Arial" w:hAnsi="Arial"/>
                <w:sz w:val="20"/>
                <w:szCs w:val="20"/>
                <w:color w:val="0000FF"/>
                <w:w w:val="95"/>
              </w:rPr>
            </w:pPr>
            <w:hyperlink r:id="rId91">
              <w:r>
                <w:rPr>
                  <w:rFonts w:ascii="Arial" w:cs="Arial" w:eastAsia="Arial" w:hAnsi="Arial"/>
                  <w:sz w:val="20"/>
                  <w:szCs w:val="20"/>
                  <w:color w:val="0000FF"/>
                  <w:w w:val="95"/>
                </w:rPr>
                <w:t>First Amendment to Amended and Restated Credit Agreement, dated as of</w:t>
              </w:r>
            </w:hyperlink>
          </w:p>
        </w:tc>
      </w:tr>
      <w:tr>
        <w:trPr>
          <w:trHeight w:val="169"/>
        </w:trPr>
        <w:tc>
          <w:tcPr>
            <w:tcW w:w="1040" w:type="dxa"/>
            <w:vAlign w:val="bottom"/>
          </w:tcPr>
          <w:p>
            <w:pPr>
              <w:spacing w:after="0"/>
              <w:rPr>
                <w:sz w:val="14"/>
                <w:szCs w:val="14"/>
                <w:color w:val="auto"/>
              </w:rPr>
            </w:pPr>
          </w:p>
        </w:tc>
        <w:tc>
          <w:tcPr>
            <w:tcW w:w="6180" w:type="dxa"/>
            <w:vAlign w:val="bottom"/>
            <w:tcBorders>
              <w:top w:val="single" w:sz="8" w:color="0000FF"/>
              <w:bottom w:val="single" w:sz="8" w:color="0000FF"/>
            </w:tcBorders>
            <w:gridSpan w:val="6"/>
          </w:tcPr>
          <w:p>
            <w:pPr>
              <w:spacing w:after="0" w:line="169" w:lineRule="exact"/>
              <w:rPr>
                <w:rFonts w:ascii="Arial" w:cs="Arial" w:eastAsia="Arial" w:hAnsi="Arial"/>
                <w:sz w:val="19"/>
                <w:szCs w:val="19"/>
                <w:color w:val="0000FF"/>
                <w:w w:val="98"/>
              </w:rPr>
            </w:pPr>
            <w:hyperlink r:id="rId91">
              <w:r>
                <w:rPr>
                  <w:rFonts w:ascii="Arial" w:cs="Arial" w:eastAsia="Arial" w:hAnsi="Arial"/>
                  <w:sz w:val="19"/>
                  <w:szCs w:val="19"/>
                  <w:color w:val="0000FF"/>
                  <w:w w:val="98"/>
                </w:rPr>
                <w:t>May 4, 2020, among Bloomin’ Brands, Inc., OSI Restaurant Partners, LLC,</w:t>
              </w:r>
            </w:hyperlink>
          </w:p>
        </w:tc>
        <w:tc>
          <w:tcPr>
            <w:tcW w:w="4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6320" w:type="dxa"/>
            <w:vAlign w:val="bottom"/>
            <w:gridSpan w:val="13"/>
          </w:tcPr>
          <w:p>
            <w:pPr>
              <w:spacing w:after="0" w:line="169" w:lineRule="exact"/>
              <w:rPr>
                <w:rFonts w:ascii="Arial" w:cs="Arial" w:eastAsia="Arial" w:hAnsi="Arial"/>
                <w:sz w:val="19"/>
                <w:szCs w:val="19"/>
                <w:color w:val="0000FF"/>
              </w:rPr>
            </w:pPr>
            <w:hyperlink r:id="rId91">
              <w:r>
                <w:rPr>
                  <w:rFonts w:ascii="Arial" w:cs="Arial" w:eastAsia="Arial" w:hAnsi="Arial"/>
                  <w:sz w:val="19"/>
                  <w:szCs w:val="19"/>
                  <w:color w:val="0000FF"/>
                </w:rPr>
                <w:t>the lenders party thereto, and Wells Fargo Bank, National Association, as</w:t>
              </w:r>
            </w:hyperlink>
          </w:p>
        </w:tc>
        <w:tc>
          <w:tcPr>
            <w:tcW w:w="20" w:type="dxa"/>
            <w:vAlign w:val="bottom"/>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6200" w:type="dxa"/>
            <w:vAlign w:val="bottom"/>
            <w:tcBorders>
              <w:top w:val="single" w:sz="8" w:color="0000FF"/>
            </w:tcBorders>
            <w:gridSpan w:val="7"/>
          </w:tcPr>
          <w:p>
            <w:pPr>
              <w:spacing w:after="0" w:line="169" w:lineRule="exact"/>
              <w:rPr>
                <w:rFonts w:ascii="Arial" w:cs="Arial" w:eastAsia="Arial" w:hAnsi="Arial"/>
                <w:sz w:val="19"/>
                <w:szCs w:val="19"/>
                <w:color w:val="0000FF"/>
              </w:rPr>
            </w:pPr>
            <w:hyperlink r:id="rId91">
              <w:r>
                <w:rPr>
                  <w:rFonts w:ascii="Arial" w:cs="Arial" w:eastAsia="Arial" w:hAnsi="Arial"/>
                  <w:sz w:val="19"/>
                  <w:szCs w:val="19"/>
                  <w:color w:val="0000FF"/>
                </w:rPr>
                <w:t>administrative agent</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r>
      <w:tr>
        <w:trPr>
          <w:trHeight w:val="20"/>
        </w:trPr>
        <w:tc>
          <w:tcPr>
            <w:tcW w:w="1040" w:type="dxa"/>
            <w:vAlign w:val="bottom"/>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35"/>
        </w:trPr>
        <w:tc>
          <w:tcPr>
            <w:tcW w:w="1040" w:type="dxa"/>
            <w:vAlign w:val="bottom"/>
          </w:tcPr>
          <w:p>
            <w:pPr>
              <w:jc w:val="center"/>
              <w:ind w:right="201"/>
              <w:spacing w:after="0"/>
              <w:rPr>
                <w:sz w:val="20"/>
                <w:szCs w:val="20"/>
                <w:color w:val="auto"/>
              </w:rPr>
            </w:pPr>
            <w:r>
              <w:rPr>
                <w:rFonts w:ascii="Arial" w:cs="Arial" w:eastAsia="Arial" w:hAnsi="Arial"/>
                <w:sz w:val="20"/>
                <w:szCs w:val="20"/>
                <w:color w:val="auto"/>
                <w:w w:val="87"/>
              </w:rPr>
              <w:t>10.4</w:t>
            </w:r>
          </w:p>
        </w:tc>
        <w:tc>
          <w:tcPr>
            <w:tcW w:w="6340" w:type="dxa"/>
            <w:vAlign w:val="bottom"/>
            <w:gridSpan w:val="14"/>
          </w:tcPr>
          <w:p>
            <w:pPr>
              <w:spacing w:after="0"/>
              <w:rPr>
                <w:rFonts w:ascii="Arial" w:cs="Arial" w:eastAsia="Arial" w:hAnsi="Arial"/>
                <w:sz w:val="20"/>
                <w:szCs w:val="20"/>
                <w:u w:val="single" w:color="auto"/>
                <w:color w:val="0000FF"/>
              </w:rPr>
            </w:pPr>
            <w:hyperlink r:id="rId92">
              <w:r>
                <w:rPr>
                  <w:rFonts w:ascii="Arial" w:cs="Arial" w:eastAsia="Arial" w:hAnsi="Arial"/>
                  <w:sz w:val="20"/>
                  <w:szCs w:val="20"/>
                  <w:u w:val="single" w:color="auto"/>
                  <w:color w:val="0000FF"/>
                </w:rPr>
                <w:t>Form of Convertible Note Hedge Transactions confirmation</w:t>
              </w:r>
            </w:hyperlink>
          </w:p>
        </w:tc>
      </w:tr>
      <w:tr>
        <w:trPr>
          <w:trHeight w:val="338"/>
        </w:trPr>
        <w:tc>
          <w:tcPr>
            <w:tcW w:w="1040" w:type="dxa"/>
            <w:vAlign w:val="bottom"/>
          </w:tcPr>
          <w:p>
            <w:pPr>
              <w:jc w:val="center"/>
              <w:ind w:right="201"/>
              <w:spacing w:after="0"/>
              <w:rPr>
                <w:sz w:val="20"/>
                <w:szCs w:val="20"/>
                <w:color w:val="auto"/>
              </w:rPr>
            </w:pPr>
            <w:r>
              <w:rPr>
                <w:rFonts w:ascii="Arial" w:cs="Arial" w:eastAsia="Arial" w:hAnsi="Arial"/>
                <w:sz w:val="20"/>
                <w:szCs w:val="20"/>
                <w:color w:val="auto"/>
                <w:w w:val="87"/>
              </w:rPr>
              <w:t>10.5</w:t>
            </w:r>
          </w:p>
        </w:tc>
        <w:tc>
          <w:tcPr>
            <w:tcW w:w="6340" w:type="dxa"/>
            <w:vAlign w:val="bottom"/>
            <w:gridSpan w:val="14"/>
          </w:tcPr>
          <w:p>
            <w:pPr>
              <w:spacing w:after="0"/>
              <w:rPr>
                <w:rFonts w:ascii="Arial" w:cs="Arial" w:eastAsia="Arial" w:hAnsi="Arial"/>
                <w:sz w:val="20"/>
                <w:szCs w:val="20"/>
                <w:u w:val="single" w:color="auto"/>
                <w:color w:val="0000FF"/>
              </w:rPr>
            </w:pPr>
            <w:hyperlink r:id="rId93">
              <w:r>
                <w:rPr>
                  <w:rFonts w:ascii="Arial" w:cs="Arial" w:eastAsia="Arial" w:hAnsi="Arial"/>
                  <w:sz w:val="20"/>
                  <w:szCs w:val="20"/>
                  <w:u w:val="single" w:color="auto"/>
                  <w:color w:val="0000FF"/>
                </w:rPr>
                <w:t>Form of Warrant Transactions confirmation</w:t>
              </w:r>
            </w:hyperlink>
          </w:p>
        </w:tc>
      </w:tr>
      <w:tr>
        <w:trPr>
          <w:trHeight w:val="280"/>
        </w:trPr>
        <w:tc>
          <w:tcPr>
            <w:tcW w:w="1040" w:type="dxa"/>
            <w:vAlign w:val="bottom"/>
          </w:tcPr>
          <w:p>
            <w:pPr>
              <w:jc w:val="center"/>
              <w:ind w:right="201"/>
              <w:spacing w:after="0"/>
              <w:rPr>
                <w:sz w:val="20"/>
                <w:szCs w:val="20"/>
                <w:color w:val="auto"/>
              </w:rPr>
            </w:pPr>
            <w:r>
              <w:rPr>
                <w:rFonts w:ascii="Arial" w:cs="Arial" w:eastAsia="Arial" w:hAnsi="Arial"/>
                <w:sz w:val="20"/>
                <w:szCs w:val="20"/>
                <w:color w:val="auto"/>
                <w:w w:val="87"/>
              </w:rPr>
              <w:t>10.6</w:t>
            </w:r>
          </w:p>
        </w:tc>
        <w:tc>
          <w:tcPr>
            <w:tcW w:w="6340" w:type="dxa"/>
            <w:vAlign w:val="bottom"/>
            <w:gridSpan w:val="14"/>
          </w:tcPr>
          <w:p>
            <w:pPr>
              <w:spacing w:after="0"/>
              <w:rPr>
                <w:rFonts w:ascii="Arial" w:cs="Arial" w:eastAsia="Arial" w:hAnsi="Arial"/>
                <w:sz w:val="20"/>
                <w:szCs w:val="20"/>
                <w:color w:val="0000FF"/>
                <w:w w:val="99"/>
              </w:rPr>
            </w:pPr>
            <w:hyperlink r:id="rId94">
              <w:r>
                <w:rPr>
                  <w:rFonts w:ascii="Arial" w:cs="Arial" w:eastAsia="Arial" w:hAnsi="Arial"/>
                  <w:sz w:val="20"/>
                  <w:szCs w:val="20"/>
                  <w:color w:val="0000FF"/>
                  <w:w w:val="99"/>
                </w:rPr>
                <w:t>Consulting Agreement effective June 1, 2020, by and between Bloomin’</w:t>
              </w:r>
            </w:hyperlink>
          </w:p>
        </w:tc>
      </w:tr>
      <w:tr>
        <w:trPr>
          <w:trHeight w:val="169"/>
        </w:trPr>
        <w:tc>
          <w:tcPr>
            <w:tcW w:w="1040" w:type="dxa"/>
            <w:vAlign w:val="bottom"/>
          </w:tcPr>
          <w:p>
            <w:pPr>
              <w:spacing w:after="0"/>
              <w:rPr>
                <w:sz w:val="14"/>
                <w:szCs w:val="14"/>
                <w:color w:val="auto"/>
              </w:rPr>
            </w:pPr>
          </w:p>
        </w:tc>
        <w:tc>
          <w:tcPr>
            <w:tcW w:w="2680" w:type="dxa"/>
            <w:vAlign w:val="bottom"/>
            <w:tcBorders>
              <w:top w:val="single" w:sz="8" w:color="0000FF"/>
              <w:bottom w:val="single" w:sz="8" w:color="0000FF"/>
            </w:tcBorders>
            <w:gridSpan w:val="4"/>
          </w:tcPr>
          <w:p>
            <w:pPr>
              <w:spacing w:after="0" w:line="169" w:lineRule="exact"/>
              <w:rPr>
                <w:rFonts w:ascii="Arial" w:cs="Arial" w:eastAsia="Arial" w:hAnsi="Arial"/>
                <w:sz w:val="19"/>
                <w:szCs w:val="19"/>
                <w:color w:val="0000FF"/>
                <w:w w:val="92"/>
              </w:rPr>
            </w:pPr>
            <w:hyperlink r:id="rId94">
              <w:r>
                <w:rPr>
                  <w:rFonts w:ascii="Arial" w:cs="Arial" w:eastAsia="Arial" w:hAnsi="Arial"/>
                  <w:sz w:val="19"/>
                  <w:szCs w:val="19"/>
                  <w:color w:val="0000FF"/>
                  <w:w w:val="92"/>
                </w:rPr>
                <w:t>Brands, Inc. and Joseph J. Kadow</w:t>
              </w:r>
            </w:hyperlink>
          </w:p>
        </w:tc>
        <w:tc>
          <w:tcPr>
            <w:tcW w:w="3600" w:type="dxa"/>
            <w:vAlign w:val="bottom"/>
            <w:tcBorders>
              <w:top w:val="single" w:sz="8" w:color="0000FF"/>
            </w:tcBorders>
            <w:gridSpan w:val="7"/>
          </w:tcPr>
          <w:p>
            <w:pPr>
              <w:spacing w:after="0"/>
              <w:rPr>
                <w:sz w:val="14"/>
                <w:szCs w:val="14"/>
                <w:color w:val="auto"/>
              </w:rPr>
            </w:pPr>
          </w:p>
        </w:tc>
        <w:tc>
          <w:tcPr>
            <w:tcW w:w="60" w:type="dxa"/>
            <w:vAlign w:val="bottom"/>
            <w:gridSpan w:val="3"/>
          </w:tcPr>
          <w:p>
            <w:pPr>
              <w:spacing w:after="0"/>
              <w:rPr>
                <w:sz w:val="14"/>
                <w:szCs w:val="14"/>
                <w:color w:val="auto"/>
              </w:rPr>
            </w:pPr>
          </w:p>
        </w:tc>
      </w:tr>
      <w:tr>
        <w:trPr>
          <w:trHeight w:val="277"/>
        </w:trPr>
        <w:tc>
          <w:tcPr>
            <w:tcW w:w="1040" w:type="dxa"/>
            <w:vAlign w:val="bottom"/>
          </w:tcPr>
          <w:p>
            <w:pPr>
              <w:jc w:val="center"/>
              <w:ind w:right="201"/>
              <w:spacing w:after="0"/>
              <w:rPr>
                <w:sz w:val="20"/>
                <w:szCs w:val="20"/>
                <w:color w:val="auto"/>
              </w:rPr>
            </w:pPr>
            <w:r>
              <w:rPr>
                <w:rFonts w:ascii="Arial" w:cs="Arial" w:eastAsia="Arial" w:hAnsi="Arial"/>
                <w:sz w:val="20"/>
                <w:szCs w:val="20"/>
                <w:color w:val="auto"/>
                <w:w w:val="87"/>
              </w:rPr>
              <w:t>31.1</w:t>
            </w:r>
          </w:p>
        </w:tc>
        <w:tc>
          <w:tcPr>
            <w:tcW w:w="6340" w:type="dxa"/>
            <w:vAlign w:val="bottom"/>
            <w:gridSpan w:val="14"/>
          </w:tcPr>
          <w:p>
            <w:pPr>
              <w:spacing w:after="0"/>
              <w:rPr>
                <w:rFonts w:ascii="Arial" w:cs="Arial" w:eastAsia="Arial" w:hAnsi="Arial"/>
                <w:sz w:val="20"/>
                <w:szCs w:val="20"/>
                <w:color w:val="0000FF"/>
              </w:rPr>
            </w:pPr>
            <w:hyperlink w:anchor="page63">
              <w:r>
                <w:rPr>
                  <w:rFonts w:ascii="Arial" w:cs="Arial" w:eastAsia="Arial" w:hAnsi="Arial"/>
                  <w:sz w:val="20"/>
                  <w:szCs w:val="20"/>
                  <w:color w:val="0000FF"/>
                </w:rPr>
                <w:t>Certification of Chief Executive Officer pursuant to Section 302 of the</w:t>
              </w:r>
            </w:hyperlink>
          </w:p>
        </w:tc>
      </w:tr>
      <w:tr>
        <w:trPr>
          <w:trHeight w:val="169"/>
        </w:trPr>
        <w:tc>
          <w:tcPr>
            <w:tcW w:w="1040" w:type="dxa"/>
            <w:vAlign w:val="bottom"/>
          </w:tcPr>
          <w:p>
            <w:pPr>
              <w:spacing w:after="0"/>
              <w:rPr>
                <w:sz w:val="14"/>
                <w:szCs w:val="14"/>
                <w:color w:val="auto"/>
              </w:rPr>
            </w:pPr>
          </w:p>
        </w:tc>
        <w:tc>
          <w:tcPr>
            <w:tcW w:w="6260" w:type="dxa"/>
            <w:vAlign w:val="bottom"/>
            <w:tcBorders>
              <w:top w:val="single" w:sz="8" w:color="0000FF"/>
            </w:tcBorders>
            <w:gridSpan w:val="10"/>
          </w:tcPr>
          <w:p>
            <w:pPr>
              <w:spacing w:after="0" w:line="169" w:lineRule="exact"/>
              <w:rPr>
                <w:rFonts w:ascii="Arial" w:cs="Arial" w:eastAsia="Arial" w:hAnsi="Arial"/>
                <w:sz w:val="19"/>
                <w:szCs w:val="19"/>
                <w:color w:val="0000FF"/>
              </w:rPr>
            </w:pPr>
            <w:hyperlink w:anchor="page63">
              <w:r>
                <w:rPr>
                  <w:rFonts w:ascii="Arial" w:cs="Arial" w:eastAsia="Arial" w:hAnsi="Arial"/>
                  <w:sz w:val="19"/>
                  <w:szCs w:val="19"/>
                  <w:color w:val="0000FF"/>
                </w:rPr>
                <w:t>Sarbanes-Oxley Act of 2002</w:t>
              </w:r>
            </w:hyperlink>
          </w:p>
        </w:tc>
        <w:tc>
          <w:tcPr>
            <w:tcW w:w="80" w:type="dxa"/>
            <w:vAlign w:val="bottom"/>
            <w:gridSpan w:val="4"/>
          </w:tcPr>
          <w:p>
            <w:pPr>
              <w:spacing w:after="0"/>
              <w:rPr>
                <w:sz w:val="14"/>
                <w:szCs w:val="14"/>
                <w:color w:val="auto"/>
              </w:rPr>
            </w:pPr>
          </w:p>
        </w:tc>
      </w:tr>
      <w:tr>
        <w:trPr>
          <w:trHeight w:val="20"/>
        </w:trPr>
        <w:tc>
          <w:tcPr>
            <w:tcW w:w="1040" w:type="dxa"/>
            <w:vAlign w:val="bottom"/>
          </w:tcPr>
          <w:p>
            <w:pPr>
              <w:spacing w:after="0" w:line="20" w:lineRule="exact"/>
              <w:rPr>
                <w:sz w:val="1"/>
                <w:szCs w:val="1"/>
                <w:color w:val="auto"/>
              </w:rPr>
            </w:pPr>
          </w:p>
        </w:tc>
        <w:tc>
          <w:tcPr>
            <w:tcW w:w="2240" w:type="dxa"/>
            <w:vAlign w:val="bottom"/>
            <w:gridSpan w:val="3"/>
            <w:shd w:val="clear" w:color="auto" w:fill="0000FF"/>
          </w:tcPr>
          <w:p>
            <w:pPr>
              <w:spacing w:after="0" w:line="20" w:lineRule="exact"/>
              <w:rPr>
                <w:sz w:val="1"/>
                <w:szCs w:val="1"/>
                <w:color w:val="auto"/>
              </w:rPr>
            </w:pPr>
          </w:p>
        </w:tc>
        <w:tc>
          <w:tcPr>
            <w:tcW w:w="39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77"/>
        </w:trPr>
        <w:tc>
          <w:tcPr>
            <w:tcW w:w="1040" w:type="dxa"/>
            <w:vAlign w:val="bottom"/>
          </w:tcPr>
          <w:p>
            <w:pPr>
              <w:jc w:val="center"/>
              <w:ind w:right="201"/>
              <w:spacing w:after="0"/>
              <w:rPr>
                <w:sz w:val="20"/>
                <w:szCs w:val="20"/>
                <w:color w:val="auto"/>
              </w:rPr>
            </w:pPr>
            <w:r>
              <w:rPr>
                <w:rFonts w:ascii="Arial" w:cs="Arial" w:eastAsia="Arial" w:hAnsi="Arial"/>
                <w:sz w:val="20"/>
                <w:szCs w:val="20"/>
                <w:color w:val="auto"/>
                <w:w w:val="87"/>
              </w:rPr>
              <w:t>31.2</w:t>
            </w:r>
          </w:p>
        </w:tc>
        <w:tc>
          <w:tcPr>
            <w:tcW w:w="6340" w:type="dxa"/>
            <w:vAlign w:val="bottom"/>
            <w:gridSpan w:val="14"/>
          </w:tcPr>
          <w:p>
            <w:pPr>
              <w:spacing w:after="0"/>
              <w:rPr>
                <w:rFonts w:ascii="Arial" w:cs="Arial" w:eastAsia="Arial" w:hAnsi="Arial"/>
                <w:sz w:val="20"/>
                <w:szCs w:val="20"/>
                <w:color w:val="0000FF"/>
              </w:rPr>
            </w:pPr>
            <w:hyperlink w:anchor="page64">
              <w:r>
                <w:rPr>
                  <w:rFonts w:ascii="Arial" w:cs="Arial" w:eastAsia="Arial" w:hAnsi="Arial"/>
                  <w:sz w:val="20"/>
                  <w:szCs w:val="20"/>
                  <w:color w:val="0000FF"/>
                </w:rPr>
                <w:t>Certification of Chief Financial Officer pursuant to Section 302 of the</w:t>
              </w:r>
            </w:hyperlink>
          </w:p>
        </w:tc>
      </w:tr>
      <w:tr>
        <w:trPr>
          <w:trHeight w:val="169"/>
        </w:trPr>
        <w:tc>
          <w:tcPr>
            <w:tcW w:w="1040" w:type="dxa"/>
            <w:vAlign w:val="bottom"/>
          </w:tcPr>
          <w:p>
            <w:pPr>
              <w:spacing w:after="0"/>
              <w:rPr>
                <w:sz w:val="14"/>
                <w:szCs w:val="14"/>
                <w:color w:val="auto"/>
              </w:rPr>
            </w:pPr>
          </w:p>
        </w:tc>
        <w:tc>
          <w:tcPr>
            <w:tcW w:w="6220" w:type="dxa"/>
            <w:vAlign w:val="bottom"/>
            <w:tcBorders>
              <w:top w:val="single" w:sz="8" w:color="0000FF"/>
            </w:tcBorders>
            <w:gridSpan w:val="8"/>
          </w:tcPr>
          <w:p>
            <w:pPr>
              <w:spacing w:after="0" w:line="169" w:lineRule="exact"/>
              <w:rPr>
                <w:rFonts w:ascii="Arial" w:cs="Arial" w:eastAsia="Arial" w:hAnsi="Arial"/>
                <w:sz w:val="19"/>
                <w:szCs w:val="19"/>
                <w:color w:val="0000FF"/>
              </w:rPr>
            </w:pPr>
            <w:hyperlink w:anchor="page64">
              <w:r>
                <w:rPr>
                  <w:rFonts w:ascii="Arial" w:cs="Arial" w:eastAsia="Arial" w:hAnsi="Arial"/>
                  <w:sz w:val="19"/>
                  <w:szCs w:val="19"/>
                  <w:color w:val="0000FF"/>
                </w:rPr>
                <w:t>Sarbanes-Oxley Act of 2002</w:t>
              </w:r>
            </w:hyperlink>
          </w:p>
        </w:tc>
        <w:tc>
          <w:tcPr>
            <w:tcW w:w="20" w:type="dxa"/>
            <w:vAlign w:val="bottom"/>
          </w:tcPr>
          <w:p>
            <w:pPr>
              <w:spacing w:after="0"/>
              <w:rPr>
                <w:sz w:val="14"/>
                <w:szCs w:val="14"/>
                <w:color w:val="auto"/>
              </w:rPr>
            </w:pPr>
          </w:p>
        </w:tc>
        <w:tc>
          <w:tcPr>
            <w:tcW w:w="100" w:type="dxa"/>
            <w:vAlign w:val="bottom"/>
            <w:gridSpan w:val="5"/>
          </w:tcPr>
          <w:p>
            <w:pPr>
              <w:spacing w:after="0"/>
              <w:rPr>
                <w:sz w:val="14"/>
                <w:szCs w:val="14"/>
                <w:color w:val="auto"/>
              </w:rPr>
            </w:pPr>
          </w:p>
        </w:tc>
      </w:tr>
      <w:tr>
        <w:trPr>
          <w:trHeight w:val="20"/>
        </w:trPr>
        <w:tc>
          <w:tcPr>
            <w:tcW w:w="1040" w:type="dxa"/>
            <w:vAlign w:val="bottom"/>
          </w:tcPr>
          <w:p>
            <w:pPr>
              <w:spacing w:after="0" w:line="20" w:lineRule="exact"/>
              <w:rPr>
                <w:sz w:val="1"/>
                <w:szCs w:val="1"/>
                <w:color w:val="auto"/>
              </w:rPr>
            </w:pPr>
          </w:p>
        </w:tc>
        <w:tc>
          <w:tcPr>
            <w:tcW w:w="2240" w:type="dxa"/>
            <w:vAlign w:val="bottom"/>
            <w:gridSpan w:val="3"/>
            <w:shd w:val="clear" w:color="auto" w:fill="0000FF"/>
          </w:tcPr>
          <w:p>
            <w:pPr>
              <w:spacing w:after="0" w:line="20" w:lineRule="exact"/>
              <w:rPr>
                <w:sz w:val="1"/>
                <w:szCs w:val="1"/>
                <w:color w:val="auto"/>
              </w:rPr>
            </w:pPr>
          </w:p>
        </w:tc>
        <w:tc>
          <w:tcPr>
            <w:tcW w:w="4000" w:type="dxa"/>
            <w:vAlign w:val="bottom"/>
            <w:gridSpan w:val="6"/>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77"/>
        </w:trPr>
        <w:tc>
          <w:tcPr>
            <w:tcW w:w="1040" w:type="dxa"/>
            <w:vAlign w:val="bottom"/>
          </w:tcPr>
          <w:p>
            <w:pPr>
              <w:jc w:val="center"/>
              <w:ind w:right="201"/>
              <w:spacing w:after="0"/>
              <w:rPr>
                <w:sz w:val="20"/>
                <w:szCs w:val="20"/>
                <w:color w:val="auto"/>
              </w:rPr>
            </w:pPr>
            <w:r>
              <w:rPr>
                <w:rFonts w:ascii="Arial" w:cs="Arial" w:eastAsia="Arial" w:hAnsi="Arial"/>
                <w:sz w:val="20"/>
                <w:szCs w:val="20"/>
                <w:color w:val="auto"/>
                <w:w w:val="87"/>
              </w:rPr>
              <w:t>32.1</w:t>
            </w:r>
          </w:p>
        </w:tc>
        <w:tc>
          <w:tcPr>
            <w:tcW w:w="6340" w:type="dxa"/>
            <w:vAlign w:val="bottom"/>
            <w:gridSpan w:val="14"/>
          </w:tcPr>
          <w:p>
            <w:pPr>
              <w:spacing w:after="0"/>
              <w:rPr>
                <w:rFonts w:ascii="Arial" w:cs="Arial" w:eastAsia="Arial" w:hAnsi="Arial"/>
                <w:sz w:val="20"/>
                <w:szCs w:val="20"/>
                <w:color w:val="0000FF"/>
                <w:w w:val="95"/>
              </w:rPr>
            </w:pPr>
            <w:hyperlink w:anchor="page65">
              <w:r>
                <w:rPr>
                  <w:rFonts w:ascii="Arial" w:cs="Arial" w:eastAsia="Arial" w:hAnsi="Arial"/>
                  <w:sz w:val="20"/>
                  <w:szCs w:val="20"/>
                  <w:color w:val="0000FF"/>
                  <w:w w:val="95"/>
                </w:rPr>
                <w:t>Certification of Chief Executive Officer pursuant to 18 U.S.C. Section 1350,</w:t>
              </w:r>
            </w:hyperlink>
          </w:p>
        </w:tc>
      </w:tr>
      <w:tr>
        <w:trPr>
          <w:trHeight w:val="244"/>
        </w:trPr>
        <w:tc>
          <w:tcPr>
            <w:tcW w:w="1040" w:type="dxa"/>
            <w:vAlign w:val="bottom"/>
          </w:tcPr>
          <w:p>
            <w:pPr>
              <w:spacing w:after="0"/>
              <w:rPr>
                <w:sz w:val="21"/>
                <w:szCs w:val="21"/>
                <w:color w:val="auto"/>
              </w:rPr>
            </w:pPr>
          </w:p>
        </w:tc>
        <w:tc>
          <w:tcPr>
            <w:tcW w:w="6300" w:type="dxa"/>
            <w:vAlign w:val="bottom"/>
            <w:tcBorders>
              <w:top w:val="single" w:sz="8" w:color="0000FF"/>
            </w:tcBorders>
            <w:gridSpan w:val="12"/>
          </w:tcPr>
          <w:p>
            <w:pPr>
              <w:spacing w:after="0"/>
              <w:rPr>
                <w:rFonts w:ascii="Arial" w:cs="Arial" w:eastAsia="Arial" w:hAnsi="Arial"/>
                <w:sz w:val="20"/>
                <w:szCs w:val="20"/>
                <w:u w:val="single" w:color="auto"/>
                <w:color w:val="0000FF"/>
                <w:w w:val="95"/>
              </w:rPr>
            </w:pPr>
            <w:hyperlink w:anchor="page65">
              <w:r>
                <w:rPr>
                  <w:rFonts w:ascii="Arial" w:cs="Arial" w:eastAsia="Arial" w:hAnsi="Arial"/>
                  <w:sz w:val="20"/>
                  <w:szCs w:val="20"/>
                  <w:u w:val="single" w:color="auto"/>
                  <w:color w:val="0000FF"/>
                  <w:w w:val="95"/>
                </w:rPr>
                <w:t>as adopted pursuant to Section 906 of the Sarbanes-Oxley Act of 2002 (1)</w:t>
              </w:r>
            </w:hyperlink>
          </w:p>
        </w:tc>
        <w:tc>
          <w:tcPr>
            <w:tcW w:w="40" w:type="dxa"/>
            <w:vAlign w:val="bottom"/>
            <w:gridSpan w:val="2"/>
          </w:tcPr>
          <w:p>
            <w:pPr>
              <w:spacing w:after="0"/>
              <w:rPr>
                <w:sz w:val="21"/>
                <w:szCs w:val="21"/>
                <w:color w:val="auto"/>
              </w:rPr>
            </w:pPr>
          </w:p>
        </w:tc>
      </w:tr>
      <w:tr>
        <w:trPr>
          <w:trHeight w:val="222"/>
        </w:trPr>
        <w:tc>
          <w:tcPr>
            <w:tcW w:w="1040" w:type="dxa"/>
            <w:vAlign w:val="bottom"/>
          </w:tcPr>
          <w:p>
            <w:pPr>
              <w:jc w:val="center"/>
              <w:ind w:right="201"/>
              <w:spacing w:after="0" w:line="222" w:lineRule="exact"/>
              <w:rPr>
                <w:sz w:val="20"/>
                <w:szCs w:val="20"/>
                <w:color w:val="auto"/>
              </w:rPr>
            </w:pPr>
            <w:r>
              <w:rPr>
                <w:rFonts w:ascii="Arial" w:cs="Arial" w:eastAsia="Arial" w:hAnsi="Arial"/>
                <w:sz w:val="20"/>
                <w:szCs w:val="20"/>
                <w:color w:val="auto"/>
                <w:w w:val="87"/>
              </w:rPr>
              <w:t>32.2</w:t>
            </w:r>
          </w:p>
        </w:tc>
        <w:tc>
          <w:tcPr>
            <w:tcW w:w="6340" w:type="dxa"/>
            <w:vAlign w:val="bottom"/>
            <w:gridSpan w:val="14"/>
          </w:tcPr>
          <w:p>
            <w:pPr>
              <w:spacing w:after="0" w:line="222" w:lineRule="exact"/>
              <w:rPr>
                <w:rFonts w:ascii="Arial" w:cs="Arial" w:eastAsia="Arial" w:hAnsi="Arial"/>
                <w:sz w:val="20"/>
                <w:szCs w:val="20"/>
                <w:color w:val="0000FF"/>
                <w:w w:val="96"/>
              </w:rPr>
            </w:pPr>
            <w:hyperlink w:anchor="page66">
              <w:r>
                <w:rPr>
                  <w:rFonts w:ascii="Arial" w:cs="Arial" w:eastAsia="Arial" w:hAnsi="Arial"/>
                  <w:sz w:val="20"/>
                  <w:szCs w:val="20"/>
                  <w:color w:val="0000FF"/>
                  <w:w w:val="96"/>
                </w:rPr>
                <w:t>Certification of Chief Financial Officer pursuant to 18 U.S.C. Section 1350,</w:t>
              </w:r>
            </w:hyperlink>
          </w:p>
        </w:tc>
      </w:tr>
      <w:tr>
        <w:trPr>
          <w:trHeight w:val="244"/>
        </w:trPr>
        <w:tc>
          <w:tcPr>
            <w:tcW w:w="1040" w:type="dxa"/>
            <w:vAlign w:val="bottom"/>
          </w:tcPr>
          <w:p>
            <w:pPr>
              <w:spacing w:after="0"/>
              <w:rPr>
                <w:sz w:val="21"/>
                <w:szCs w:val="21"/>
                <w:color w:val="auto"/>
              </w:rPr>
            </w:pPr>
          </w:p>
        </w:tc>
        <w:tc>
          <w:tcPr>
            <w:tcW w:w="6240" w:type="dxa"/>
            <w:vAlign w:val="bottom"/>
            <w:tcBorders>
              <w:top w:val="single" w:sz="8" w:color="0000FF"/>
            </w:tcBorders>
            <w:gridSpan w:val="9"/>
          </w:tcPr>
          <w:p>
            <w:pPr>
              <w:spacing w:after="0"/>
              <w:rPr>
                <w:rFonts w:ascii="Arial" w:cs="Arial" w:eastAsia="Arial" w:hAnsi="Arial"/>
                <w:sz w:val="20"/>
                <w:szCs w:val="20"/>
                <w:u w:val="single" w:color="auto"/>
                <w:color w:val="0000FF"/>
                <w:w w:val="94"/>
              </w:rPr>
            </w:pPr>
            <w:hyperlink w:anchor="page66">
              <w:r>
                <w:rPr>
                  <w:rFonts w:ascii="Arial" w:cs="Arial" w:eastAsia="Arial" w:hAnsi="Arial"/>
                  <w:sz w:val="20"/>
                  <w:szCs w:val="20"/>
                  <w:u w:val="single" w:color="auto"/>
                  <w:color w:val="0000FF"/>
                  <w:w w:val="94"/>
                </w:rPr>
                <w:t>as adopted pursuant to Section 906 of the Sarbanes-Oxley Act of 2002 (1)</w:t>
              </w:r>
            </w:hyperlink>
          </w:p>
        </w:tc>
        <w:tc>
          <w:tcPr>
            <w:tcW w:w="100" w:type="dxa"/>
            <w:vAlign w:val="bottom"/>
            <w:gridSpan w:val="5"/>
          </w:tcPr>
          <w:p>
            <w:pPr>
              <w:spacing w:after="0"/>
              <w:rPr>
                <w:sz w:val="21"/>
                <w:szCs w:val="21"/>
                <w:color w:val="auto"/>
              </w:rPr>
            </w:pPr>
          </w:p>
        </w:tc>
      </w:tr>
      <w:tr>
        <w:trPr>
          <w:trHeight w:val="280"/>
        </w:trPr>
        <w:tc>
          <w:tcPr>
            <w:tcW w:w="1040" w:type="dxa"/>
            <w:vAlign w:val="bottom"/>
          </w:tcPr>
          <w:p>
            <w:pPr>
              <w:jc w:val="center"/>
              <w:ind w:right="201"/>
              <w:spacing w:after="0"/>
              <w:rPr>
                <w:sz w:val="20"/>
                <w:szCs w:val="20"/>
                <w:color w:val="auto"/>
              </w:rPr>
            </w:pPr>
            <w:r>
              <w:rPr>
                <w:rFonts w:ascii="Arial" w:cs="Arial" w:eastAsia="Arial" w:hAnsi="Arial"/>
                <w:sz w:val="20"/>
                <w:szCs w:val="20"/>
                <w:color w:val="auto"/>
                <w:w w:val="91"/>
              </w:rPr>
              <w:t>101.INS</w:t>
            </w:r>
          </w:p>
        </w:tc>
        <w:tc>
          <w:tcPr>
            <w:tcW w:w="6340" w:type="dxa"/>
            <w:vAlign w:val="bottom"/>
            <w:gridSpan w:val="14"/>
          </w:tcPr>
          <w:p>
            <w:pPr>
              <w:spacing w:after="0"/>
              <w:rPr>
                <w:sz w:val="20"/>
                <w:szCs w:val="20"/>
                <w:color w:val="auto"/>
              </w:rPr>
            </w:pPr>
            <w:r>
              <w:rPr>
                <w:rFonts w:ascii="Arial" w:cs="Arial" w:eastAsia="Arial" w:hAnsi="Arial"/>
                <w:sz w:val="20"/>
                <w:szCs w:val="20"/>
                <w:color w:val="auto"/>
              </w:rPr>
              <w:t>Inline XBRL Instance Document</w:t>
            </w:r>
          </w:p>
        </w:tc>
      </w:tr>
      <w:tr>
        <w:trPr>
          <w:trHeight w:val="338"/>
        </w:trPr>
        <w:tc>
          <w:tcPr>
            <w:tcW w:w="1040" w:type="dxa"/>
            <w:vAlign w:val="bottom"/>
          </w:tcPr>
          <w:p>
            <w:pPr>
              <w:jc w:val="center"/>
              <w:ind w:right="201"/>
              <w:spacing w:after="0"/>
              <w:rPr>
                <w:sz w:val="20"/>
                <w:szCs w:val="20"/>
                <w:color w:val="auto"/>
              </w:rPr>
            </w:pPr>
            <w:r>
              <w:rPr>
                <w:rFonts w:ascii="Arial" w:cs="Arial" w:eastAsia="Arial" w:hAnsi="Arial"/>
                <w:sz w:val="20"/>
                <w:szCs w:val="20"/>
                <w:color w:val="auto"/>
                <w:w w:val="91"/>
              </w:rPr>
              <w:t>101.SCH</w:t>
            </w:r>
          </w:p>
        </w:tc>
        <w:tc>
          <w:tcPr>
            <w:tcW w:w="6340" w:type="dxa"/>
            <w:vAlign w:val="bottom"/>
            <w:gridSpan w:val="14"/>
          </w:tcPr>
          <w:p>
            <w:pPr>
              <w:spacing w:after="0"/>
              <w:rPr>
                <w:sz w:val="20"/>
                <w:szCs w:val="20"/>
                <w:color w:val="auto"/>
              </w:rPr>
            </w:pPr>
            <w:r>
              <w:rPr>
                <w:rFonts w:ascii="Arial" w:cs="Arial" w:eastAsia="Arial" w:hAnsi="Arial"/>
                <w:sz w:val="20"/>
                <w:szCs w:val="20"/>
                <w:color w:val="auto"/>
              </w:rPr>
              <w:t>Inline XBRL Taxonomy Extension Schema Document</w:t>
            </w:r>
          </w:p>
        </w:tc>
      </w:tr>
      <w:tr>
        <w:trPr>
          <w:trHeight w:val="338"/>
        </w:trPr>
        <w:tc>
          <w:tcPr>
            <w:tcW w:w="1040" w:type="dxa"/>
            <w:vAlign w:val="bottom"/>
          </w:tcPr>
          <w:p>
            <w:pPr>
              <w:jc w:val="center"/>
              <w:ind w:right="201"/>
              <w:spacing w:after="0"/>
              <w:rPr>
                <w:sz w:val="20"/>
                <w:szCs w:val="20"/>
                <w:color w:val="auto"/>
              </w:rPr>
            </w:pPr>
            <w:r>
              <w:rPr>
                <w:rFonts w:ascii="Arial" w:cs="Arial" w:eastAsia="Arial" w:hAnsi="Arial"/>
                <w:sz w:val="20"/>
                <w:szCs w:val="20"/>
                <w:color w:val="auto"/>
                <w:w w:val="95"/>
              </w:rPr>
              <w:t>101.CAL</w:t>
            </w:r>
          </w:p>
        </w:tc>
        <w:tc>
          <w:tcPr>
            <w:tcW w:w="6340" w:type="dxa"/>
            <w:vAlign w:val="bottom"/>
            <w:gridSpan w:val="14"/>
          </w:tcPr>
          <w:p>
            <w:pPr>
              <w:spacing w:after="0"/>
              <w:rPr>
                <w:sz w:val="20"/>
                <w:szCs w:val="20"/>
                <w:color w:val="auto"/>
              </w:rPr>
            </w:pPr>
            <w:r>
              <w:rPr>
                <w:rFonts w:ascii="Arial" w:cs="Arial" w:eastAsia="Arial" w:hAnsi="Arial"/>
                <w:sz w:val="20"/>
                <w:szCs w:val="20"/>
                <w:color w:val="auto"/>
              </w:rPr>
              <w:t>Inline XBRL Taxonomy Extension Calculation Linkbase Document</w:t>
            </w:r>
          </w:p>
        </w:tc>
      </w:tr>
      <w:tr>
        <w:trPr>
          <w:trHeight w:val="338"/>
        </w:trPr>
        <w:tc>
          <w:tcPr>
            <w:tcW w:w="1040" w:type="dxa"/>
            <w:vAlign w:val="bottom"/>
          </w:tcPr>
          <w:p>
            <w:pPr>
              <w:jc w:val="center"/>
              <w:ind w:right="221"/>
              <w:spacing w:after="0"/>
              <w:rPr>
                <w:sz w:val="20"/>
                <w:szCs w:val="20"/>
                <w:color w:val="auto"/>
              </w:rPr>
            </w:pPr>
            <w:r>
              <w:rPr>
                <w:rFonts w:ascii="Arial" w:cs="Arial" w:eastAsia="Arial" w:hAnsi="Arial"/>
                <w:sz w:val="20"/>
                <w:szCs w:val="20"/>
                <w:color w:val="auto"/>
                <w:w w:val="91"/>
              </w:rPr>
              <w:t>101.DEF</w:t>
            </w:r>
          </w:p>
        </w:tc>
        <w:tc>
          <w:tcPr>
            <w:tcW w:w="6340" w:type="dxa"/>
            <w:vAlign w:val="bottom"/>
            <w:gridSpan w:val="14"/>
          </w:tcPr>
          <w:p>
            <w:pPr>
              <w:spacing w:after="0"/>
              <w:rPr>
                <w:sz w:val="20"/>
                <w:szCs w:val="20"/>
                <w:color w:val="auto"/>
              </w:rPr>
            </w:pPr>
            <w:r>
              <w:rPr>
                <w:rFonts w:ascii="Arial" w:cs="Arial" w:eastAsia="Arial" w:hAnsi="Arial"/>
                <w:sz w:val="20"/>
                <w:szCs w:val="20"/>
                <w:color w:val="auto"/>
              </w:rPr>
              <w:t>Inline XBRL Taxonomy Extension Definition Linkbase Document</w:t>
            </w:r>
          </w:p>
        </w:tc>
      </w:tr>
      <w:tr>
        <w:trPr>
          <w:trHeight w:val="338"/>
        </w:trPr>
        <w:tc>
          <w:tcPr>
            <w:tcW w:w="1040" w:type="dxa"/>
            <w:vAlign w:val="bottom"/>
          </w:tcPr>
          <w:p>
            <w:pPr>
              <w:jc w:val="center"/>
              <w:ind w:right="201"/>
              <w:spacing w:after="0"/>
              <w:rPr>
                <w:sz w:val="20"/>
                <w:szCs w:val="20"/>
                <w:color w:val="auto"/>
              </w:rPr>
            </w:pPr>
            <w:r>
              <w:rPr>
                <w:rFonts w:ascii="Arial" w:cs="Arial" w:eastAsia="Arial" w:hAnsi="Arial"/>
                <w:sz w:val="20"/>
                <w:szCs w:val="20"/>
                <w:color w:val="auto"/>
                <w:w w:val="96"/>
              </w:rPr>
              <w:t>101.LAB</w:t>
            </w:r>
          </w:p>
        </w:tc>
        <w:tc>
          <w:tcPr>
            <w:tcW w:w="6340" w:type="dxa"/>
            <w:vAlign w:val="bottom"/>
            <w:gridSpan w:val="14"/>
          </w:tcPr>
          <w:p>
            <w:pPr>
              <w:spacing w:after="0"/>
              <w:rPr>
                <w:sz w:val="20"/>
                <w:szCs w:val="20"/>
                <w:color w:val="auto"/>
              </w:rPr>
            </w:pPr>
            <w:r>
              <w:rPr>
                <w:rFonts w:ascii="Arial" w:cs="Arial" w:eastAsia="Arial" w:hAnsi="Arial"/>
                <w:sz w:val="20"/>
                <w:szCs w:val="20"/>
                <w:color w:val="auto"/>
              </w:rPr>
              <w:t>Inline XBRL Taxonomy Extension Label Linkbase Document</w:t>
            </w:r>
          </w:p>
        </w:tc>
      </w:tr>
    </w:tbl>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March 29, 2020 Form 10-Q, Exhibit 10.4</w:t>
      </w:r>
    </w:p>
    <w:p>
      <w:pPr>
        <w:spacing w:after="0" w:line="279" w:lineRule="exact"/>
        <w:rPr>
          <w:sz w:val="20"/>
          <w:szCs w:val="20"/>
          <w:color w:val="auto"/>
        </w:rPr>
      </w:pPr>
    </w:p>
    <w:p>
      <w:pPr>
        <w:spacing w:after="0"/>
        <w:rPr>
          <w:sz w:val="20"/>
          <w:szCs w:val="20"/>
          <w:color w:val="auto"/>
        </w:rPr>
      </w:pPr>
      <w:r>
        <w:rPr>
          <w:rFonts w:ascii="Arial" w:cs="Arial" w:eastAsia="Arial" w:hAnsi="Arial"/>
          <w:sz w:val="20"/>
          <w:szCs w:val="20"/>
          <w:color w:val="auto"/>
        </w:rPr>
        <w:t>April 9, 2020 Form 8-K, Exhibit 10.1</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May 5, 2020 Form 8-K, Exhibit 10.1</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420"/>
        <w:spacing w:after="0" w:line="416" w:lineRule="auto"/>
        <w:rPr>
          <w:sz w:val="20"/>
          <w:szCs w:val="20"/>
          <w:color w:val="auto"/>
        </w:rPr>
      </w:pPr>
      <w:r>
        <w:rPr>
          <w:rFonts w:ascii="Arial" w:cs="Arial" w:eastAsia="Arial" w:hAnsi="Arial"/>
          <w:sz w:val="18"/>
          <w:szCs w:val="18"/>
          <w:color w:val="auto"/>
        </w:rPr>
        <w:t>May 11, 2020 Form 8-K, Exhibit 10.1 May 11, 2020 Form 8-K, Exhibit 10.2 March 29, 2020 Form 10-Q, Exhibit 10.6</w:t>
      </w:r>
    </w:p>
    <w:p>
      <w:pPr>
        <w:spacing w:after="0" w:line="85" w:lineRule="exact"/>
        <w:rPr>
          <w:sz w:val="20"/>
          <w:szCs w:val="20"/>
          <w:color w:val="auto"/>
        </w:rPr>
      </w:pPr>
    </w:p>
    <w:p>
      <w:pPr>
        <w:spacing w:after="0"/>
        <w:rPr>
          <w:sz w:val="20"/>
          <w:szCs w:val="20"/>
          <w:color w:val="auto"/>
        </w:rPr>
      </w:pPr>
      <w:r>
        <w:rPr>
          <w:rFonts w:ascii="Arial" w:cs="Arial" w:eastAsia="Arial" w:hAnsi="Arial"/>
          <w:sz w:val="20"/>
          <w:szCs w:val="20"/>
          <w:color w:val="auto"/>
        </w:rPr>
        <w:t>Filed herewith</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Filed herewith</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Furnished herewith</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Furnished herewith</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Filed herewith</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Filed herewith</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Filed herewith</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Filed herewith</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Filed herewith</w:t>
      </w:r>
    </w:p>
    <w:p>
      <w:pPr>
        <w:spacing w:after="0" w:line="220" w:lineRule="exact"/>
        <w:rPr>
          <w:sz w:val="20"/>
          <w:szCs w:val="20"/>
          <w:color w:val="auto"/>
        </w:rPr>
      </w:pPr>
    </w:p>
    <w:p>
      <w:pPr>
        <w:sectPr>
          <w:pgSz w:w="11900" w:h="16838" w:orient="portrait"/>
          <w:cols w:equalWidth="0" w:num="2">
            <w:col w:w="7400" w:space="140"/>
            <w:col w:w="3700"/>
          </w:cols>
          <w:pgMar w:left="320" w:top="122" w:right="339" w:bottom="1440" w:gutter="0" w:footer="0" w:header="0"/>
          <w:type w:val="continuous"/>
        </w:sect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60" w:name="page61"/>
    <w:bookmarkEnd w:id="6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2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EXHIBIT</w:t>
            </w:r>
          </w:p>
        </w:tc>
        <w:tc>
          <w:tcPr>
            <w:tcW w:w="6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20" w:type="dxa"/>
            <w:vAlign w:val="bottom"/>
          </w:tcPr>
          <w:p>
            <w:pPr>
              <w:jc w:val="center"/>
              <w:spacing w:after="0"/>
              <w:rPr>
                <w:sz w:val="20"/>
                <w:szCs w:val="20"/>
                <w:color w:val="auto"/>
              </w:rPr>
            </w:pPr>
            <w:r>
              <w:rPr>
                <w:rFonts w:ascii="Arial" w:cs="Arial" w:eastAsia="Arial" w:hAnsi="Arial"/>
                <w:sz w:val="16"/>
                <w:szCs w:val="16"/>
                <w:b w:val="1"/>
                <w:bCs w:val="1"/>
                <w:color w:val="auto"/>
              </w:rPr>
              <w:t>FILINGS REFERENCED FOR</w:t>
            </w:r>
          </w:p>
        </w:tc>
      </w:tr>
      <w:tr>
        <w:trPr>
          <w:trHeight w:val="210"/>
        </w:trPr>
        <w:tc>
          <w:tcPr>
            <w:tcW w:w="12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NUMBER</w:t>
            </w:r>
          </w:p>
        </w:tc>
        <w:tc>
          <w:tcPr>
            <w:tcW w:w="6320" w:type="dxa"/>
            <w:vAlign w:val="bottom"/>
            <w:gridSpan w:val="2"/>
          </w:tcPr>
          <w:p>
            <w:pPr>
              <w:ind w:left="2000"/>
              <w:spacing w:after="0"/>
              <w:rPr>
                <w:sz w:val="20"/>
                <w:szCs w:val="20"/>
                <w:color w:val="auto"/>
              </w:rPr>
            </w:pPr>
            <w:r>
              <w:rPr>
                <w:rFonts w:ascii="Arial" w:cs="Arial" w:eastAsia="Arial" w:hAnsi="Arial"/>
                <w:sz w:val="16"/>
                <w:szCs w:val="16"/>
                <w:b w:val="1"/>
                <w:bCs w:val="1"/>
                <w:color w:val="auto"/>
              </w:rPr>
              <w:t>DESCRIPTION OF EXHIBITS</w:t>
            </w:r>
          </w:p>
        </w:tc>
        <w:tc>
          <w:tcPr>
            <w:tcW w:w="3720" w:type="dxa"/>
            <w:vAlign w:val="bottom"/>
          </w:tcPr>
          <w:p>
            <w:pPr>
              <w:jc w:val="center"/>
              <w:spacing w:after="0"/>
              <w:rPr>
                <w:sz w:val="20"/>
                <w:szCs w:val="20"/>
                <w:color w:val="auto"/>
              </w:rPr>
            </w:pPr>
            <w:r>
              <w:rPr>
                <w:rFonts w:ascii="Arial" w:cs="Arial" w:eastAsia="Arial" w:hAnsi="Arial"/>
                <w:sz w:val="16"/>
                <w:szCs w:val="16"/>
                <w:b w:val="1"/>
                <w:bCs w:val="1"/>
                <w:color w:val="auto"/>
              </w:rPr>
              <w:t>INCORPORATION BY REFERENCE</w:t>
            </w:r>
          </w:p>
        </w:tc>
      </w:tr>
      <w:tr>
        <w:trPr>
          <w:trHeight w:val="40"/>
        </w:trPr>
        <w:tc>
          <w:tcPr>
            <w:tcW w:w="10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62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720" w:type="dxa"/>
            <w:vAlign w:val="bottom"/>
            <w:tcBorders>
              <w:bottom w:val="single" w:sz="8" w:color="auto"/>
            </w:tcBorders>
          </w:tcPr>
          <w:p>
            <w:pPr>
              <w:spacing w:after="0"/>
              <w:rPr>
                <w:sz w:val="3"/>
                <w:szCs w:val="3"/>
                <w:color w:val="auto"/>
              </w:rPr>
            </w:pPr>
          </w:p>
        </w:tc>
      </w:tr>
      <w:tr>
        <w:trPr>
          <w:trHeight w:val="301"/>
        </w:trPr>
        <w:tc>
          <w:tcPr>
            <w:tcW w:w="1200" w:type="dxa"/>
            <w:vAlign w:val="bottom"/>
            <w:gridSpan w:val="2"/>
          </w:tcPr>
          <w:p>
            <w:pPr>
              <w:jc w:val="center"/>
              <w:ind w:right="100"/>
              <w:spacing w:after="0"/>
              <w:rPr>
                <w:sz w:val="20"/>
                <w:szCs w:val="20"/>
                <w:color w:val="auto"/>
              </w:rPr>
            </w:pPr>
            <w:r>
              <w:rPr>
                <w:rFonts w:ascii="Arial" w:cs="Arial" w:eastAsia="Arial" w:hAnsi="Arial"/>
                <w:sz w:val="20"/>
                <w:szCs w:val="20"/>
                <w:color w:val="auto"/>
                <w:w w:val="87"/>
              </w:rPr>
              <w:t>101.PRE</w:t>
            </w:r>
          </w:p>
        </w:tc>
        <w:tc>
          <w:tcPr>
            <w:tcW w:w="6320" w:type="dxa"/>
            <w:vAlign w:val="bottom"/>
            <w:gridSpan w:val="2"/>
          </w:tcPr>
          <w:p>
            <w:pPr>
              <w:ind w:left="20"/>
              <w:spacing w:after="0"/>
              <w:rPr>
                <w:sz w:val="20"/>
                <w:szCs w:val="20"/>
                <w:color w:val="auto"/>
              </w:rPr>
            </w:pPr>
            <w:r>
              <w:rPr>
                <w:rFonts w:ascii="Arial" w:cs="Arial" w:eastAsia="Arial" w:hAnsi="Arial"/>
                <w:sz w:val="20"/>
                <w:szCs w:val="20"/>
                <w:color w:val="auto"/>
              </w:rPr>
              <w:t>Inline XBRL Taxonomy Extension Presentation Linkbase Document</w:t>
            </w:r>
          </w:p>
        </w:tc>
        <w:tc>
          <w:tcPr>
            <w:tcW w:w="3720" w:type="dxa"/>
            <w:vAlign w:val="bottom"/>
          </w:tcPr>
          <w:p>
            <w:pPr>
              <w:ind w:left="20"/>
              <w:spacing w:after="0"/>
              <w:rPr>
                <w:sz w:val="20"/>
                <w:szCs w:val="20"/>
                <w:color w:val="auto"/>
              </w:rPr>
            </w:pPr>
            <w:r>
              <w:rPr>
                <w:rFonts w:ascii="Arial" w:cs="Arial" w:eastAsia="Arial" w:hAnsi="Arial"/>
                <w:sz w:val="20"/>
                <w:szCs w:val="20"/>
                <w:color w:val="auto"/>
              </w:rPr>
              <w:t>Filed herewith</w:t>
            </w:r>
          </w:p>
        </w:tc>
      </w:tr>
      <w:tr>
        <w:trPr>
          <w:trHeight w:val="317"/>
        </w:trPr>
        <w:tc>
          <w:tcPr>
            <w:tcW w:w="1080" w:type="dxa"/>
            <w:vAlign w:val="bottom"/>
          </w:tcPr>
          <w:p>
            <w:pPr>
              <w:jc w:val="center"/>
              <w:spacing w:after="0"/>
              <w:rPr>
                <w:sz w:val="20"/>
                <w:szCs w:val="20"/>
                <w:color w:val="auto"/>
              </w:rPr>
            </w:pPr>
            <w:r>
              <w:rPr>
                <w:rFonts w:ascii="Arial" w:cs="Arial" w:eastAsia="Arial" w:hAnsi="Arial"/>
                <w:sz w:val="20"/>
                <w:szCs w:val="20"/>
                <w:color w:val="auto"/>
                <w:w w:val="89"/>
              </w:rPr>
              <w:t>104</w:t>
            </w:r>
          </w:p>
        </w:tc>
        <w:tc>
          <w:tcPr>
            <w:tcW w:w="120" w:type="dxa"/>
            <w:vAlign w:val="bottom"/>
          </w:tcPr>
          <w:p>
            <w:pPr>
              <w:spacing w:after="0"/>
              <w:rPr>
                <w:sz w:val="24"/>
                <w:szCs w:val="24"/>
                <w:color w:val="auto"/>
              </w:rPr>
            </w:pPr>
          </w:p>
        </w:tc>
        <w:tc>
          <w:tcPr>
            <w:tcW w:w="6320" w:type="dxa"/>
            <w:vAlign w:val="bottom"/>
            <w:gridSpan w:val="2"/>
          </w:tcPr>
          <w:p>
            <w:pPr>
              <w:ind w:left="20"/>
              <w:spacing w:after="0"/>
              <w:rPr>
                <w:sz w:val="20"/>
                <w:szCs w:val="20"/>
                <w:color w:val="auto"/>
              </w:rPr>
            </w:pPr>
            <w:r>
              <w:rPr>
                <w:rFonts w:ascii="Arial" w:cs="Arial" w:eastAsia="Arial" w:hAnsi="Arial"/>
                <w:sz w:val="20"/>
                <w:szCs w:val="20"/>
                <w:color w:val="auto"/>
                <w:w w:val="93"/>
              </w:rPr>
              <w:t>Cover Page Interactive Data File (formatted as inline XBRL and contained in</w:t>
            </w:r>
          </w:p>
        </w:tc>
        <w:tc>
          <w:tcPr>
            <w:tcW w:w="3720" w:type="dxa"/>
            <w:vAlign w:val="bottom"/>
          </w:tcPr>
          <w:p>
            <w:pPr>
              <w:ind w:left="20"/>
              <w:spacing w:after="0"/>
              <w:rPr>
                <w:sz w:val="20"/>
                <w:szCs w:val="20"/>
                <w:color w:val="auto"/>
              </w:rPr>
            </w:pPr>
            <w:r>
              <w:rPr>
                <w:rFonts w:ascii="Arial" w:cs="Arial" w:eastAsia="Arial" w:hAnsi="Arial"/>
                <w:sz w:val="20"/>
                <w:szCs w:val="20"/>
                <w:color w:val="auto"/>
              </w:rPr>
              <w:t>Filed herewith</w:t>
            </w:r>
          </w:p>
        </w:tc>
      </w:tr>
      <w:tr>
        <w:trPr>
          <w:trHeight w:val="250"/>
        </w:trPr>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320" w:type="dxa"/>
            <w:vAlign w:val="bottom"/>
            <w:gridSpan w:val="2"/>
          </w:tcPr>
          <w:p>
            <w:pPr>
              <w:ind w:left="20"/>
              <w:spacing w:after="0"/>
              <w:rPr>
                <w:sz w:val="20"/>
                <w:szCs w:val="20"/>
                <w:color w:val="auto"/>
              </w:rPr>
            </w:pPr>
            <w:r>
              <w:rPr>
                <w:rFonts w:ascii="Arial" w:cs="Arial" w:eastAsia="Arial" w:hAnsi="Arial"/>
                <w:sz w:val="20"/>
                <w:szCs w:val="20"/>
                <w:color w:val="auto"/>
              </w:rPr>
              <w:t>Exhibit 101)</w:t>
            </w:r>
          </w:p>
        </w:tc>
        <w:tc>
          <w:tcPr>
            <w:tcW w:w="3720" w:type="dxa"/>
            <w:vAlign w:val="bottom"/>
          </w:tcPr>
          <w:p>
            <w:pPr>
              <w:spacing w:after="0"/>
              <w:rPr>
                <w:sz w:val="21"/>
                <w:szCs w:val="21"/>
                <w:color w:val="auto"/>
              </w:rPr>
            </w:pPr>
          </w:p>
        </w:tc>
      </w:tr>
    </w:tbl>
    <w:p>
      <w:pPr>
        <w:spacing w:after="0" w:line="290" w:lineRule="exact"/>
        <w:rPr>
          <w:sz w:val="20"/>
          <w:szCs w:val="20"/>
          <w:color w:val="auto"/>
        </w:rPr>
      </w:pPr>
    </w:p>
    <w:p>
      <w:pPr>
        <w:ind w:left="20"/>
        <w:spacing w:after="0"/>
        <w:rPr>
          <w:sz w:val="20"/>
          <w:szCs w:val="20"/>
          <w:color w:val="auto"/>
        </w:rPr>
      </w:pPr>
      <w:r>
        <w:rPr>
          <w:rFonts w:ascii="Arial" w:cs="Arial" w:eastAsia="Arial" w:hAnsi="Arial"/>
          <w:sz w:val="20"/>
          <w:szCs w:val="20"/>
          <w:color w:val="auto"/>
        </w:rPr>
        <w:t>* Management contract or compensatory plan or arrangement required to be filed as an exhibit.</w:t>
      </w:r>
    </w:p>
    <w:p>
      <w:pPr>
        <w:spacing w:after="0" w:line="310" w:lineRule="exact"/>
        <w:rPr>
          <w:sz w:val="20"/>
          <w:szCs w:val="20"/>
          <w:color w:val="auto"/>
        </w:rPr>
      </w:pPr>
    </w:p>
    <w:p>
      <w:pPr>
        <w:jc w:val="both"/>
        <w:ind w:left="20" w:right="20" w:firstLine="6"/>
        <w:spacing w:after="0" w:line="250" w:lineRule="auto"/>
        <w:tabs>
          <w:tab w:leader="none" w:pos="308" w:val="left"/>
        </w:tabs>
        <w:numPr>
          <w:ilvl w:val="0"/>
          <w:numId w:val="48"/>
        </w:numPr>
        <w:rPr>
          <w:rFonts w:ascii="Arial" w:cs="Arial" w:eastAsia="Arial" w:hAnsi="Arial"/>
          <w:sz w:val="20"/>
          <w:szCs w:val="20"/>
          <w:color w:val="auto"/>
        </w:rPr>
      </w:pPr>
      <w:r>
        <w:rPr>
          <w:rFonts w:ascii="Arial" w:cs="Arial" w:eastAsia="Arial" w:hAnsi="Arial"/>
          <w:sz w:val="20"/>
          <w:szCs w:val="20"/>
          <w:color w:val="auto"/>
        </w:rPr>
        <w:t>These certifications are not deemed to be “filed” for purposes of Section 18 of the Exchange Act, or otherwise subject to the liability of that section. These certifications will not be deemed to be incorporated by reference into any filing under the Securities Act or the Exchange Act, except to the extent that the registrant specifically incorporates them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 w:name="page62"/>
    <w:bookmarkEnd w:id="6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BLOOMIN’ BRANDS, INC.</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SIGNATURE</w:t>
      </w:r>
    </w:p>
    <w:p>
      <w:pPr>
        <w:spacing w:after="0" w:line="249"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thereunto duly authorized.</w:t>
      </w:r>
    </w:p>
    <w:p>
      <w:pPr>
        <w:spacing w:after="0" w:line="352" w:lineRule="exact"/>
        <w:rPr>
          <w:sz w:val="20"/>
          <w:szCs w:val="20"/>
          <w:color w:val="auto"/>
        </w:rPr>
      </w:pPr>
    </w:p>
    <w:p>
      <w:pPr>
        <w:ind w:left="20"/>
        <w:spacing w:after="0"/>
        <w:tabs>
          <w:tab w:leader="none" w:pos="660" w:val="left"/>
          <w:tab w:leader="none" w:pos="4660" w:val="left"/>
        </w:tabs>
        <w:rPr>
          <w:sz w:val="20"/>
          <w:szCs w:val="20"/>
          <w:color w:val="auto"/>
        </w:rPr>
      </w:pPr>
      <w:r>
        <w:rPr>
          <w:rFonts w:ascii="Arial" w:cs="Arial" w:eastAsia="Arial" w:hAnsi="Arial"/>
          <w:sz w:val="20"/>
          <w:szCs w:val="20"/>
          <w:color w:val="auto"/>
        </w:rPr>
        <w:t>Date:</w:t>
        <w:tab/>
        <w:t>July 31, 2020</w:t>
      </w:r>
      <w:r>
        <w:rPr>
          <w:sz w:val="20"/>
          <w:szCs w:val="20"/>
          <w:color w:val="auto"/>
        </w:rPr>
        <w:tab/>
      </w:r>
      <w:r>
        <w:rPr>
          <w:rFonts w:ascii="Arial" w:cs="Arial" w:eastAsia="Arial" w:hAnsi="Arial"/>
          <w:sz w:val="19"/>
          <w:szCs w:val="19"/>
          <w:color w:val="auto"/>
        </w:rPr>
        <w:t>BLOOMIN’ BRANDS, INC.</w:t>
      </w:r>
    </w:p>
    <w:p>
      <w:pPr>
        <w:spacing w:after="0" w:line="54" w:lineRule="exact"/>
        <w:rPr>
          <w:sz w:val="20"/>
          <w:szCs w:val="20"/>
          <w:color w:val="auto"/>
        </w:rPr>
      </w:pPr>
    </w:p>
    <w:p>
      <w:pPr>
        <w:ind w:left="5220"/>
        <w:spacing w:after="0"/>
        <w:rPr>
          <w:sz w:val="20"/>
          <w:szCs w:val="20"/>
          <w:color w:val="auto"/>
        </w:rPr>
      </w:pPr>
      <w:r>
        <w:rPr>
          <w:rFonts w:ascii="Arial" w:cs="Arial" w:eastAsia="Arial" w:hAnsi="Arial"/>
          <w:sz w:val="20"/>
          <w:szCs w:val="20"/>
          <w:color w:val="auto"/>
        </w:rPr>
        <w:t>(Registrant)</w:t>
      </w:r>
    </w:p>
    <w:p>
      <w:pPr>
        <w:spacing w:after="0" w:line="162" w:lineRule="exact"/>
        <w:rPr>
          <w:sz w:val="20"/>
          <w:szCs w:val="20"/>
          <w:color w:val="auto"/>
        </w:rPr>
      </w:pPr>
    </w:p>
    <w:p>
      <w:pPr>
        <w:ind w:left="4680"/>
        <w:spacing w:after="0"/>
        <w:rPr>
          <w:sz w:val="20"/>
          <w:szCs w:val="20"/>
          <w:color w:val="auto"/>
        </w:rPr>
      </w:pPr>
      <w:r>
        <w:rPr>
          <w:rFonts w:ascii="Arial" w:cs="Arial" w:eastAsia="Arial" w:hAnsi="Arial"/>
          <w:sz w:val="20"/>
          <w:szCs w:val="20"/>
          <w:color w:val="auto"/>
        </w:rPr>
        <w:t>By: /s/ Christopher 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27305</wp:posOffset>
            </wp:positionV>
            <wp:extent cx="415734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7">
                      <a:extLst>
                        <a:ext uri="{28A0092B-C50C-407E-A947-70E740481C1C}"/>
                      </a:extLst>
                    </a:blip>
                    <a:srcRect/>
                    <a:stretch>
                      <a:fillRect/>
                    </a:stretch>
                  </pic:blipFill>
                  <pic:spPr bwMode="auto">
                    <a:xfrm>
                      <a:off x="0" y="0"/>
                      <a:ext cx="4157345" cy="17145"/>
                    </a:xfrm>
                    <a:prstGeom prst="rect">
                      <a:avLst/>
                    </a:prstGeom>
                    <a:noFill/>
                  </pic:spPr>
                </pic:pic>
              </a:graphicData>
            </a:graphic>
          </wp:anchor>
        </w:drawing>
      </w:r>
    </w:p>
    <w:p>
      <w:pPr>
        <w:spacing w:after="0" w:line="22" w:lineRule="exact"/>
        <w:rPr>
          <w:sz w:val="20"/>
          <w:szCs w:val="20"/>
          <w:color w:val="auto"/>
        </w:rPr>
      </w:pPr>
    </w:p>
    <w:p>
      <w:pPr>
        <w:ind w:left="5160"/>
        <w:spacing w:after="0"/>
        <w:rPr>
          <w:sz w:val="20"/>
          <w:szCs w:val="20"/>
          <w:color w:val="auto"/>
        </w:rPr>
      </w:pPr>
      <w:r>
        <w:rPr>
          <w:rFonts w:ascii="Arial" w:cs="Arial" w:eastAsia="Arial" w:hAnsi="Arial"/>
          <w:sz w:val="20"/>
          <w:szCs w:val="20"/>
          <w:color w:val="auto"/>
        </w:rPr>
        <w:t>Christopher Meyer</w:t>
      </w:r>
    </w:p>
    <w:p>
      <w:pPr>
        <w:ind w:left="5160"/>
        <w:spacing w:after="0" w:line="197" w:lineRule="auto"/>
        <w:rPr>
          <w:sz w:val="20"/>
          <w:szCs w:val="20"/>
          <w:color w:val="auto"/>
        </w:rPr>
      </w:pPr>
      <w:r>
        <w:rPr>
          <w:rFonts w:ascii="Arial" w:cs="Arial" w:eastAsia="Arial" w:hAnsi="Arial"/>
          <w:sz w:val="20"/>
          <w:szCs w:val="20"/>
          <w:color w:val="auto"/>
        </w:rPr>
        <w:t>Executive Vice President and Chief Financial Officer</w:t>
      </w:r>
    </w:p>
    <w:p>
      <w:pPr>
        <w:ind w:left="5160"/>
        <w:spacing w:after="0"/>
        <w:rPr>
          <w:sz w:val="20"/>
          <w:szCs w:val="20"/>
          <w:color w:val="auto"/>
        </w:rPr>
      </w:pPr>
      <w:r>
        <w:rPr>
          <w:rFonts w:ascii="Arial" w:cs="Arial" w:eastAsia="Arial" w:hAnsi="Arial"/>
          <w:sz w:val="20"/>
          <w:szCs w:val="20"/>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[Remainder of page intentionally left blank]</w:t>
      </w:r>
    </w:p>
    <w:p>
      <w:pPr>
        <w:sectPr>
          <w:pgSz w:w="11900" w:h="16838" w:orient="portrait"/>
          <w:cols w:equalWidth="0" w:num="1">
            <w:col w:w="11240"/>
          </w:cols>
          <w:pgMar w:left="320" w:top="122"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20"/>
          <w:szCs w:val="20"/>
          <w:b w:val="1"/>
          <w:bCs w:val="1"/>
          <w:color w:val="auto"/>
        </w:rPr>
        <w:t>Exhibit 31.1</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CERTIFICATION</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I, David J. Deno, certify that:</w:t>
      </w:r>
    </w:p>
    <w:p>
      <w:pPr>
        <w:spacing w:after="0" w:line="243" w:lineRule="exact"/>
        <w:rPr>
          <w:sz w:val="20"/>
          <w:szCs w:val="20"/>
          <w:color w:val="auto"/>
        </w:rPr>
      </w:pPr>
    </w:p>
    <w:p>
      <w:pPr>
        <w:ind w:left="580" w:hanging="572"/>
        <w:spacing w:after="0"/>
        <w:tabs>
          <w:tab w:leader="none" w:pos="580" w:val="left"/>
        </w:tabs>
        <w:numPr>
          <w:ilvl w:val="0"/>
          <w:numId w:val="49"/>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Bloomin’ Brands, Inc.;</w:t>
      </w:r>
    </w:p>
    <w:p>
      <w:pPr>
        <w:spacing w:after="0" w:line="242" w:lineRule="exact"/>
        <w:rPr>
          <w:rFonts w:ascii="Arial" w:cs="Arial" w:eastAsia="Arial" w:hAnsi="Arial"/>
          <w:sz w:val="20"/>
          <w:szCs w:val="20"/>
          <w:color w:val="auto"/>
        </w:rPr>
      </w:pPr>
    </w:p>
    <w:p>
      <w:pPr>
        <w:jc w:val="both"/>
        <w:ind w:left="580" w:hanging="572"/>
        <w:spacing w:after="0" w:line="250" w:lineRule="auto"/>
        <w:tabs>
          <w:tab w:leader="none" w:pos="580" w:val="left"/>
        </w:tabs>
        <w:numPr>
          <w:ilvl w:val="0"/>
          <w:numId w:val="49"/>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2" w:lineRule="exact"/>
        <w:rPr>
          <w:rFonts w:ascii="Arial" w:cs="Arial" w:eastAsia="Arial" w:hAnsi="Arial"/>
          <w:sz w:val="20"/>
          <w:szCs w:val="20"/>
          <w:color w:val="auto"/>
        </w:rPr>
      </w:pPr>
    </w:p>
    <w:p>
      <w:pPr>
        <w:jc w:val="both"/>
        <w:ind w:left="580" w:hanging="572"/>
        <w:spacing w:after="0" w:line="250" w:lineRule="auto"/>
        <w:tabs>
          <w:tab w:leader="none" w:pos="580" w:val="left"/>
        </w:tabs>
        <w:numPr>
          <w:ilvl w:val="0"/>
          <w:numId w:val="49"/>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2" w:lineRule="exact"/>
        <w:rPr>
          <w:rFonts w:ascii="Arial" w:cs="Arial" w:eastAsia="Arial" w:hAnsi="Arial"/>
          <w:sz w:val="20"/>
          <w:szCs w:val="20"/>
          <w:color w:val="auto"/>
        </w:rPr>
      </w:pPr>
    </w:p>
    <w:p>
      <w:pPr>
        <w:jc w:val="both"/>
        <w:ind w:left="580" w:hanging="572"/>
        <w:spacing w:after="0" w:line="250" w:lineRule="auto"/>
        <w:tabs>
          <w:tab w:leader="none" w:pos="580" w:val="left"/>
        </w:tabs>
        <w:numPr>
          <w:ilvl w:val="0"/>
          <w:numId w:val="49"/>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2" w:lineRule="exact"/>
        <w:rPr>
          <w:rFonts w:ascii="Arial" w:cs="Arial" w:eastAsia="Arial" w:hAnsi="Arial"/>
          <w:sz w:val="20"/>
          <w:szCs w:val="20"/>
          <w:color w:val="auto"/>
        </w:rPr>
      </w:pPr>
    </w:p>
    <w:p>
      <w:pPr>
        <w:jc w:val="both"/>
        <w:ind w:left="1300" w:hanging="482"/>
        <w:spacing w:after="0" w:line="291" w:lineRule="auto"/>
        <w:tabs>
          <w:tab w:leader="none" w:pos="129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8" w:lineRule="exact"/>
        <w:rPr>
          <w:rFonts w:ascii="Arial" w:cs="Arial" w:eastAsia="Arial" w:hAnsi="Arial"/>
          <w:sz w:val="18"/>
          <w:szCs w:val="18"/>
          <w:color w:val="auto"/>
        </w:rPr>
      </w:pPr>
    </w:p>
    <w:p>
      <w:pPr>
        <w:jc w:val="both"/>
        <w:ind w:left="1300" w:hanging="482"/>
        <w:spacing w:after="0" w:line="269" w:lineRule="auto"/>
        <w:tabs>
          <w:tab w:leader="none" w:pos="1288" w:val="left"/>
        </w:tabs>
        <w:numPr>
          <w:ilvl w:val="1"/>
          <w:numId w:val="49"/>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6" w:lineRule="exact"/>
        <w:rPr>
          <w:rFonts w:ascii="Arial" w:cs="Arial" w:eastAsia="Arial" w:hAnsi="Arial"/>
          <w:sz w:val="19"/>
          <w:szCs w:val="19"/>
          <w:color w:val="auto"/>
        </w:rPr>
      </w:pPr>
    </w:p>
    <w:p>
      <w:pPr>
        <w:jc w:val="both"/>
        <w:ind w:left="1300" w:hanging="482"/>
        <w:spacing w:after="0" w:line="250" w:lineRule="auto"/>
        <w:tabs>
          <w:tab w:leader="none" w:pos="1290" w:val="left"/>
        </w:tabs>
        <w:numPr>
          <w:ilvl w:val="1"/>
          <w:numId w:val="49"/>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2" w:lineRule="exact"/>
        <w:rPr>
          <w:rFonts w:ascii="Arial" w:cs="Arial" w:eastAsia="Arial" w:hAnsi="Arial"/>
          <w:sz w:val="20"/>
          <w:szCs w:val="20"/>
          <w:color w:val="auto"/>
        </w:rPr>
      </w:pPr>
    </w:p>
    <w:p>
      <w:pPr>
        <w:jc w:val="both"/>
        <w:ind w:left="1300" w:hanging="482"/>
        <w:spacing w:after="0" w:line="291" w:lineRule="auto"/>
        <w:tabs>
          <w:tab w:leader="none" w:pos="1288"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8" w:lineRule="exact"/>
        <w:rPr>
          <w:rFonts w:ascii="Arial" w:cs="Arial" w:eastAsia="Arial" w:hAnsi="Arial"/>
          <w:sz w:val="18"/>
          <w:szCs w:val="18"/>
          <w:color w:val="auto"/>
        </w:rPr>
      </w:pPr>
    </w:p>
    <w:p>
      <w:pPr>
        <w:jc w:val="both"/>
        <w:ind w:left="580" w:hanging="572"/>
        <w:spacing w:after="0" w:line="250" w:lineRule="auto"/>
        <w:tabs>
          <w:tab w:leader="none" w:pos="580" w:val="left"/>
        </w:tabs>
        <w:numPr>
          <w:ilvl w:val="0"/>
          <w:numId w:val="49"/>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2" w:lineRule="exact"/>
        <w:rPr>
          <w:rFonts w:ascii="Arial" w:cs="Arial" w:eastAsia="Arial" w:hAnsi="Arial"/>
          <w:sz w:val="20"/>
          <w:szCs w:val="20"/>
          <w:color w:val="auto"/>
        </w:rPr>
      </w:pPr>
    </w:p>
    <w:p>
      <w:pPr>
        <w:jc w:val="both"/>
        <w:ind w:left="1300" w:hanging="482"/>
        <w:spacing w:after="0" w:line="250" w:lineRule="auto"/>
        <w:tabs>
          <w:tab w:leader="none" w:pos="1290" w:val="left"/>
        </w:tabs>
        <w:numPr>
          <w:ilvl w:val="1"/>
          <w:numId w:val="49"/>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2" w:lineRule="exact"/>
        <w:rPr>
          <w:rFonts w:ascii="Arial" w:cs="Arial" w:eastAsia="Arial" w:hAnsi="Arial"/>
          <w:sz w:val="20"/>
          <w:szCs w:val="20"/>
          <w:color w:val="auto"/>
        </w:rPr>
      </w:pPr>
    </w:p>
    <w:p>
      <w:pPr>
        <w:ind w:left="1300" w:hanging="482"/>
        <w:spacing w:after="0" w:line="260" w:lineRule="auto"/>
        <w:tabs>
          <w:tab w:leader="none" w:pos="1288" w:val="left"/>
        </w:tabs>
        <w:numPr>
          <w:ilvl w:val="1"/>
          <w:numId w:val="49"/>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09" w:lineRule="exact"/>
        <w:rPr>
          <w:sz w:val="20"/>
          <w:szCs w:val="20"/>
          <w:color w:val="auto"/>
        </w:rPr>
      </w:pPr>
    </w:p>
    <w:p>
      <w:pPr>
        <w:ind w:left="40"/>
        <w:spacing w:after="0"/>
        <w:tabs>
          <w:tab w:leader="none" w:pos="720" w:val="left"/>
          <w:tab w:leader="none" w:pos="4920" w:val="left"/>
        </w:tabs>
        <w:rPr>
          <w:sz w:val="20"/>
          <w:szCs w:val="20"/>
          <w:color w:val="auto"/>
        </w:rPr>
      </w:pPr>
      <w:r>
        <w:rPr>
          <w:rFonts w:ascii="Arial" w:cs="Arial" w:eastAsia="Arial" w:hAnsi="Arial"/>
          <w:sz w:val="20"/>
          <w:szCs w:val="20"/>
          <w:color w:val="auto"/>
        </w:rPr>
        <w:t>Date:</w:t>
        <w:tab/>
        <w:t>July 31, 2020</w:t>
      </w:r>
      <w:r>
        <w:rPr>
          <w:sz w:val="20"/>
          <w:szCs w:val="20"/>
          <w:color w:val="auto"/>
        </w:rPr>
        <w:tab/>
      </w:r>
      <w:r>
        <w:rPr>
          <w:rFonts w:ascii="Arial" w:cs="Arial" w:eastAsia="Arial" w:hAnsi="Arial"/>
          <w:sz w:val="16"/>
          <w:szCs w:val="16"/>
          <w:color w:val="auto"/>
        </w:rPr>
        <w:t>/s/ David J. Deno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27305</wp:posOffset>
            </wp:positionV>
            <wp:extent cx="400304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8">
                      <a:extLst>
                        <a:ext uri="{28A0092B-C50C-407E-A947-70E740481C1C}"/>
                      </a:extLst>
                    </a:blip>
                    <a:srcRect/>
                    <a:stretch>
                      <a:fillRect/>
                    </a:stretch>
                  </pic:blipFill>
                  <pic:spPr bwMode="auto">
                    <a:xfrm>
                      <a:off x="0" y="0"/>
                      <a:ext cx="4003040" cy="17145"/>
                    </a:xfrm>
                    <a:prstGeom prst="rect">
                      <a:avLst/>
                    </a:prstGeom>
                    <a:noFill/>
                  </pic:spPr>
                </pic:pic>
              </a:graphicData>
            </a:graphic>
          </wp:anchor>
        </w:drawing>
      </w:r>
    </w:p>
    <w:p>
      <w:pPr>
        <w:spacing w:after="0" w:line="61" w:lineRule="exact"/>
        <w:rPr>
          <w:sz w:val="20"/>
          <w:szCs w:val="20"/>
          <w:color w:val="auto"/>
        </w:rPr>
      </w:pPr>
    </w:p>
    <w:p>
      <w:pPr>
        <w:ind w:left="4940"/>
        <w:spacing w:after="0"/>
        <w:rPr>
          <w:sz w:val="20"/>
          <w:szCs w:val="20"/>
          <w:color w:val="auto"/>
        </w:rPr>
      </w:pPr>
      <w:r>
        <w:rPr>
          <w:rFonts w:ascii="Arial" w:cs="Arial" w:eastAsia="Arial" w:hAnsi="Arial"/>
          <w:sz w:val="20"/>
          <w:szCs w:val="20"/>
          <w:color w:val="auto"/>
        </w:rPr>
        <w:t>David J. Deno</w:t>
      </w:r>
    </w:p>
    <w:p>
      <w:pPr>
        <w:spacing w:after="0" w:line="54" w:lineRule="exact"/>
        <w:rPr>
          <w:sz w:val="20"/>
          <w:szCs w:val="20"/>
          <w:color w:val="auto"/>
        </w:rPr>
      </w:pPr>
    </w:p>
    <w:p>
      <w:pPr>
        <w:ind w:left="4940"/>
        <w:spacing w:after="0"/>
        <w:rPr>
          <w:sz w:val="20"/>
          <w:szCs w:val="20"/>
          <w:color w:val="auto"/>
        </w:rPr>
      </w:pPr>
      <w:r>
        <w:rPr>
          <w:rFonts w:ascii="Arial" w:cs="Arial" w:eastAsia="Arial" w:hAnsi="Arial"/>
          <w:sz w:val="20"/>
          <w:szCs w:val="20"/>
          <w:color w:val="auto"/>
        </w:rPr>
        <w:t>Chief Executive Officer</w:t>
      </w:r>
    </w:p>
    <w:p>
      <w:pPr>
        <w:spacing w:after="0" w:line="16" w:lineRule="exact"/>
        <w:rPr>
          <w:sz w:val="20"/>
          <w:szCs w:val="20"/>
          <w:color w:val="auto"/>
        </w:rPr>
      </w:pPr>
    </w:p>
    <w:p>
      <w:pPr>
        <w:ind w:left="4940"/>
        <w:spacing w:after="0"/>
        <w:rPr>
          <w:sz w:val="20"/>
          <w:szCs w:val="20"/>
          <w:color w:val="auto"/>
        </w:rPr>
      </w:pPr>
      <w:r>
        <w:rPr>
          <w:rFonts w:ascii="Arial" w:cs="Arial" w:eastAsia="Arial" w:hAnsi="Arial"/>
          <w:sz w:val="20"/>
          <w:szCs w:val="20"/>
          <w:color w:val="auto"/>
        </w:rPr>
        <w:t>(Principal Executive Officer)</w:t>
      </w:r>
    </w:p>
    <w:p>
      <w:pPr>
        <w:sectPr>
          <w:pgSz w:w="11900" w:h="16838" w:orient="portrait"/>
          <w:cols w:equalWidth="0" w:num="1">
            <w:col w:w="11240"/>
          </w:cols>
          <w:pgMar w:left="320" w:top="360"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20"/>
          <w:szCs w:val="20"/>
          <w:b w:val="1"/>
          <w:bCs w:val="1"/>
          <w:color w:val="auto"/>
        </w:rPr>
        <w:t>Exhibit 31.2</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CERTIFICATION</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I, Christopher Meyer, certify that:</w:t>
      </w:r>
    </w:p>
    <w:p>
      <w:pPr>
        <w:spacing w:after="0" w:line="243" w:lineRule="exact"/>
        <w:rPr>
          <w:sz w:val="20"/>
          <w:szCs w:val="20"/>
          <w:color w:val="auto"/>
        </w:rPr>
      </w:pPr>
    </w:p>
    <w:p>
      <w:pPr>
        <w:ind w:left="580" w:hanging="572"/>
        <w:spacing w:after="0"/>
        <w:tabs>
          <w:tab w:leader="none" w:pos="580" w:val="left"/>
        </w:tabs>
        <w:numPr>
          <w:ilvl w:val="0"/>
          <w:numId w:val="50"/>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Bloomin’ Brands, Inc.;</w:t>
      </w:r>
    </w:p>
    <w:p>
      <w:pPr>
        <w:spacing w:after="0" w:line="242" w:lineRule="exact"/>
        <w:rPr>
          <w:rFonts w:ascii="Arial" w:cs="Arial" w:eastAsia="Arial" w:hAnsi="Arial"/>
          <w:sz w:val="20"/>
          <w:szCs w:val="20"/>
          <w:color w:val="auto"/>
        </w:rPr>
      </w:pPr>
    </w:p>
    <w:p>
      <w:pPr>
        <w:jc w:val="both"/>
        <w:ind w:left="580" w:hanging="572"/>
        <w:spacing w:after="0" w:line="250" w:lineRule="auto"/>
        <w:tabs>
          <w:tab w:leader="none" w:pos="580" w:val="left"/>
        </w:tabs>
        <w:numPr>
          <w:ilvl w:val="0"/>
          <w:numId w:val="50"/>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2" w:lineRule="exact"/>
        <w:rPr>
          <w:rFonts w:ascii="Arial" w:cs="Arial" w:eastAsia="Arial" w:hAnsi="Arial"/>
          <w:sz w:val="20"/>
          <w:szCs w:val="20"/>
          <w:color w:val="auto"/>
        </w:rPr>
      </w:pPr>
    </w:p>
    <w:p>
      <w:pPr>
        <w:jc w:val="both"/>
        <w:ind w:left="580" w:hanging="572"/>
        <w:spacing w:after="0" w:line="250" w:lineRule="auto"/>
        <w:tabs>
          <w:tab w:leader="none" w:pos="580" w:val="left"/>
        </w:tabs>
        <w:numPr>
          <w:ilvl w:val="0"/>
          <w:numId w:val="50"/>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2" w:lineRule="exact"/>
        <w:rPr>
          <w:rFonts w:ascii="Arial" w:cs="Arial" w:eastAsia="Arial" w:hAnsi="Arial"/>
          <w:sz w:val="20"/>
          <w:szCs w:val="20"/>
          <w:color w:val="auto"/>
        </w:rPr>
      </w:pPr>
    </w:p>
    <w:p>
      <w:pPr>
        <w:jc w:val="both"/>
        <w:ind w:left="580" w:hanging="572"/>
        <w:spacing w:after="0" w:line="250" w:lineRule="auto"/>
        <w:tabs>
          <w:tab w:leader="none" w:pos="580" w:val="left"/>
        </w:tabs>
        <w:numPr>
          <w:ilvl w:val="0"/>
          <w:numId w:val="50"/>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2" w:lineRule="exact"/>
        <w:rPr>
          <w:rFonts w:ascii="Arial" w:cs="Arial" w:eastAsia="Arial" w:hAnsi="Arial"/>
          <w:sz w:val="20"/>
          <w:szCs w:val="20"/>
          <w:color w:val="auto"/>
        </w:rPr>
      </w:pPr>
    </w:p>
    <w:p>
      <w:pPr>
        <w:jc w:val="both"/>
        <w:ind w:left="1300" w:hanging="482"/>
        <w:spacing w:after="0" w:line="291" w:lineRule="auto"/>
        <w:tabs>
          <w:tab w:leader="none" w:pos="129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8" w:lineRule="exact"/>
        <w:rPr>
          <w:rFonts w:ascii="Arial" w:cs="Arial" w:eastAsia="Arial" w:hAnsi="Arial"/>
          <w:sz w:val="18"/>
          <w:szCs w:val="18"/>
          <w:color w:val="auto"/>
        </w:rPr>
      </w:pPr>
    </w:p>
    <w:p>
      <w:pPr>
        <w:jc w:val="both"/>
        <w:ind w:left="1300" w:hanging="482"/>
        <w:spacing w:after="0" w:line="269" w:lineRule="auto"/>
        <w:tabs>
          <w:tab w:leader="none" w:pos="1288" w:val="left"/>
        </w:tabs>
        <w:numPr>
          <w:ilvl w:val="1"/>
          <w:numId w:val="50"/>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6" w:lineRule="exact"/>
        <w:rPr>
          <w:rFonts w:ascii="Arial" w:cs="Arial" w:eastAsia="Arial" w:hAnsi="Arial"/>
          <w:sz w:val="19"/>
          <w:szCs w:val="19"/>
          <w:color w:val="auto"/>
        </w:rPr>
      </w:pPr>
    </w:p>
    <w:p>
      <w:pPr>
        <w:jc w:val="both"/>
        <w:ind w:left="1300" w:hanging="482"/>
        <w:spacing w:after="0" w:line="250" w:lineRule="auto"/>
        <w:tabs>
          <w:tab w:leader="none" w:pos="1290" w:val="left"/>
        </w:tabs>
        <w:numPr>
          <w:ilvl w:val="1"/>
          <w:numId w:val="50"/>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2" w:lineRule="exact"/>
        <w:rPr>
          <w:rFonts w:ascii="Arial" w:cs="Arial" w:eastAsia="Arial" w:hAnsi="Arial"/>
          <w:sz w:val="20"/>
          <w:szCs w:val="20"/>
          <w:color w:val="auto"/>
        </w:rPr>
      </w:pPr>
    </w:p>
    <w:p>
      <w:pPr>
        <w:jc w:val="both"/>
        <w:ind w:left="1300" w:hanging="482"/>
        <w:spacing w:after="0" w:line="291" w:lineRule="auto"/>
        <w:tabs>
          <w:tab w:leader="none" w:pos="1288"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8" w:lineRule="exact"/>
        <w:rPr>
          <w:rFonts w:ascii="Arial" w:cs="Arial" w:eastAsia="Arial" w:hAnsi="Arial"/>
          <w:sz w:val="18"/>
          <w:szCs w:val="18"/>
          <w:color w:val="auto"/>
        </w:rPr>
      </w:pPr>
    </w:p>
    <w:p>
      <w:pPr>
        <w:jc w:val="both"/>
        <w:ind w:left="580" w:hanging="572"/>
        <w:spacing w:after="0" w:line="250" w:lineRule="auto"/>
        <w:tabs>
          <w:tab w:leader="none" w:pos="580" w:val="left"/>
        </w:tabs>
        <w:numPr>
          <w:ilvl w:val="0"/>
          <w:numId w:val="50"/>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2" w:lineRule="exact"/>
        <w:rPr>
          <w:rFonts w:ascii="Arial" w:cs="Arial" w:eastAsia="Arial" w:hAnsi="Arial"/>
          <w:sz w:val="20"/>
          <w:szCs w:val="20"/>
          <w:color w:val="auto"/>
        </w:rPr>
      </w:pPr>
    </w:p>
    <w:p>
      <w:pPr>
        <w:jc w:val="both"/>
        <w:ind w:left="1300" w:hanging="482"/>
        <w:spacing w:after="0" w:line="250" w:lineRule="auto"/>
        <w:tabs>
          <w:tab w:leader="none" w:pos="1290" w:val="left"/>
        </w:tabs>
        <w:numPr>
          <w:ilvl w:val="1"/>
          <w:numId w:val="50"/>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2" w:lineRule="exact"/>
        <w:rPr>
          <w:rFonts w:ascii="Arial" w:cs="Arial" w:eastAsia="Arial" w:hAnsi="Arial"/>
          <w:sz w:val="20"/>
          <w:szCs w:val="20"/>
          <w:color w:val="auto"/>
        </w:rPr>
      </w:pPr>
    </w:p>
    <w:p>
      <w:pPr>
        <w:ind w:left="1300" w:hanging="482"/>
        <w:spacing w:after="0" w:line="260" w:lineRule="auto"/>
        <w:tabs>
          <w:tab w:leader="none" w:pos="1288" w:val="left"/>
        </w:tabs>
        <w:numPr>
          <w:ilvl w:val="1"/>
          <w:numId w:val="50"/>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09" w:lineRule="exact"/>
        <w:rPr>
          <w:sz w:val="20"/>
          <w:szCs w:val="20"/>
          <w:color w:val="auto"/>
        </w:rPr>
      </w:pPr>
    </w:p>
    <w:p>
      <w:pPr>
        <w:ind w:left="40"/>
        <w:spacing w:after="0"/>
        <w:tabs>
          <w:tab w:leader="none" w:pos="720" w:val="left"/>
          <w:tab w:leader="none" w:pos="4920" w:val="left"/>
        </w:tabs>
        <w:rPr>
          <w:sz w:val="20"/>
          <w:szCs w:val="20"/>
          <w:color w:val="auto"/>
        </w:rPr>
      </w:pPr>
      <w:r>
        <w:rPr>
          <w:rFonts w:ascii="Arial" w:cs="Arial" w:eastAsia="Arial" w:hAnsi="Arial"/>
          <w:sz w:val="20"/>
          <w:szCs w:val="20"/>
          <w:color w:val="auto"/>
        </w:rPr>
        <w:t>Date:</w:t>
        <w:tab/>
        <w:t>July 31, 2020</w:t>
      </w:r>
      <w:r>
        <w:rPr>
          <w:sz w:val="20"/>
          <w:szCs w:val="20"/>
          <w:color w:val="auto"/>
        </w:rPr>
        <w:tab/>
      </w:r>
      <w:r>
        <w:rPr>
          <w:rFonts w:ascii="Arial" w:cs="Arial" w:eastAsia="Arial" w:hAnsi="Arial"/>
          <w:sz w:val="16"/>
          <w:szCs w:val="16"/>
          <w:color w:val="auto"/>
        </w:rPr>
        <w:t>/s/ Christopher 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27305</wp:posOffset>
            </wp:positionV>
            <wp:extent cx="400304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9">
                      <a:extLst>
                        <a:ext uri="{28A0092B-C50C-407E-A947-70E740481C1C}"/>
                      </a:extLst>
                    </a:blip>
                    <a:srcRect/>
                    <a:stretch>
                      <a:fillRect/>
                    </a:stretch>
                  </pic:blipFill>
                  <pic:spPr bwMode="auto">
                    <a:xfrm>
                      <a:off x="0" y="0"/>
                      <a:ext cx="4003040" cy="17145"/>
                    </a:xfrm>
                    <a:prstGeom prst="rect">
                      <a:avLst/>
                    </a:prstGeom>
                    <a:noFill/>
                  </pic:spPr>
                </pic:pic>
              </a:graphicData>
            </a:graphic>
          </wp:anchor>
        </w:drawing>
      </w:r>
    </w:p>
    <w:p>
      <w:pPr>
        <w:spacing w:after="0" w:line="61" w:lineRule="exact"/>
        <w:rPr>
          <w:sz w:val="20"/>
          <w:szCs w:val="20"/>
          <w:color w:val="auto"/>
        </w:rPr>
      </w:pPr>
    </w:p>
    <w:p>
      <w:pPr>
        <w:ind w:left="4940"/>
        <w:spacing w:after="0"/>
        <w:rPr>
          <w:sz w:val="20"/>
          <w:szCs w:val="20"/>
          <w:color w:val="auto"/>
        </w:rPr>
      </w:pPr>
      <w:r>
        <w:rPr>
          <w:rFonts w:ascii="Arial" w:cs="Arial" w:eastAsia="Arial" w:hAnsi="Arial"/>
          <w:sz w:val="20"/>
          <w:szCs w:val="20"/>
          <w:color w:val="auto"/>
        </w:rPr>
        <w:t>Christopher Meyer</w:t>
      </w:r>
    </w:p>
    <w:p>
      <w:pPr>
        <w:spacing w:after="0" w:line="54" w:lineRule="exact"/>
        <w:rPr>
          <w:sz w:val="20"/>
          <w:szCs w:val="20"/>
          <w:color w:val="auto"/>
        </w:rPr>
      </w:pPr>
    </w:p>
    <w:p>
      <w:pPr>
        <w:ind w:left="4940"/>
        <w:spacing w:after="0"/>
        <w:rPr>
          <w:sz w:val="20"/>
          <w:szCs w:val="20"/>
          <w:color w:val="auto"/>
        </w:rPr>
      </w:pPr>
      <w:r>
        <w:rPr>
          <w:rFonts w:ascii="Arial" w:cs="Arial" w:eastAsia="Arial" w:hAnsi="Arial"/>
          <w:sz w:val="20"/>
          <w:szCs w:val="20"/>
          <w:color w:val="auto"/>
        </w:rPr>
        <w:t>Executive Vice President and Chief Financial Officer</w:t>
      </w:r>
    </w:p>
    <w:p>
      <w:pPr>
        <w:spacing w:after="0" w:line="16" w:lineRule="exact"/>
        <w:rPr>
          <w:sz w:val="20"/>
          <w:szCs w:val="20"/>
          <w:color w:val="auto"/>
        </w:rPr>
      </w:pPr>
    </w:p>
    <w:p>
      <w:pPr>
        <w:ind w:left="4940"/>
        <w:spacing w:after="0"/>
        <w:rPr>
          <w:sz w:val="20"/>
          <w:szCs w:val="20"/>
          <w:color w:val="auto"/>
        </w:rPr>
      </w:pPr>
      <w:r>
        <w:rPr>
          <w:rFonts w:ascii="Arial" w:cs="Arial" w:eastAsia="Arial" w:hAnsi="Arial"/>
          <w:sz w:val="20"/>
          <w:szCs w:val="20"/>
          <w:color w:val="auto"/>
        </w:rPr>
        <w:t>(Principal Financial and Accounting Officer)</w:t>
      </w:r>
    </w:p>
    <w:p>
      <w:pPr>
        <w:sectPr>
          <w:pgSz w:w="11900" w:h="16838" w:orient="portrait"/>
          <w:cols w:equalWidth="0" w:num="1">
            <w:col w:w="11240"/>
          </w:cols>
          <w:pgMar w:left="320" w:top="360"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20"/>
          <w:szCs w:val="20"/>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left="340" w:right="520"/>
        <w:spacing w:after="0" w:line="267" w:lineRule="auto"/>
        <w:rPr>
          <w:sz w:val="20"/>
          <w:szCs w:val="20"/>
          <w:color w:val="auto"/>
        </w:rPr>
      </w:pPr>
      <w:r>
        <w:rPr>
          <w:rFonts w:ascii="Arial" w:cs="Arial" w:eastAsia="Arial" w:hAnsi="Arial"/>
          <w:sz w:val="20"/>
          <w:szCs w:val="20"/>
          <w:b w:val="1"/>
          <w:bCs w:val="1"/>
          <w:color w:val="auto"/>
        </w:rPr>
        <w:t>CERTIFICATION PURSUANT TO 18 U.S.C. SECTION 1350, AS ADOPTED PURSUANT TO SECTION 906 OF THE SARBANES-OXLEY ACT OF 2002</w:t>
      </w:r>
    </w:p>
    <w:p>
      <w:pPr>
        <w:spacing w:after="0" w:line="19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In connection with the Quarterly Report of Bloomin’ Brands, Inc. (the “Company”) on Form 10-Q for the quarter ended June 28, 2020 as filed with the Securities and Exchange Commission on the date hereof (the “Report”), I, David J. Deno, Chief Executive Officer of the Company, hereby certify, pursuant to 18 U.S.C. Section 1350, as adopted pursuant to Section 906 of the Sarbanes-Oxley Act of 2002, to the best of my knowledge, that:</w:t>
      </w:r>
    </w:p>
    <w:p>
      <w:pPr>
        <w:spacing w:after="0" w:line="218" w:lineRule="exact"/>
        <w:rPr>
          <w:sz w:val="20"/>
          <w:szCs w:val="20"/>
          <w:color w:val="auto"/>
        </w:rPr>
      </w:pPr>
    </w:p>
    <w:p>
      <w:pPr>
        <w:ind w:left="640" w:hanging="308"/>
        <w:spacing w:after="0"/>
        <w:tabs>
          <w:tab w:leader="none" w:pos="640" w:val="left"/>
        </w:tabs>
        <w:numPr>
          <w:ilvl w:val="0"/>
          <w:numId w:val="51"/>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242" w:lineRule="exact"/>
        <w:rPr>
          <w:rFonts w:ascii="Arial" w:cs="Arial" w:eastAsia="Arial" w:hAnsi="Arial"/>
          <w:sz w:val="20"/>
          <w:szCs w:val="20"/>
          <w:color w:val="auto"/>
        </w:rPr>
      </w:pPr>
    </w:p>
    <w:p>
      <w:pPr>
        <w:ind w:left="660" w:hanging="328"/>
        <w:spacing w:after="0" w:line="260" w:lineRule="auto"/>
        <w:tabs>
          <w:tab w:leader="none" w:pos="648" w:val="left"/>
        </w:tabs>
        <w:numPr>
          <w:ilvl w:val="0"/>
          <w:numId w:val="51"/>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 for the dates and periods covered by the Report.</w:t>
      </w:r>
    </w:p>
    <w:p>
      <w:pPr>
        <w:spacing w:after="0" w:line="109" w:lineRule="exact"/>
        <w:rPr>
          <w:sz w:val="20"/>
          <w:szCs w:val="20"/>
          <w:color w:val="auto"/>
        </w:rPr>
      </w:pPr>
    </w:p>
    <w:p>
      <w:pPr>
        <w:ind w:left="40"/>
        <w:spacing w:after="0"/>
        <w:tabs>
          <w:tab w:leader="none" w:pos="720" w:val="left"/>
          <w:tab w:leader="none" w:pos="4920" w:val="left"/>
        </w:tabs>
        <w:rPr>
          <w:sz w:val="20"/>
          <w:szCs w:val="20"/>
          <w:color w:val="auto"/>
        </w:rPr>
      </w:pPr>
      <w:r>
        <w:rPr>
          <w:rFonts w:ascii="Arial" w:cs="Arial" w:eastAsia="Arial" w:hAnsi="Arial"/>
          <w:sz w:val="20"/>
          <w:szCs w:val="20"/>
          <w:color w:val="auto"/>
        </w:rPr>
        <w:t>Date:</w:t>
        <w:tab/>
        <w:t>July 31, 2020</w:t>
      </w:r>
      <w:r>
        <w:rPr>
          <w:sz w:val="20"/>
          <w:szCs w:val="20"/>
          <w:color w:val="auto"/>
        </w:rPr>
        <w:tab/>
      </w:r>
      <w:r>
        <w:rPr>
          <w:rFonts w:ascii="Arial" w:cs="Arial" w:eastAsia="Arial" w:hAnsi="Arial"/>
          <w:sz w:val="16"/>
          <w:szCs w:val="16"/>
          <w:color w:val="auto"/>
        </w:rPr>
        <w:t>/s/ David J. Deno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27305</wp:posOffset>
            </wp:positionV>
            <wp:extent cx="400304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0">
                      <a:extLst>
                        <a:ext uri="{28A0092B-C50C-407E-A947-70E740481C1C}"/>
                      </a:extLst>
                    </a:blip>
                    <a:srcRect/>
                    <a:stretch>
                      <a:fillRect/>
                    </a:stretch>
                  </pic:blipFill>
                  <pic:spPr bwMode="auto">
                    <a:xfrm>
                      <a:off x="0" y="0"/>
                      <a:ext cx="4003040" cy="17145"/>
                    </a:xfrm>
                    <a:prstGeom prst="rect">
                      <a:avLst/>
                    </a:prstGeom>
                    <a:noFill/>
                  </pic:spPr>
                </pic:pic>
              </a:graphicData>
            </a:graphic>
          </wp:anchor>
        </w:drawing>
      </w:r>
    </w:p>
    <w:p>
      <w:pPr>
        <w:spacing w:after="0" w:line="61" w:lineRule="exact"/>
        <w:rPr>
          <w:sz w:val="20"/>
          <w:szCs w:val="20"/>
          <w:color w:val="auto"/>
        </w:rPr>
      </w:pPr>
    </w:p>
    <w:p>
      <w:pPr>
        <w:ind w:left="4940"/>
        <w:spacing w:after="0"/>
        <w:rPr>
          <w:sz w:val="20"/>
          <w:szCs w:val="20"/>
          <w:color w:val="auto"/>
        </w:rPr>
      </w:pPr>
      <w:r>
        <w:rPr>
          <w:rFonts w:ascii="Arial" w:cs="Arial" w:eastAsia="Arial" w:hAnsi="Arial"/>
          <w:sz w:val="20"/>
          <w:szCs w:val="20"/>
          <w:color w:val="auto"/>
        </w:rPr>
        <w:t>David J. Deno</w:t>
      </w:r>
    </w:p>
    <w:p>
      <w:pPr>
        <w:spacing w:after="0" w:line="54" w:lineRule="exact"/>
        <w:rPr>
          <w:sz w:val="20"/>
          <w:szCs w:val="20"/>
          <w:color w:val="auto"/>
        </w:rPr>
      </w:pPr>
    </w:p>
    <w:p>
      <w:pPr>
        <w:ind w:left="4940"/>
        <w:spacing w:after="0"/>
        <w:rPr>
          <w:sz w:val="20"/>
          <w:szCs w:val="20"/>
          <w:color w:val="auto"/>
        </w:rPr>
      </w:pPr>
      <w:r>
        <w:rPr>
          <w:rFonts w:ascii="Arial" w:cs="Arial" w:eastAsia="Arial" w:hAnsi="Arial"/>
          <w:sz w:val="20"/>
          <w:szCs w:val="20"/>
          <w:color w:val="auto"/>
        </w:rPr>
        <w:t>Chief Executive Officer</w:t>
      </w:r>
    </w:p>
    <w:p>
      <w:pPr>
        <w:spacing w:after="0" w:line="16" w:lineRule="exact"/>
        <w:rPr>
          <w:sz w:val="20"/>
          <w:szCs w:val="20"/>
          <w:color w:val="auto"/>
        </w:rPr>
      </w:pPr>
    </w:p>
    <w:p>
      <w:pPr>
        <w:ind w:left="4940"/>
        <w:spacing w:after="0"/>
        <w:rPr>
          <w:sz w:val="20"/>
          <w:szCs w:val="20"/>
          <w:color w:val="auto"/>
        </w:rPr>
      </w:pPr>
      <w:r>
        <w:rPr>
          <w:rFonts w:ascii="Arial" w:cs="Arial" w:eastAsia="Arial" w:hAnsi="Arial"/>
          <w:sz w:val="20"/>
          <w:szCs w:val="20"/>
          <w:color w:val="auto"/>
        </w:rPr>
        <w:t>(Principal Executive Officer)</w:t>
      </w:r>
    </w:p>
    <w:p>
      <w:pPr>
        <w:spacing w:after="0" w:line="335"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A signed original of this written statement required by Section 906 has been provided to, and will be retained by, Bloomin’ Brands, Inc. and furnished to the Securities and Exchange Commission or its staff upon request.</w:t>
      </w:r>
    </w:p>
    <w:p>
      <w:pPr>
        <w:sectPr>
          <w:pgSz w:w="11900" w:h="16838" w:orient="portrait"/>
          <w:cols w:equalWidth="0" w:num="1">
            <w:col w:w="11240"/>
          </w:cols>
          <w:pgMar w:left="320" w:top="886"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20"/>
          <w:szCs w:val="20"/>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left="340" w:right="520"/>
        <w:spacing w:after="0" w:line="267" w:lineRule="auto"/>
        <w:rPr>
          <w:sz w:val="20"/>
          <w:szCs w:val="20"/>
          <w:color w:val="auto"/>
        </w:rPr>
      </w:pPr>
      <w:r>
        <w:rPr>
          <w:rFonts w:ascii="Arial" w:cs="Arial" w:eastAsia="Arial" w:hAnsi="Arial"/>
          <w:sz w:val="20"/>
          <w:szCs w:val="20"/>
          <w:b w:val="1"/>
          <w:bCs w:val="1"/>
          <w:color w:val="auto"/>
        </w:rPr>
        <w:t>CERTIFICATION PURSUANT TO 18 U.S.C. SECTION 1350, AS ADOPTED PURSUANT TO SECTION 906 OF THE SARBANES-OXLEY ACT OF 2002</w:t>
      </w:r>
    </w:p>
    <w:p>
      <w:pPr>
        <w:spacing w:after="0" w:line="19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In connection with the Quarterly Report of Bloomin’ Brands, Inc. (the “Company”) on Form 10-Q for the quarter ended June 28, 2020 as filed with the Securities and Exchange Commission on the date hereof (the “Report”), I, Christopher Meyer, Executive Vice President and Chief Financial Officer of the Company, hereby certify, pursuant to 18 U.S.C. Section 1350, as adopted pursuant to Section 906 of the Sarbanes-Oxley Act of 2002, to the best of my knowledge, that:</w:t>
      </w:r>
    </w:p>
    <w:p>
      <w:pPr>
        <w:spacing w:after="0" w:line="218" w:lineRule="exact"/>
        <w:rPr>
          <w:sz w:val="20"/>
          <w:szCs w:val="20"/>
          <w:color w:val="auto"/>
        </w:rPr>
      </w:pPr>
    </w:p>
    <w:p>
      <w:pPr>
        <w:ind w:left="640" w:hanging="308"/>
        <w:spacing w:after="0"/>
        <w:tabs>
          <w:tab w:leader="none" w:pos="640" w:val="left"/>
        </w:tabs>
        <w:numPr>
          <w:ilvl w:val="0"/>
          <w:numId w:val="52"/>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242" w:lineRule="exact"/>
        <w:rPr>
          <w:rFonts w:ascii="Arial" w:cs="Arial" w:eastAsia="Arial" w:hAnsi="Arial"/>
          <w:sz w:val="20"/>
          <w:szCs w:val="20"/>
          <w:color w:val="auto"/>
        </w:rPr>
      </w:pPr>
    </w:p>
    <w:p>
      <w:pPr>
        <w:ind w:left="660" w:hanging="328"/>
        <w:spacing w:after="0" w:line="260" w:lineRule="auto"/>
        <w:tabs>
          <w:tab w:leader="none" w:pos="648" w:val="left"/>
        </w:tabs>
        <w:numPr>
          <w:ilvl w:val="0"/>
          <w:numId w:val="52"/>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 for the dates and periods covered by the Report.</w:t>
      </w:r>
    </w:p>
    <w:p>
      <w:pPr>
        <w:spacing w:after="0" w:line="109" w:lineRule="exact"/>
        <w:rPr>
          <w:sz w:val="20"/>
          <w:szCs w:val="20"/>
          <w:color w:val="auto"/>
        </w:rPr>
      </w:pPr>
    </w:p>
    <w:p>
      <w:pPr>
        <w:ind w:left="40"/>
        <w:spacing w:after="0"/>
        <w:tabs>
          <w:tab w:leader="none" w:pos="720" w:val="left"/>
          <w:tab w:leader="none" w:pos="4920" w:val="left"/>
        </w:tabs>
        <w:rPr>
          <w:sz w:val="20"/>
          <w:szCs w:val="20"/>
          <w:color w:val="auto"/>
        </w:rPr>
      </w:pPr>
      <w:r>
        <w:rPr>
          <w:rFonts w:ascii="Arial" w:cs="Arial" w:eastAsia="Arial" w:hAnsi="Arial"/>
          <w:sz w:val="20"/>
          <w:szCs w:val="20"/>
          <w:color w:val="auto"/>
        </w:rPr>
        <w:t>Date:</w:t>
        <w:tab/>
        <w:t>July 31, 2020</w:t>
      </w:r>
      <w:r>
        <w:rPr>
          <w:sz w:val="20"/>
          <w:szCs w:val="20"/>
          <w:color w:val="auto"/>
        </w:rPr>
        <w:tab/>
      </w:r>
      <w:r>
        <w:rPr>
          <w:rFonts w:ascii="Arial" w:cs="Arial" w:eastAsia="Arial" w:hAnsi="Arial"/>
          <w:sz w:val="16"/>
          <w:szCs w:val="16"/>
          <w:color w:val="auto"/>
        </w:rPr>
        <w:t>/s/ Christopher 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27305</wp:posOffset>
            </wp:positionV>
            <wp:extent cx="400304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1">
                      <a:extLst>
                        <a:ext uri="{28A0092B-C50C-407E-A947-70E740481C1C}"/>
                      </a:extLst>
                    </a:blip>
                    <a:srcRect/>
                    <a:stretch>
                      <a:fillRect/>
                    </a:stretch>
                  </pic:blipFill>
                  <pic:spPr bwMode="auto">
                    <a:xfrm>
                      <a:off x="0" y="0"/>
                      <a:ext cx="4003040" cy="17145"/>
                    </a:xfrm>
                    <a:prstGeom prst="rect">
                      <a:avLst/>
                    </a:prstGeom>
                    <a:noFill/>
                  </pic:spPr>
                </pic:pic>
              </a:graphicData>
            </a:graphic>
          </wp:anchor>
        </w:drawing>
      </w:r>
    </w:p>
    <w:p>
      <w:pPr>
        <w:spacing w:after="0" w:line="61" w:lineRule="exact"/>
        <w:rPr>
          <w:sz w:val="20"/>
          <w:szCs w:val="20"/>
          <w:color w:val="auto"/>
        </w:rPr>
      </w:pPr>
    </w:p>
    <w:p>
      <w:pPr>
        <w:ind w:left="4940"/>
        <w:spacing w:after="0"/>
        <w:rPr>
          <w:sz w:val="20"/>
          <w:szCs w:val="20"/>
          <w:color w:val="auto"/>
        </w:rPr>
      </w:pPr>
      <w:r>
        <w:rPr>
          <w:rFonts w:ascii="Arial" w:cs="Arial" w:eastAsia="Arial" w:hAnsi="Arial"/>
          <w:sz w:val="20"/>
          <w:szCs w:val="20"/>
          <w:color w:val="auto"/>
        </w:rPr>
        <w:t>Christopher Meyer</w:t>
      </w:r>
    </w:p>
    <w:p>
      <w:pPr>
        <w:spacing w:after="0" w:line="54" w:lineRule="exact"/>
        <w:rPr>
          <w:sz w:val="20"/>
          <w:szCs w:val="20"/>
          <w:color w:val="auto"/>
        </w:rPr>
      </w:pPr>
    </w:p>
    <w:p>
      <w:pPr>
        <w:ind w:left="4940"/>
        <w:spacing w:after="0"/>
        <w:rPr>
          <w:sz w:val="20"/>
          <w:szCs w:val="20"/>
          <w:color w:val="auto"/>
        </w:rPr>
      </w:pPr>
      <w:r>
        <w:rPr>
          <w:rFonts w:ascii="Arial" w:cs="Arial" w:eastAsia="Arial" w:hAnsi="Arial"/>
          <w:sz w:val="20"/>
          <w:szCs w:val="20"/>
          <w:color w:val="auto"/>
        </w:rPr>
        <w:t>Executive Vice President and Chief Financial Officer</w:t>
      </w:r>
    </w:p>
    <w:p>
      <w:pPr>
        <w:spacing w:after="0" w:line="16" w:lineRule="exact"/>
        <w:rPr>
          <w:sz w:val="20"/>
          <w:szCs w:val="20"/>
          <w:color w:val="auto"/>
        </w:rPr>
      </w:pPr>
    </w:p>
    <w:p>
      <w:pPr>
        <w:ind w:left="4940"/>
        <w:spacing w:after="0"/>
        <w:rPr>
          <w:sz w:val="20"/>
          <w:szCs w:val="20"/>
          <w:color w:val="auto"/>
        </w:rPr>
      </w:pPr>
      <w:r>
        <w:rPr>
          <w:rFonts w:ascii="Arial" w:cs="Arial" w:eastAsia="Arial" w:hAnsi="Arial"/>
          <w:sz w:val="20"/>
          <w:szCs w:val="20"/>
          <w:color w:val="auto"/>
        </w:rPr>
        <w:t>(Principal Financial and Accounting Officer)</w:t>
      </w:r>
    </w:p>
    <w:p>
      <w:pPr>
        <w:spacing w:after="0" w:line="335"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A signed original of this written statement required by Section 906 has been provided to, and will be retained by, Bloomin’ Brands, Inc. and furnished to the Securities and Exchange Commission or its staff upon request.</w:t>
      </w: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1)"/>
      <w:numFmt w:val="decimal"/>
      <w:start w:val="1"/>
    </w:lvl>
  </w:abstractNum>
  <w:abstractNum w:abstractNumId="3">
    <w:nsid w:val="2CA88611"/>
    <w:multiLevelType w:val="hybridMultilevel"/>
    <w:lvl w:ilvl="0">
      <w:lvlJc w:val="left"/>
      <w:lvlText w:val="(%1)"/>
      <w:numFmt w:val="decimal"/>
      <w:start w:val="1"/>
    </w:lvl>
  </w:abstractNum>
  <w:abstractNum w:abstractNumId="4">
    <w:nsid w:val="836C40E"/>
    <w:multiLevelType w:val="hybridMultilevel"/>
    <w:lvl w:ilvl="0">
      <w:lvlJc w:val="left"/>
      <w:lvlText w:val="(%1)"/>
      <w:numFmt w:val="decimal"/>
      <w:start w:val="1"/>
    </w:lvl>
  </w:abstractNum>
  <w:abstractNum w:abstractNumId="5">
    <w:nsid w:val="2901D82"/>
    <w:multiLevelType w:val="hybridMultilevel"/>
    <w:lvl w:ilvl="0">
      <w:lvlJc w:val="left"/>
      <w:lvlText w:val="(%1)"/>
      <w:numFmt w:val="decimal"/>
      <w:start w:val="1"/>
    </w:lvl>
  </w:abstractNum>
  <w:abstractNum w:abstractNumId="6">
    <w:nsid w:val="3A95F874"/>
    <w:multiLevelType w:val="hybridMultilevel"/>
    <w:lvl w:ilvl="0">
      <w:lvlJc w:val="left"/>
      <w:lvlText w:val="(%1)"/>
      <w:numFmt w:val="decimal"/>
      <w:start w:val="1"/>
    </w:lvl>
  </w:abstractNum>
  <w:abstractNum w:abstractNumId="7">
    <w:nsid w:val="8138641"/>
    <w:multiLevelType w:val="hybridMultilevel"/>
    <w:lvl w:ilvl="0">
      <w:lvlJc w:val="left"/>
      <w:lvlText w:val="(%1)"/>
      <w:numFmt w:val="decimal"/>
      <w:start w:val="1"/>
    </w:lvl>
  </w:abstractNum>
  <w:abstractNum w:abstractNumId="8">
    <w:nsid w:val="1E7FF521"/>
    <w:multiLevelType w:val="hybridMultilevel"/>
    <w:lvl w:ilvl="0">
      <w:lvlJc w:val="left"/>
      <w:lvlText w:val="(%1)"/>
      <w:numFmt w:val="decimal"/>
      <w:start w:val="1"/>
    </w:lvl>
  </w:abstractNum>
  <w:abstractNum w:abstractNumId="9">
    <w:nsid w:val="7C3DBD3D"/>
    <w:multiLevelType w:val="hybridMultilevel"/>
    <w:lvl w:ilvl="0">
      <w:lvlJc w:val="left"/>
      <w:lvlText w:val="(%1)"/>
      <w:numFmt w:val="decimal"/>
      <w:start w:val="1"/>
    </w:lvl>
  </w:abstractNum>
  <w:abstractNum w:abstractNumId="10">
    <w:nsid w:val="737B8DDC"/>
    <w:multiLevelType w:val="hybridMultilevel"/>
    <w:lvl w:ilvl="0">
      <w:lvlJc w:val="left"/>
      <w:lvlText w:val="(%1)"/>
      <w:numFmt w:val="decimal"/>
      <w:start w:val="1"/>
    </w:lvl>
  </w:abstractNum>
  <w:abstractNum w:abstractNumId="11">
    <w:nsid w:val="6CEAF087"/>
    <w:multiLevelType w:val="hybridMultilevel"/>
    <w:lvl w:ilvl="0">
      <w:lvlJc w:val="left"/>
      <w:lvlText w:val="(%1)"/>
      <w:numFmt w:val="decimal"/>
      <w:start w:val="1"/>
    </w:lvl>
  </w:abstractNum>
  <w:abstractNum w:abstractNumId="12">
    <w:nsid w:val="22221A70"/>
    <w:multiLevelType w:val="hybridMultilevel"/>
    <w:lvl w:ilvl="0">
      <w:lvlJc w:val="left"/>
      <w:lvlText w:val="(%1)"/>
      <w:numFmt w:val="decimal"/>
      <w:start w:val="1"/>
    </w:lvl>
  </w:abstractNum>
  <w:abstractNum w:abstractNumId="13">
    <w:nsid w:val="4516DDE9"/>
    <w:multiLevelType w:val="hybridMultilevel"/>
    <w:lvl w:ilvl="0">
      <w:lvlJc w:val="left"/>
      <w:lvlText w:val="(%1)"/>
      <w:numFmt w:val="decimal"/>
      <w:start w:val="1"/>
    </w:lvl>
  </w:abstractNum>
  <w:abstractNum w:abstractNumId="14">
    <w:nsid w:val="3006C83E"/>
    <w:multiLevelType w:val="hybridMultilevel"/>
    <w:lvl w:ilvl="0">
      <w:lvlJc w:val="left"/>
      <w:lvlText w:val="(%1)"/>
      <w:numFmt w:val="decimal"/>
      <w:start w:val="1"/>
    </w:lvl>
  </w:abstractNum>
  <w:abstractNum w:abstractNumId="15">
    <w:nsid w:val="614FD4A1"/>
    <w:multiLevelType w:val="hybridMultilevel"/>
    <w:lvl w:ilvl="0">
      <w:lvlJc w:val="left"/>
      <w:lvlText w:val="(%1)"/>
      <w:numFmt w:val="decimal"/>
      <w:start w:val="1"/>
    </w:lvl>
  </w:abstractNum>
  <w:abstractNum w:abstractNumId="16">
    <w:nsid w:val="419AC241"/>
    <w:multiLevelType w:val="hybridMultilevel"/>
    <w:lvl w:ilvl="0">
      <w:lvlJc w:val="left"/>
      <w:lvlText w:val="(%1)"/>
      <w:numFmt w:val="decimal"/>
      <w:start w:val="1"/>
    </w:lvl>
  </w:abstractNum>
  <w:abstractNum w:abstractNumId="17">
    <w:nsid w:val="5577F8E1"/>
    <w:multiLevelType w:val="hybridMultilevel"/>
    <w:lvl w:ilvl="0">
      <w:lvlJc w:val="left"/>
      <w:lvlText w:val="(%1)"/>
      <w:numFmt w:val="decimal"/>
      <w:start w:val="1"/>
    </w:lvl>
  </w:abstractNum>
  <w:abstractNum w:abstractNumId="18">
    <w:nsid w:val="440BADFC"/>
    <w:multiLevelType w:val="hybridMultilevel"/>
    <w:lvl w:ilvl="0">
      <w:lvlJc w:val="left"/>
      <w:lvlText w:val="(%1)"/>
      <w:numFmt w:val="decimal"/>
      <w:start w:val="1"/>
    </w:lvl>
  </w:abstractNum>
  <w:abstractNum w:abstractNumId="19">
    <w:nsid w:val="5072367"/>
    <w:multiLevelType w:val="hybridMultilevel"/>
    <w:lvl w:ilvl="0">
      <w:lvlJc w:val="left"/>
      <w:lvlText w:val="(%1)"/>
      <w:numFmt w:val="decimal"/>
      <w:start w:val="1"/>
    </w:lvl>
  </w:abstractNum>
  <w:abstractNum w:abstractNumId="20">
    <w:nsid w:val="3804823E"/>
    <w:multiLevelType w:val="hybridMultilevel"/>
    <w:lvl w:ilvl="0">
      <w:lvlJc w:val="left"/>
      <w:lvlText w:val="(%1)"/>
      <w:numFmt w:val="decimal"/>
      <w:start w:val="1"/>
    </w:lvl>
  </w:abstractNum>
  <w:abstractNum w:abstractNumId="21">
    <w:nsid w:val="77465F01"/>
    <w:multiLevelType w:val="hybridMultilevel"/>
    <w:lvl w:ilvl="0">
      <w:lvlJc w:val="left"/>
      <w:lvlText w:val="(%1)"/>
      <w:numFmt w:val="decimal"/>
      <w:start w:val="1"/>
    </w:lvl>
  </w:abstractNum>
  <w:abstractNum w:abstractNumId="22">
    <w:nsid w:val="7724C67E"/>
    <w:multiLevelType w:val="hybridMultilevel"/>
    <w:lvl w:ilvl="0">
      <w:lvlJc w:val="left"/>
      <w:lvlText w:val="(%1)"/>
      <w:numFmt w:val="decimal"/>
      <w:start w:val="1"/>
    </w:lvl>
  </w:abstractNum>
  <w:abstractNum w:abstractNumId="23">
    <w:nsid w:val="5C482A97"/>
    <w:multiLevelType w:val="hybridMultilevel"/>
    <w:lvl w:ilvl="0">
      <w:lvlJc w:val="left"/>
      <w:lvlText w:val="(%1)"/>
      <w:numFmt w:val="lowerRoman"/>
      <w:start w:val="1"/>
    </w:lvl>
  </w:abstractNum>
  <w:abstractNum w:abstractNumId="24">
    <w:nsid w:val="2463B9EA"/>
    <w:multiLevelType w:val="hybridMultilevel"/>
    <w:lvl w:ilvl="0">
      <w:lvlJc w:val="left"/>
      <w:lvlText w:val="(%1)"/>
      <w:numFmt w:val="lowerRoman"/>
      <w:start w:val="3"/>
    </w:lvl>
  </w:abstractNum>
  <w:abstractNum w:abstractNumId="25">
    <w:nsid w:val="5E884ADC"/>
    <w:multiLevelType w:val="hybridMultilevel"/>
    <w:lvl w:ilvl="0">
      <w:lvlJc w:val="left"/>
      <w:lvlText w:val="(%1)"/>
      <w:numFmt w:val="lowerRoman"/>
      <w:start w:val="6"/>
    </w:lvl>
  </w:abstractNum>
  <w:abstractNum w:abstractNumId="26">
    <w:nsid w:val="51EAD36B"/>
    <w:multiLevelType w:val="hybridMultilevel"/>
    <w:lvl w:ilvl="0">
      <w:lvlJc w:val="left"/>
      <w:lvlText w:val="(%1)"/>
      <w:numFmt w:val="lowerRoman"/>
      <w:start w:val="7"/>
    </w:lvl>
  </w:abstractNum>
  <w:abstractNum w:abstractNumId="27">
    <w:nsid w:val="2D517796"/>
    <w:multiLevelType w:val="hybridMultilevel"/>
    <w:lvl w:ilvl="0">
      <w:lvlJc w:val="left"/>
      <w:lvlText w:val="(%1)"/>
      <w:numFmt w:val="lowerRoman"/>
      <w:start w:val="11"/>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
      <w:numFmt w:val="bullet"/>
      <w:start w:val="1"/>
    </w:lvl>
    <w:lvl w:ilvl="1">
      <w:lvlJc w:val="left"/>
      <w:lvlText w:val="(%2)"/>
      <w:numFmt w:val="lowerRoman"/>
      <w:start w:val="1"/>
    </w:lvl>
  </w:abstractNum>
  <w:abstractNum w:abstractNumId="30">
    <w:nsid w:val="3855585C"/>
    <w:multiLevelType w:val="hybridMultilevel"/>
    <w:lvl w:ilvl="0">
      <w:lvlJc w:val="left"/>
      <w:lvlText w:val="•"/>
      <w:numFmt w:val="bullet"/>
      <w:start w:val="1"/>
    </w:lvl>
  </w:abstractNum>
  <w:abstractNum w:abstractNumId="31">
    <w:nsid w:val="70A64E2A"/>
    <w:multiLevelType w:val="hybridMultilevel"/>
    <w:lvl w:ilvl="0">
      <w:lvlJc w:val="left"/>
      <w:lvlText w:val="•"/>
      <w:numFmt w:val="bullet"/>
      <w:start w:val="1"/>
    </w:lvl>
  </w:abstractNum>
  <w:abstractNum w:abstractNumId="32">
    <w:nsid w:val="6A2342EC"/>
    <w:multiLevelType w:val="hybridMultilevel"/>
    <w:lvl w:ilvl="0">
      <w:lvlJc w:val="left"/>
      <w:lvlText w:val="(%1)"/>
      <w:numFmt w:val="decimal"/>
      <w:start w:val="1"/>
    </w:lvl>
  </w:abstractNum>
  <w:abstractNum w:abstractNumId="33">
    <w:nsid w:val="2A487CB0"/>
    <w:multiLevelType w:val="hybridMultilevel"/>
    <w:lvl w:ilvl="0">
      <w:lvlJc w:val="left"/>
      <w:lvlText w:val="(%1)"/>
      <w:numFmt w:val="decimal"/>
      <w:start w:val="1"/>
    </w:lvl>
  </w:abstractNum>
  <w:abstractNum w:abstractNumId="34">
    <w:nsid w:val="1D4ED43B"/>
    <w:multiLevelType w:val="hybridMultilevel"/>
    <w:lvl w:ilvl="0">
      <w:lvlJc w:val="left"/>
      <w:lvlText w:val="(%1)"/>
      <w:numFmt w:val="decimal"/>
      <w:start w:val="1"/>
    </w:lvl>
  </w:abstractNum>
  <w:abstractNum w:abstractNumId="35">
    <w:nsid w:val="725A06FB"/>
    <w:multiLevelType w:val="hybridMultilevel"/>
    <w:lvl w:ilvl="0">
      <w:lvlJc w:val="left"/>
      <w:lvlText w:val="(%1)"/>
      <w:numFmt w:val="decimal"/>
      <w:start w:val="1"/>
    </w:lvl>
  </w:abstractNum>
  <w:abstractNum w:abstractNumId="36">
    <w:nsid w:val="2CD89A32"/>
    <w:multiLevelType w:val="hybridMultilevel"/>
    <w:lvl w:ilvl="0">
      <w:lvlJc w:val="left"/>
      <w:lvlText w:val="(%1)"/>
      <w:numFmt w:val="decimal"/>
      <w:start w:val="1"/>
    </w:lvl>
  </w:abstractNum>
  <w:abstractNum w:abstractNumId="37">
    <w:nsid w:val="57E4CCAF"/>
    <w:multiLevelType w:val="hybridMultilevel"/>
    <w:lvl w:ilvl="0">
      <w:lvlJc w:val="left"/>
      <w:lvlText w:val="(%1)"/>
      <w:numFmt w:val="decimal"/>
      <w:start w:val="1"/>
    </w:lvl>
  </w:abstractNum>
  <w:abstractNum w:abstractNumId="38">
    <w:nsid w:val="7A6D8D3C"/>
    <w:multiLevelType w:val="hybridMultilevel"/>
    <w:lvl w:ilvl="0">
      <w:lvlJc w:val="left"/>
      <w:lvlText w:val="(%1)"/>
      <w:numFmt w:val="decimal"/>
      <w:start w:val="1"/>
    </w:lvl>
  </w:abstractNum>
  <w:abstractNum w:abstractNumId="39">
    <w:nsid w:val="4B588F54"/>
    <w:multiLevelType w:val="hybridMultilevel"/>
    <w:lvl w:ilvl="0">
      <w:lvlJc w:val="left"/>
      <w:lvlText w:val="(%1)"/>
      <w:numFmt w:val="decimal"/>
      <w:start w:val="1"/>
    </w:lvl>
  </w:abstractNum>
  <w:abstractNum w:abstractNumId="40">
    <w:nsid w:val="542289EC"/>
    <w:multiLevelType w:val="hybridMultilevel"/>
    <w:lvl w:ilvl="0">
      <w:lvlJc w:val="left"/>
      <w:lvlText w:val="(%1)"/>
      <w:numFmt w:val="decimal"/>
      <w:start w:val="1"/>
    </w:lvl>
  </w:abstractNum>
  <w:abstractNum w:abstractNumId="41">
    <w:nsid w:val="6DE91B18"/>
    <w:multiLevelType w:val="hybridMultilevel"/>
    <w:lvl w:ilvl="0">
      <w:lvlJc w:val="left"/>
      <w:lvlText w:val="(%1)"/>
      <w:numFmt w:val="decimal"/>
      <w:start w:val="1"/>
    </w:lvl>
  </w:abstractNum>
  <w:abstractNum w:abstractNumId="42">
    <w:nsid w:val="38437FDB"/>
    <w:multiLevelType w:val="hybridMultilevel"/>
    <w:lvl w:ilvl="0">
      <w:lvlJc w:val="left"/>
      <w:lvlText w:val="(%1)"/>
      <w:numFmt w:val="decimal"/>
      <w:start w:val="1"/>
    </w:lvl>
  </w:abstractNum>
  <w:abstractNum w:abstractNumId="43">
    <w:nsid w:val="7644A45C"/>
    <w:multiLevelType w:val="hybridMultilevel"/>
    <w:lvl w:ilvl="0">
      <w:lvlJc w:val="left"/>
      <w:lvlText w:val="•"/>
      <w:numFmt w:val="bullet"/>
      <w:start w:val="1"/>
    </w:lvl>
  </w:abstractNum>
  <w:abstractNum w:abstractNumId="44">
    <w:nsid w:val="32FFF902"/>
    <w:multiLevelType w:val="hybridMultilevel"/>
    <w:lvl w:ilvl="0">
      <w:lvlJc w:val="left"/>
      <w:lvlText w:val="(%1)"/>
      <w:numFmt w:val="decimal"/>
      <w:start w:val="1"/>
    </w:lvl>
  </w:abstractNum>
  <w:abstractNum w:abstractNumId="45">
    <w:nsid w:val="684A481A"/>
    <w:multiLevelType w:val="hybridMultilevel"/>
    <w:lvl w:ilvl="0">
      <w:lvlJc w:val="left"/>
      <w:lvlText w:val="(%1)"/>
      <w:numFmt w:val="decimal"/>
      <w:start w:val="1"/>
    </w:lvl>
  </w:abstractNum>
  <w:abstractNum w:abstractNumId="46">
    <w:nsid w:val="579478FE"/>
    <w:multiLevelType w:val="hybridMultilevel"/>
    <w:lvl w:ilvl="0">
      <w:lvlJc w:val="left"/>
      <w:lvlText w:val="-"/>
      <w:numFmt w:val="bullet"/>
      <w:start w:val="1"/>
    </w:lvl>
  </w:abstractNum>
  <w:abstractNum w:abstractNumId="47">
    <w:nsid w:val="749ABB43"/>
    <w:multiLevelType w:val="hybridMultilevel"/>
    <w:lvl w:ilvl="0">
      <w:lvlJc w:val="left"/>
      <w:lvlText w:val="(%1)"/>
      <w:numFmt w:val="decimal"/>
      <w:start w:val="1"/>
    </w:lvl>
  </w:abstractNum>
  <w:abstractNum w:abstractNumId="48">
    <w:nsid w:val="3DC240FB"/>
    <w:multiLevelType w:val="hybridMultilevel"/>
    <w:lvl w:ilvl="0">
      <w:lvlJc w:val="left"/>
      <w:lvlText w:val="%1."/>
      <w:numFmt w:val="decimal"/>
      <w:start w:val="1"/>
    </w:lvl>
    <w:lvl w:ilvl="1">
      <w:lvlJc w:val="left"/>
      <w:lvlText w:val="(%2)"/>
      <w:numFmt w:val="lowerLetter"/>
      <w:start w:val="1"/>
    </w:lvl>
  </w:abstractNum>
  <w:abstractNum w:abstractNumId="49">
    <w:nsid w:val="1BA026FA"/>
    <w:multiLevelType w:val="hybridMultilevel"/>
    <w:lvl w:ilvl="0">
      <w:lvlJc w:val="left"/>
      <w:lvlText w:val="%1."/>
      <w:numFmt w:val="decimal"/>
      <w:start w:val="1"/>
    </w:lvl>
    <w:lvl w:ilvl="1">
      <w:lvlJc w:val="left"/>
      <w:lvlText w:val="(%2)"/>
      <w:numFmt w:val="lowerLetter"/>
      <w:start w:val="1"/>
    </w:lvl>
  </w:abstractNum>
  <w:abstractNum w:abstractNumId="50">
    <w:nsid w:val="79A1DEAA"/>
    <w:multiLevelType w:val="hybridMultilevel"/>
    <w:lvl w:ilvl="0">
      <w:lvlJc w:val="left"/>
      <w:lvlText w:val="(%1)"/>
      <w:numFmt w:val="decimal"/>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95" Type="http://schemas.openxmlformats.org/officeDocument/2006/relationships/image" Target="media/image80.png"/><Relationship Id="rId96" Type="http://schemas.openxmlformats.org/officeDocument/2006/relationships/image" Target="media/image81.png"/><Relationship Id="rId97" Type="http://schemas.openxmlformats.org/officeDocument/2006/relationships/image" Target="media/image82.png"/><Relationship Id="rId98" Type="http://schemas.openxmlformats.org/officeDocument/2006/relationships/image" Target="media/image83.png"/><Relationship Id="rId99" Type="http://schemas.openxmlformats.org/officeDocument/2006/relationships/image" Target="media/image84.png"/><Relationship Id="rId100" Type="http://schemas.openxmlformats.org/officeDocument/2006/relationships/image" Target="media/image85.png"/><Relationship Id="rId101" Type="http://schemas.openxmlformats.org/officeDocument/2006/relationships/image" Target="media/image86.png"/><Relationship Id="rId87" Type="http://schemas.openxmlformats.org/officeDocument/2006/relationships/hyperlink" Target="http://www.sec.gov/Archives/edgar/data/1546417/000119312520139247/d905014dex41.htm" TargetMode="External"/><Relationship Id="rId88" Type="http://schemas.openxmlformats.org/officeDocument/2006/relationships/hyperlink" Target="https://www.sec.gov/Archives/edgar/data/1546417/000119312520139247/d905014dex41.htm" TargetMode="External"/><Relationship Id="rId89" Type="http://schemas.openxmlformats.org/officeDocument/2006/relationships/hyperlink" Target="https://www.sec.gov/Archives/edgar/data/1546417/000154641720000067/blmn-32920ex104.htm" TargetMode="External"/><Relationship Id="rId90" Type="http://schemas.openxmlformats.org/officeDocument/2006/relationships/hyperlink" Target="https://www.sec.gov/Archives/edgar/data/1546417/000154641720000054/ex101-janapartnersagre.htm" TargetMode="External"/><Relationship Id="rId91" Type="http://schemas.openxmlformats.org/officeDocument/2006/relationships/hyperlink" Target="https://www.sec.gov/Archives/edgar/data/1546417/000119312520133026/d919299dex101.htm" TargetMode="External"/><Relationship Id="rId92" Type="http://schemas.openxmlformats.org/officeDocument/2006/relationships/hyperlink" Target="https://www.sec.gov/Archives/edgar/data/1546417/000119312520139247/d905014dex101.htm" TargetMode="External"/><Relationship Id="rId93" Type="http://schemas.openxmlformats.org/officeDocument/2006/relationships/hyperlink" Target="https://www.sec.gov/Archives/edgar/data/1546417/000119312520139247/d905014dex102.htm" TargetMode="External"/><Relationship Id="rId94" Type="http://schemas.openxmlformats.org/officeDocument/2006/relationships/hyperlink" Target="https://www.sec.gov/Archives/edgar/data/1546417/000154641720000067/blmn-32920ex10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2020-07-31T15:11:48Z</dcterms:created>
  <dcterms:modified xsi:type="dcterms:W3CDTF">2020-07-31T15:11:48Z</dcterms:modified>
</cp:coreProperties>
</file>