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6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17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(Mark One)</w:t>
      </w:r>
    </w:p>
    <w:p>
      <w:pPr>
        <w:ind w:left="1180" w:hanging="747"/>
        <w:spacing w:after="0" w:line="181" w:lineRule="auto"/>
        <w:tabs>
          <w:tab w:leader="none" w:pos="1180" w:val="left"/>
        </w:tabs>
        <w:numPr>
          <w:ilvl w:val="0"/>
          <w:numId w:val="1"/>
        </w:numPr>
        <w:rPr>
          <w:rFonts w:ascii="MS PGothic" w:cs="MS PGothic" w:eastAsia="MS PGothic" w:hAnsi="MS PGothic"/>
          <w:sz w:val="41"/>
          <w:szCs w:val="41"/>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98" w:lineRule="exact"/>
        <w:rPr>
          <w:sz w:val="24"/>
          <w:szCs w:val="24"/>
          <w:color w:val="auto"/>
        </w:rPr>
      </w:pPr>
    </w:p>
    <w:p>
      <w:pPr>
        <w:ind w:left="1180"/>
        <w:spacing w:after="0"/>
        <w:tabs>
          <w:tab w:leader="none" w:pos="3560" w:val="left"/>
        </w:tabs>
        <w:rPr>
          <w:sz w:val="20"/>
          <w:szCs w:val="20"/>
          <w:color w:val="auto"/>
        </w:rPr>
      </w:pPr>
      <w:r>
        <w:rPr>
          <w:rFonts w:ascii="Arial" w:cs="Arial" w:eastAsia="Arial" w:hAnsi="Arial"/>
          <w:sz w:val="20"/>
          <w:szCs w:val="20"/>
          <w:color w:val="auto"/>
        </w:rPr>
        <w:t>For the fiscal year ended</w:t>
      </w:r>
      <w:r>
        <w:rPr>
          <w:sz w:val="20"/>
          <w:szCs w:val="20"/>
          <w:color w:val="auto"/>
        </w:rPr>
        <w:tab/>
      </w:r>
      <w:r>
        <w:rPr>
          <w:rFonts w:ascii="Arial" w:cs="Arial" w:eastAsia="Arial" w:hAnsi="Arial"/>
          <w:sz w:val="16"/>
          <w:szCs w:val="16"/>
          <w:color w:val="auto"/>
        </w:rPr>
        <w:t>December 29, 2019</w:t>
      </w:r>
    </w:p>
    <w:p>
      <w:pPr>
        <w:spacing w:after="0" w:line="38" w:lineRule="exact"/>
        <w:rPr>
          <w:sz w:val="24"/>
          <w:szCs w:val="24"/>
          <w:color w:val="auto"/>
        </w:rPr>
      </w:pPr>
    </w:p>
    <w:p>
      <w:pPr>
        <w:ind w:left="6200"/>
        <w:spacing w:after="0"/>
        <w:rPr>
          <w:sz w:val="20"/>
          <w:szCs w:val="20"/>
          <w:color w:val="auto"/>
        </w:rPr>
      </w:pPr>
      <w:r>
        <w:rPr>
          <w:rFonts w:ascii="Arial" w:cs="Arial" w:eastAsia="Arial" w:hAnsi="Arial"/>
          <w:sz w:val="20"/>
          <w:szCs w:val="20"/>
          <w:color w:val="auto"/>
        </w:rPr>
        <w:t>or</w:t>
      </w:r>
    </w:p>
    <w:p>
      <w:pPr>
        <w:ind w:left="1180" w:hanging="747"/>
        <w:spacing w:after="0" w:line="182" w:lineRule="auto"/>
        <w:tabs>
          <w:tab w:leader="none" w:pos="118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98" w:lineRule="exact"/>
        <w:rPr>
          <w:sz w:val="24"/>
          <w:szCs w:val="24"/>
          <w:color w:val="auto"/>
        </w:rPr>
      </w:pPr>
    </w:p>
    <w:p>
      <w:pPr>
        <w:ind w:left="1180"/>
        <w:spacing w:after="0"/>
        <w:rPr>
          <w:sz w:val="20"/>
          <w:szCs w:val="20"/>
          <w:color w:val="auto"/>
        </w:rPr>
      </w:pPr>
      <w:r>
        <w:rPr>
          <w:rFonts w:ascii="Arial" w:cs="Arial" w:eastAsia="Arial" w:hAnsi="Arial"/>
          <w:sz w:val="20"/>
          <w:szCs w:val="20"/>
          <w:color w:val="auto"/>
        </w:rPr>
        <w:t>For the transition period from ______ to ______</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8"/>
          <w:szCs w:val="18"/>
          <w:color w:val="auto"/>
        </w:rPr>
        <w:t>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135255</wp:posOffset>
            </wp:positionV>
            <wp:extent cx="866140"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BLOOMIN’ BRANDS, INC.</w:t>
      </w:r>
    </w:p>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40"/>
          </w:cols>
          <w:pgMar w:left="240" w:top="549" w:right="319" w:bottom="360" w:gutter="0" w:footer="0" w:header="0"/>
        </w:sectPr>
      </w:pPr>
    </w:p>
    <w:p>
      <w:pPr>
        <w:spacing w:after="0" w:line="190"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20-8023465</w:t>
      </w:r>
    </w:p>
    <w:p>
      <w:pPr>
        <w:spacing w:after="0" w:line="86" w:lineRule="exact"/>
        <w:rPr>
          <w:sz w:val="24"/>
          <w:szCs w:val="24"/>
          <w:color w:val="auto"/>
        </w:rPr>
      </w:pPr>
    </w:p>
    <w:p>
      <w:pPr>
        <w:sectPr>
          <w:pgSz w:w="11900" w:h="16838" w:orient="portrait"/>
          <w:cols w:equalWidth="0" w:num="2">
            <w:col w:w="7700" w:space="720"/>
            <w:col w:w="2920"/>
          </w:cols>
          <w:pgMar w:left="240" w:top="549" w:right="319" w:bottom="360" w:gutter="0" w:footer="0" w:header="0"/>
          <w:type w:val="continuous"/>
        </w:sectPr>
      </w:pPr>
    </w:p>
    <w:p>
      <w:pPr>
        <w:ind w:left="86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21" w:lineRule="exact"/>
        <w:rPr>
          <w:sz w:val="24"/>
          <w:szCs w:val="24"/>
          <w:color w:val="auto"/>
        </w:rPr>
      </w:pPr>
    </w:p>
    <w:p>
      <w:pPr>
        <w:sectPr>
          <w:pgSz w:w="11900" w:h="16838" w:orient="portrait"/>
          <w:cols w:equalWidth="0" w:num="2">
            <w:col w:w="7600" w:space="720"/>
            <w:col w:w="3020"/>
          </w:cols>
          <w:pgMar w:left="240" w:top="549" w:right="319" w:bottom="36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2202 North West Shore Boulevard, Suite 500, Tampa, FL 33607</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offices) (Zip Code)</w:t>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(813) 282-1225</w:t>
      </w:r>
    </w:p>
    <w:p>
      <w:pPr>
        <w:sectPr>
          <w:pgSz w:w="11900" w:h="16838" w:orient="portrait"/>
          <w:cols w:equalWidth="0" w:num="1">
            <w:col w:w="11340"/>
          </w:cols>
          <w:pgMar w:left="240" w:top="549" w:right="319" w:bottom="36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14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spacing w:after="0" w:line="440" w:lineRule="auto"/>
        <w:rPr>
          <w:sz w:val="20"/>
          <w:szCs w:val="20"/>
          <w:color w:val="auto"/>
        </w:rPr>
      </w:pPr>
      <w:r>
        <w:rPr>
          <w:rFonts w:ascii="Arial" w:cs="Arial" w:eastAsia="Arial" w:hAnsi="Arial"/>
          <w:sz w:val="16"/>
          <w:szCs w:val="16"/>
          <w:color w:val="auto"/>
        </w:rPr>
        <w:t>(Registrant’s telephone number, including area code) Securities registered pursuant to Section 12(b) of the Act: Trading Symbol(s)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05" w:lineRule="exact"/>
        <w:rPr>
          <w:sz w:val="24"/>
          <w:szCs w:val="24"/>
          <w:color w:val="auto"/>
        </w:rPr>
      </w:pPr>
    </w:p>
    <w:p>
      <w:pPr>
        <w:sectPr>
          <w:pgSz w:w="11900" w:h="16838" w:orient="portrait"/>
          <w:cols w:equalWidth="0" w:num="3">
            <w:col w:w="3120" w:space="720"/>
            <w:col w:w="3740" w:space="360"/>
            <w:col w:w="3400"/>
          </w:cols>
          <w:pgMar w:left="240" w:top="549" w:right="319" w:bottom="360" w:gutter="0" w:footer="0" w:header="0"/>
          <w:type w:val="continuous"/>
        </w:sectPr>
      </w:pPr>
    </w:p>
    <w:p>
      <w:pPr>
        <w:ind w:left="860"/>
        <w:spacing w:after="0"/>
        <w:rPr>
          <w:sz w:val="20"/>
          <w:szCs w:val="20"/>
          <w:color w:val="auto"/>
        </w:rPr>
      </w:pPr>
      <w:r>
        <w:rPr>
          <w:rFonts w:ascii="Arial" w:cs="Arial" w:eastAsia="Arial" w:hAnsi="Arial"/>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Stock Market LLC</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(Nasdaq Global Select Market)</w:t>
      </w:r>
    </w:p>
    <w:p>
      <w:pPr>
        <w:spacing w:after="0" w:line="200" w:lineRule="exact"/>
        <w:rPr>
          <w:sz w:val="24"/>
          <w:szCs w:val="24"/>
          <w:color w:val="auto"/>
        </w:rPr>
      </w:pPr>
    </w:p>
    <w:p>
      <w:pPr>
        <w:sectPr>
          <w:pgSz w:w="11900" w:h="16838" w:orient="portrait"/>
          <w:cols w:equalWidth="0" w:num="3">
            <w:col w:w="4700" w:space="720"/>
            <w:col w:w="2120" w:space="720"/>
            <w:col w:w="3080"/>
          </w:cols>
          <w:pgMar w:left="240" w:top="549" w:right="319" w:bottom="360" w:gutter="0" w:footer="0" w:header="0"/>
          <w:type w:val="continuous"/>
        </w:sectPr>
      </w:pP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44"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25"/>
          <w:szCs w:val="25"/>
          <w:color w:val="auto"/>
        </w:rPr>
        <w:t>Yes</w:t>
      </w:r>
      <w:r>
        <w:rPr>
          <w:rFonts w:ascii="Arial" w:cs="Arial" w:eastAsia="Arial" w:hAnsi="Arial"/>
          <w:sz w:val="18"/>
          <w:szCs w:val="18"/>
          <w:color w:val="auto"/>
        </w:rPr>
        <w:t xml:space="preserve">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53"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343" w:lineRule="exact"/>
        <w:rPr>
          <w:sz w:val="24"/>
          <w:szCs w:val="24"/>
          <w:color w:val="auto"/>
        </w:rPr>
      </w:pPr>
    </w:p>
    <w:p>
      <w:pPr>
        <w:ind w:right="400"/>
        <w:spacing w:after="0" w:line="3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25"/>
          <w:szCs w:val="25"/>
          <w:color w:val="auto"/>
        </w:rPr>
        <w:t>Yes</w:t>
      </w:r>
      <w:r>
        <w:rPr>
          <w:rFonts w:ascii="Arial" w:cs="Arial" w:eastAsia="Arial" w:hAnsi="Arial"/>
          <w:sz w:val="18"/>
          <w:szCs w:val="18"/>
          <w:color w:val="auto"/>
        </w:rPr>
        <w:t xml:space="preserve">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34" w:lineRule="exact"/>
        <w:rPr>
          <w:sz w:val="24"/>
          <w:szCs w:val="24"/>
          <w:color w:val="auto"/>
        </w:rPr>
      </w:pPr>
    </w:p>
    <w:p>
      <w:pPr>
        <w:ind w:right="220"/>
        <w:spacing w:after="0" w:line="3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88" w:lineRule="exact"/>
        <w:rPr>
          <w:sz w:val="20"/>
          <w:szCs w:val="20"/>
          <w:color w:val="auto"/>
        </w:rPr>
      </w:pPr>
      <w:r>
        <w:rPr>
          <w:rFonts w:ascii="Arial" w:cs="Arial" w:eastAsia="Arial" w:hAnsi="Arial"/>
          <w:sz w:val="25"/>
          <w:szCs w:val="25"/>
          <w:color w:val="auto"/>
        </w:rPr>
        <w:t xml:space="preserve">Yes </w:t>
      </w:r>
      <w:r>
        <w:rPr>
          <w:rFonts w:ascii="MS PGothic" w:cs="MS PGothic" w:eastAsia="MS PGothic" w:hAnsi="MS PGothic"/>
          <w:sz w:val="25"/>
          <w:szCs w:val="25"/>
          <w:color w:val="auto"/>
        </w:rPr>
        <w:t>☒</w:t>
      </w:r>
      <w:r>
        <w:rPr>
          <w:rFonts w:ascii="Arial" w:cs="Arial" w:eastAsia="Arial" w:hAnsi="Arial"/>
          <w:sz w:val="25"/>
          <w:szCs w:val="25"/>
          <w:color w:val="auto"/>
        </w:rPr>
        <w:t xml:space="preserve"> </w:t>
      </w:r>
      <w:r>
        <w:rPr>
          <w:rFonts w:ascii="Arial" w:cs="Arial" w:eastAsia="Arial" w:hAnsi="Arial"/>
          <w:sz w:val="18"/>
          <w:szCs w:val="18"/>
          <w:color w:val="auto"/>
        </w:rPr>
        <w:t>No</w:t>
      </w:r>
      <w:r>
        <w:rPr>
          <w:rFonts w:ascii="Arial" w:cs="Arial" w:eastAsia="Arial" w:hAnsi="Arial"/>
          <w:sz w:val="25"/>
          <w:szCs w:val="25"/>
          <w:color w:val="auto"/>
        </w:rPr>
        <w:t xml:space="preserve"> </w:t>
      </w:r>
      <w:r>
        <w:rPr>
          <w:rFonts w:ascii="MS PGothic" w:cs="MS PGothic" w:eastAsia="MS PGothic" w:hAnsi="MS PGothic"/>
          <w:sz w:val="25"/>
          <w:szCs w:val="25"/>
          <w:color w:val="auto"/>
        </w:rPr>
        <w:t>☐</w:t>
      </w:r>
    </w:p>
    <w:p>
      <w:pPr>
        <w:spacing w:after="0" w:line="279"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p>
      <w:pPr>
        <w:jc w:val="center"/>
        <w:ind w:right="-79"/>
        <w:spacing w:after="0" w:line="288"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Non-accelerated Filer </w:t>
      </w:r>
      <w:r>
        <w:rPr>
          <w:rFonts w:ascii="MS PGothic" w:cs="MS PGothic" w:eastAsia="MS PGothic" w:hAnsi="MS PGothic"/>
          <w:sz w:val="25"/>
          <w:szCs w:val="25"/>
          <w:color w:val="auto"/>
        </w:rPr>
        <w:t>☐</w:t>
      </w:r>
    </w:p>
    <w:p>
      <w:pPr>
        <w:spacing w:after="0" w:line="97" w:lineRule="exact"/>
        <w:rPr>
          <w:sz w:val="24"/>
          <w:szCs w:val="24"/>
          <w:color w:val="auto"/>
        </w:rPr>
      </w:pPr>
    </w:p>
    <w:p>
      <w:pPr>
        <w:jc w:val="center"/>
        <w:ind w:right="-79"/>
        <w:spacing w:after="0" w:line="288"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25"/>
          <w:szCs w:val="25"/>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25"/>
          <w:szCs w:val="25"/>
          <w:color w:val="auto"/>
        </w:rPr>
        <w:t>☐</w:t>
      </w:r>
    </w:p>
    <w:p>
      <w:pPr>
        <w:sectPr>
          <w:pgSz w:w="11900" w:h="16838" w:orient="portrait"/>
          <w:cols w:equalWidth="0" w:num="1">
            <w:col w:w="11340"/>
          </w:cols>
          <w:pgMar w:left="240" w:top="549" w:right="319" w:bottom="360" w:gutter="0" w:footer="0" w:header="0"/>
          <w:type w:val="continuous"/>
        </w:sectPr>
      </w:pPr>
    </w:p>
    <w:bookmarkStart w:id="1" w:name="page2"/>
    <w:bookmarkEnd w:id="1"/>
    <w:p>
      <w:pPr>
        <w:ind w:right="80"/>
        <w:spacing w:after="0" w:line="30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pacing w:after="0" w:line="143" w:lineRule="exact"/>
        <w:rPr>
          <w:sz w:val="20"/>
          <w:szCs w:val="20"/>
          <w:color w:val="auto"/>
        </w:rPr>
      </w:pPr>
    </w:p>
    <w:p>
      <w:pPr>
        <w:spacing w:after="0" w:line="28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3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aggregate market value of common stock held by non-affiliates (based on the closing price on the last business day of the registrant’s most recently completed second fiscal quarter as reported on the Nasdaq Global Select Market) was $1.6 billion.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21, 2020, 87,030,130 shares of common stock of the registrant were outstanding.</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definitive Proxy Statement for its 2020 Annual Meeting of Stockholders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66" w:right="299" w:bottom="1440" w:gutter="0" w:footer="0" w:header="0"/>
        </w:sectPr>
      </w:pPr>
    </w:p>
    <w:bookmarkStart w:id="2" w:name="page3"/>
    <w:bookmarkEnd w:id="2"/>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7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3060"/>
              <w:spacing w:after="0"/>
              <w:rPr>
                <w:sz w:val="20"/>
                <w:szCs w:val="20"/>
                <w:color w:val="auto"/>
              </w:rPr>
            </w:pPr>
            <w:r>
              <w:rPr>
                <w:rFonts w:ascii="Arial" w:cs="Arial" w:eastAsia="Arial" w:hAnsi="Arial"/>
                <w:sz w:val="20"/>
                <w:szCs w:val="20"/>
                <w:b w:val="1"/>
                <w:bCs w:val="1"/>
                <w:color w:val="auto"/>
                <w:w w:val="99"/>
              </w:rPr>
              <w:t>BLOOMIN’ BRANDS, INC.</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40" w:type="dxa"/>
            <w:vAlign w:val="bottom"/>
            <w:gridSpan w:val="7"/>
          </w:tcPr>
          <w:p>
            <w:pPr>
              <w:jc w:val="center"/>
              <w:ind w:right="2280"/>
              <w:spacing w:after="0"/>
              <w:rPr>
                <w:sz w:val="20"/>
                <w:szCs w:val="20"/>
                <w:color w:val="auto"/>
              </w:rPr>
            </w:pPr>
            <w:r>
              <w:rPr>
                <w:rFonts w:ascii="Arial" w:cs="Arial" w:eastAsia="Arial" w:hAnsi="Arial"/>
                <w:sz w:val="20"/>
                <w:szCs w:val="20"/>
                <w:b w:val="1"/>
                <w:bCs w:val="1"/>
                <w:color w:val="auto"/>
                <w:w w:val="99"/>
              </w:rPr>
              <w:t>INDEX TO ANNUAL REPORT ON FORM 10-K</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80" w:type="dxa"/>
            <w:vAlign w:val="bottom"/>
            <w:gridSpan w:val="6"/>
          </w:tcPr>
          <w:p>
            <w:pPr>
              <w:jc w:val="center"/>
              <w:ind w:right="3060"/>
              <w:spacing w:after="0"/>
              <w:rPr>
                <w:sz w:val="20"/>
                <w:szCs w:val="20"/>
                <w:color w:val="auto"/>
              </w:rPr>
            </w:pPr>
            <w:r>
              <w:rPr>
                <w:rFonts w:ascii="Arial" w:cs="Arial" w:eastAsia="Arial" w:hAnsi="Arial"/>
                <w:sz w:val="20"/>
                <w:szCs w:val="20"/>
                <w:b w:val="1"/>
                <w:bCs w:val="1"/>
                <w:color w:val="auto"/>
                <w:w w:val="89"/>
              </w:rPr>
              <w:t>For Fiscal Year 2019</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3040"/>
              <w:spacing w:after="0"/>
              <w:rPr>
                <w:sz w:val="20"/>
                <w:szCs w:val="20"/>
                <w:color w:val="auto"/>
              </w:rPr>
            </w:pPr>
            <w:r>
              <w:rPr>
                <w:rFonts w:ascii="Arial" w:cs="Arial" w:eastAsia="Arial" w:hAnsi="Arial"/>
                <w:sz w:val="20"/>
                <w:szCs w:val="20"/>
                <w:b w:val="1"/>
                <w:bCs w:val="1"/>
                <w:color w:val="auto"/>
                <w:w w:val="98"/>
              </w:rPr>
              <w:t>TABLE OF CONTENTS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40" w:type="dxa"/>
            <w:vAlign w:val="bottom"/>
            <w:gridSpan w:val="5"/>
          </w:tcPr>
          <w:p>
            <w:pPr>
              <w:ind w:left="24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80" w:type="dxa"/>
            <w:vAlign w:val="bottom"/>
            <w:gridSpan w:val="6"/>
            <w:vMerge w:val="restart"/>
          </w:tcPr>
          <w:p>
            <w:pPr>
              <w:jc w:val="center"/>
              <w:ind w:right="4300"/>
              <w:spacing w:after="0"/>
              <w:rPr>
                <w:sz w:val="20"/>
                <w:szCs w:val="20"/>
                <w:color w:val="auto"/>
              </w:rPr>
            </w:pPr>
            <w:r>
              <w:rPr>
                <w:rFonts w:ascii="Arial" w:cs="Arial" w:eastAsia="Arial" w:hAnsi="Arial"/>
                <w:sz w:val="16"/>
                <w:szCs w:val="16"/>
                <w:b w:val="1"/>
                <w:bCs w:val="1"/>
                <w:color w:val="auto"/>
              </w:rPr>
              <w:t>PART I</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80" w:type="dxa"/>
            <w:vAlign w:val="bottom"/>
            <w:gridSpan w:val="6"/>
            <w:vMerge w:val="continue"/>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80" w:type="dxa"/>
            <w:vAlign w:val="bottom"/>
            <w:gridSpan w:val="4"/>
          </w:tcPr>
          <w:p>
            <w:pPr>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Item 1. Business</w:t>
              </w:r>
            </w:hyperlink>
          </w:p>
        </w:tc>
        <w:tc>
          <w:tcPr>
            <w:tcW w:w="9060" w:type="dxa"/>
            <w:vAlign w:val="bottom"/>
            <w:gridSpan w:val="19"/>
          </w:tcPr>
          <w:p>
            <w:pPr>
              <w:spacing w:after="0"/>
              <w:rPr>
                <w:sz w:val="19"/>
                <w:szCs w:val="19"/>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6">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6"/>
          </w:tcPr>
          <w:p>
            <w:pPr>
              <w:spacing w:after="0"/>
              <w:rPr>
                <w:rFonts w:ascii="Arial" w:cs="Arial" w:eastAsia="Arial" w:hAnsi="Arial"/>
                <w:sz w:val="16"/>
                <w:szCs w:val="16"/>
                <w:color w:val="0000EE"/>
                <w:w w:val="92"/>
              </w:rPr>
            </w:pPr>
            <w:hyperlink w:anchor="page14">
              <w:r>
                <w:rPr>
                  <w:rFonts w:ascii="Arial" w:cs="Arial" w:eastAsia="Arial" w:hAnsi="Arial"/>
                  <w:sz w:val="16"/>
                  <w:szCs w:val="16"/>
                  <w:color w:val="0000EE"/>
                  <w:w w:val="92"/>
                </w:rPr>
                <w:t>Item 1A. Risk Factors</w:t>
              </w:r>
            </w:hyperlink>
          </w:p>
        </w:tc>
        <w:tc>
          <w:tcPr>
            <w:tcW w:w="8360" w:type="dxa"/>
            <w:vAlign w:val="bottom"/>
            <w:gridSpan w:val="16"/>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4">
              <w:r>
                <w:rPr>
                  <w:rFonts w:ascii="Arial" w:cs="Arial" w:eastAsia="Arial" w:hAnsi="Arial"/>
                  <w:sz w:val="16"/>
                  <w:szCs w:val="16"/>
                  <w:color w:val="0000EE"/>
                </w:rPr>
                <w:t>13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gridSpan w:val="12"/>
          </w:tcPr>
          <w:p>
            <w:pPr>
              <w:spacing w:after="0"/>
              <w:rPr>
                <w:rFonts w:ascii="Arial" w:cs="Arial" w:eastAsia="Arial" w:hAnsi="Arial"/>
                <w:sz w:val="16"/>
                <w:szCs w:val="16"/>
                <w:color w:val="0000EE"/>
                <w:w w:val="92"/>
              </w:rPr>
            </w:pPr>
            <w:hyperlink w:anchor="page28">
              <w:r>
                <w:rPr>
                  <w:rFonts w:ascii="Arial" w:cs="Arial" w:eastAsia="Arial" w:hAnsi="Arial"/>
                  <w:sz w:val="16"/>
                  <w:szCs w:val="16"/>
                  <w:color w:val="0000EE"/>
                  <w:w w:val="92"/>
                </w:rPr>
                <w:t>Item 1B. Unresolved Staff Comments</w:t>
              </w:r>
            </w:hyperlink>
          </w:p>
        </w:tc>
        <w:tc>
          <w:tcPr>
            <w:tcW w:w="7340" w:type="dxa"/>
            <w:vAlign w:val="bottom"/>
            <w:gridSpan w:val="10"/>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160" w:type="dxa"/>
            <w:vAlign w:val="bottom"/>
            <w:gridSpan w:val="5"/>
          </w:tcPr>
          <w:p>
            <w:pPr>
              <w:spacing w:after="0"/>
              <w:rPr>
                <w:rFonts w:ascii="Arial" w:cs="Arial" w:eastAsia="Arial" w:hAnsi="Arial"/>
                <w:sz w:val="16"/>
                <w:szCs w:val="16"/>
                <w:color w:val="0000EE"/>
                <w:w w:val="90"/>
              </w:rPr>
            </w:pPr>
            <w:hyperlink w:anchor="page28">
              <w:r>
                <w:rPr>
                  <w:rFonts w:ascii="Arial" w:cs="Arial" w:eastAsia="Arial" w:hAnsi="Arial"/>
                  <w:sz w:val="16"/>
                  <w:szCs w:val="16"/>
                  <w:color w:val="0000EE"/>
                  <w:w w:val="90"/>
                </w:rPr>
                <w:t>Item 2. Properties</w:t>
              </w:r>
            </w:hyperlink>
          </w:p>
        </w:tc>
        <w:tc>
          <w:tcPr>
            <w:tcW w:w="8980" w:type="dxa"/>
            <w:vAlign w:val="bottom"/>
            <w:gridSpan w:val="18"/>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gridSpan w:val="6"/>
          </w:tcPr>
          <w:p>
            <w:pPr>
              <w:spacing w:after="0"/>
              <w:rPr>
                <w:rFonts w:ascii="Arial" w:cs="Arial" w:eastAsia="Arial" w:hAnsi="Arial"/>
                <w:sz w:val="16"/>
                <w:szCs w:val="16"/>
                <w:color w:val="0000EE"/>
                <w:w w:val="90"/>
              </w:rPr>
            </w:pPr>
            <w:hyperlink w:anchor="page28">
              <w:r>
                <w:rPr>
                  <w:rFonts w:ascii="Arial" w:cs="Arial" w:eastAsia="Arial" w:hAnsi="Arial"/>
                  <w:sz w:val="16"/>
                  <w:szCs w:val="16"/>
                  <w:color w:val="0000EE"/>
                  <w:w w:val="90"/>
                </w:rPr>
                <w:t>Item 3. Legal Proceedings</w:t>
              </w:r>
            </w:hyperlink>
          </w:p>
        </w:tc>
        <w:tc>
          <w:tcPr>
            <w:tcW w:w="8440" w:type="dxa"/>
            <w:vAlign w:val="bottom"/>
            <w:gridSpan w:val="17"/>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140" w:type="dxa"/>
            <w:vAlign w:val="bottom"/>
            <w:gridSpan w:val="23"/>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Item 4. Mine Safety Disclosures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4300"/>
              <w:spacing w:after="0"/>
              <w:rPr>
                <w:sz w:val="20"/>
                <w:szCs w:val="20"/>
                <w:color w:val="auto"/>
              </w:rPr>
            </w:pPr>
            <w:r>
              <w:rPr>
                <w:rFonts w:ascii="Arial" w:cs="Arial" w:eastAsia="Arial" w:hAnsi="Arial"/>
                <w:sz w:val="16"/>
                <w:szCs w:val="16"/>
                <w:b w:val="1"/>
                <w:bCs w:val="1"/>
                <w:color w:val="auto"/>
              </w:rPr>
              <w:t>PART II</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Item 5. Market for Registrant’s Common Equity, Related Stockholder Matters and Issuer Purchases of Equity Securities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29">
              <w:r>
                <w:rPr>
                  <w:rFonts w:ascii="Arial" w:cs="Arial" w:eastAsia="Arial" w:hAnsi="Arial"/>
                  <w:sz w:val="16"/>
                  <w:szCs w:val="16"/>
                  <w:color w:val="0000EE"/>
                </w:rPr>
                <w:t>28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040" w:type="dxa"/>
            <w:vAlign w:val="bottom"/>
            <w:gridSpan w:val="8"/>
          </w:tcPr>
          <w:p>
            <w:pPr>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Item 6. Selected Financial Data</w:t>
              </w:r>
            </w:hyperlink>
          </w:p>
        </w:tc>
        <w:tc>
          <w:tcPr>
            <w:tcW w:w="5720" w:type="dxa"/>
            <w:vAlign w:val="bottom"/>
            <w:gridSpan w:val="14"/>
          </w:tcPr>
          <w:p>
            <w:pPr>
              <w:spacing w:after="0"/>
              <w:rPr>
                <w:sz w:val="20"/>
                <w:szCs w:val="20"/>
                <w:color w:val="auto"/>
              </w:rPr>
            </w:pPr>
          </w:p>
        </w:tc>
        <w:tc>
          <w:tcPr>
            <w:tcW w:w="2380" w:type="dxa"/>
            <w:vAlign w:val="bottom"/>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31">
              <w:r>
                <w:rPr>
                  <w:rFonts w:ascii="Arial" w:cs="Arial" w:eastAsia="Arial" w:hAnsi="Arial"/>
                  <w:sz w:val="16"/>
                  <w:szCs w:val="16"/>
                  <w:color w:val="0000EE"/>
                </w:rPr>
                <w:t>30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320" w:type="dxa"/>
            <w:vAlign w:val="bottom"/>
            <w:gridSpan w:val="20"/>
          </w:tcPr>
          <w:p>
            <w:pPr>
              <w:spacing w:after="0"/>
              <w:rPr>
                <w:rFonts w:ascii="Arial" w:cs="Arial" w:eastAsia="Arial" w:hAnsi="Arial"/>
                <w:sz w:val="16"/>
                <w:szCs w:val="16"/>
                <w:color w:val="0000EE"/>
                <w:w w:val="92"/>
              </w:rPr>
            </w:pPr>
            <w:hyperlink w:anchor="page32">
              <w:r>
                <w:rPr>
                  <w:rFonts w:ascii="Arial" w:cs="Arial" w:eastAsia="Arial" w:hAnsi="Arial"/>
                  <w:sz w:val="16"/>
                  <w:szCs w:val="16"/>
                  <w:color w:val="0000EE"/>
                  <w:w w:val="92"/>
                </w:rPr>
                <w:t>Item 7. Management’s Discussion and Analysis of Financial Condition and Results of Operations</w:t>
              </w:r>
            </w:hyperlink>
          </w:p>
        </w:tc>
        <w:tc>
          <w:tcPr>
            <w:tcW w:w="3820" w:type="dxa"/>
            <w:vAlign w:val="bottom"/>
            <w:gridSpan w:val="3"/>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32">
              <w:r>
                <w:rPr>
                  <w:rFonts w:ascii="Arial" w:cs="Arial" w:eastAsia="Arial" w:hAnsi="Arial"/>
                  <w:sz w:val="16"/>
                  <w:szCs w:val="16"/>
                  <w:color w:val="0000EE"/>
                </w:rPr>
                <w:t>31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80" w:type="dxa"/>
            <w:vAlign w:val="bottom"/>
            <w:gridSpan w:val="19"/>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Item 7A. Quantitative and Qualitative Disclosures About Market Risk</w:t>
              </w:r>
            </w:hyperlink>
          </w:p>
        </w:tc>
        <w:tc>
          <w:tcPr>
            <w:tcW w:w="3820" w:type="dxa"/>
            <w:vAlign w:val="bottom"/>
            <w:gridSpan w:val="3"/>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55">
              <w:r>
                <w:rPr>
                  <w:rFonts w:ascii="Arial" w:cs="Arial" w:eastAsia="Arial" w:hAnsi="Arial"/>
                  <w:sz w:val="16"/>
                  <w:szCs w:val="16"/>
                  <w:color w:val="0000EE"/>
                </w:rPr>
                <w:t>54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16"/>
          </w:tcPr>
          <w:p>
            <w:pPr>
              <w:spacing w:after="0"/>
              <w:rPr>
                <w:rFonts w:ascii="Arial" w:cs="Arial" w:eastAsia="Arial" w:hAnsi="Arial"/>
                <w:sz w:val="16"/>
                <w:szCs w:val="16"/>
                <w:color w:val="0000EE"/>
                <w:w w:val="90"/>
              </w:rPr>
            </w:pPr>
            <w:hyperlink w:anchor="page57">
              <w:r>
                <w:rPr>
                  <w:rFonts w:ascii="Arial" w:cs="Arial" w:eastAsia="Arial" w:hAnsi="Arial"/>
                  <w:sz w:val="16"/>
                  <w:szCs w:val="16"/>
                  <w:color w:val="0000EE"/>
                  <w:w w:val="90"/>
                </w:rPr>
                <w:t>Item 8. Financial Statements and Supplementary Data</w:t>
              </w:r>
            </w:hyperlink>
          </w:p>
        </w:tc>
        <w:tc>
          <w:tcPr>
            <w:tcW w:w="6640" w:type="dxa"/>
            <w:vAlign w:val="bottom"/>
            <w:gridSpan w:val="7"/>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57">
              <w:r>
                <w:rPr>
                  <w:rFonts w:ascii="Arial" w:cs="Arial" w:eastAsia="Arial" w:hAnsi="Arial"/>
                  <w:sz w:val="16"/>
                  <w:szCs w:val="16"/>
                  <w:color w:val="0000EE"/>
                </w:rPr>
                <w:t>56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140" w:type="dxa"/>
            <w:vAlign w:val="bottom"/>
            <w:gridSpan w:val="23"/>
          </w:tcPr>
          <w:p>
            <w:pPr>
              <w:spacing w:after="0"/>
              <w:rPr>
                <w:rFonts w:ascii="Arial" w:cs="Arial" w:eastAsia="Arial" w:hAnsi="Arial"/>
                <w:sz w:val="16"/>
                <w:szCs w:val="16"/>
                <w:color w:val="0000EE"/>
              </w:rPr>
            </w:pPr>
            <w:hyperlink w:anchor="page102">
              <w:r>
                <w:rPr>
                  <w:rFonts w:ascii="Arial" w:cs="Arial" w:eastAsia="Arial" w:hAnsi="Arial"/>
                  <w:sz w:val="16"/>
                  <w:szCs w:val="16"/>
                  <w:color w:val="0000EE"/>
                </w:rPr>
                <w:t>Item 9. Changes in and Disagreements with Accountants on Accounting and Financial Disclosure</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02">
              <w:r>
                <w:rPr>
                  <w:rFonts w:ascii="Arial" w:cs="Arial" w:eastAsia="Arial" w:hAnsi="Arial"/>
                  <w:sz w:val="16"/>
                  <w:szCs w:val="16"/>
                  <w:color w:val="0000EE"/>
                </w:rPr>
                <w:t>101</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22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1"/>
              </w:rPr>
            </w:pPr>
            <w:hyperlink w:anchor="page102">
              <w:r>
                <w:rPr>
                  <w:rFonts w:ascii="Arial" w:cs="Arial" w:eastAsia="Arial" w:hAnsi="Arial"/>
                  <w:sz w:val="16"/>
                  <w:szCs w:val="16"/>
                  <w:color w:val="0000EE"/>
                  <w:w w:val="91"/>
                </w:rPr>
                <w:t>Item 9A. Controls and Procedures</w:t>
              </w:r>
            </w:hyperlink>
          </w:p>
        </w:tc>
        <w:tc>
          <w:tcPr>
            <w:tcW w:w="3760" w:type="dxa"/>
            <w:vAlign w:val="bottom"/>
            <w:tcBorders>
              <w:top w:val="single" w:sz="8" w:color="0000EE"/>
            </w:tcBorders>
            <w:gridSpan w:val="8"/>
          </w:tcPr>
          <w:p>
            <w:pPr>
              <w:spacing w:after="0"/>
              <w:rPr>
                <w:sz w:val="20"/>
                <w:szCs w:val="20"/>
                <w:color w:val="auto"/>
              </w:rPr>
            </w:pPr>
          </w:p>
        </w:tc>
        <w:tc>
          <w:tcPr>
            <w:tcW w:w="3820" w:type="dxa"/>
            <w:vAlign w:val="bottom"/>
            <w:gridSpan w:val="3"/>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top w:val="single" w:sz="8" w:color="0000EE"/>
              <w:bottom w:val="single" w:sz="8" w:color="0000EE"/>
            </w:tcBorders>
            <w:gridSpan w:val="3"/>
          </w:tcPr>
          <w:p>
            <w:pPr>
              <w:jc w:val="right"/>
              <w:spacing w:after="0"/>
              <w:rPr>
                <w:rFonts w:ascii="Arial" w:cs="Arial" w:eastAsia="Arial" w:hAnsi="Arial"/>
                <w:sz w:val="16"/>
                <w:szCs w:val="16"/>
                <w:color w:val="0000EE"/>
                <w:w w:val="89"/>
              </w:rPr>
            </w:pPr>
            <w:hyperlink w:anchor="page102">
              <w:r>
                <w:rPr>
                  <w:rFonts w:ascii="Arial" w:cs="Arial" w:eastAsia="Arial" w:hAnsi="Arial"/>
                  <w:sz w:val="16"/>
                  <w:szCs w:val="16"/>
                  <w:color w:val="0000EE"/>
                  <w:w w:val="89"/>
                </w:rPr>
                <w:t>101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0" w:type="dxa"/>
            <w:vAlign w:val="bottom"/>
            <w:gridSpan w:val="22"/>
          </w:tcPr>
          <w:p>
            <w:pPr>
              <w:spacing w:after="0"/>
              <w:rPr>
                <w:rFonts w:ascii="Arial" w:cs="Arial" w:eastAsia="Arial" w:hAnsi="Arial"/>
                <w:sz w:val="16"/>
                <w:szCs w:val="16"/>
                <w:color w:val="0000EE"/>
              </w:rPr>
            </w:pPr>
            <w:hyperlink w:anchor="page102">
              <w:r>
                <w:rPr>
                  <w:rFonts w:ascii="Arial" w:cs="Arial" w:eastAsia="Arial" w:hAnsi="Arial"/>
                  <w:sz w:val="16"/>
                  <w:szCs w:val="16"/>
                  <w:color w:val="0000EE"/>
                </w:rPr>
                <w:t>Item 9B. Other Information</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02">
              <w:r>
                <w:rPr>
                  <w:rFonts w:ascii="Arial" w:cs="Arial" w:eastAsia="Arial" w:hAnsi="Arial"/>
                  <w:sz w:val="16"/>
                  <w:szCs w:val="16"/>
                  <w:color w:val="0000EE"/>
                </w:rPr>
                <w:t>101</w:t>
              </w:r>
            </w:hyperlink>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4300"/>
              <w:spacing w:after="0"/>
              <w:rPr>
                <w:sz w:val="20"/>
                <w:szCs w:val="20"/>
                <w:color w:val="auto"/>
              </w:rPr>
            </w:pPr>
            <w:r>
              <w:rPr>
                <w:rFonts w:ascii="Arial" w:cs="Arial" w:eastAsia="Arial" w:hAnsi="Arial"/>
                <w:sz w:val="16"/>
                <w:szCs w:val="16"/>
                <w:b w:val="1"/>
                <w:bCs w:val="1"/>
                <w:color w:val="auto"/>
              </w:rPr>
              <w:t>PART III</w:t>
            </w: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103">
              <w:r>
                <w:rPr>
                  <w:rFonts w:ascii="Arial" w:cs="Arial" w:eastAsia="Arial" w:hAnsi="Arial"/>
                  <w:sz w:val="16"/>
                  <w:szCs w:val="16"/>
                  <w:color w:val="0000EE"/>
                </w:rPr>
                <w:t>Item 10. Directors, Executive Officers and Corporate Governance</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03">
              <w:r>
                <w:rPr>
                  <w:rFonts w:ascii="Arial" w:cs="Arial" w:eastAsia="Arial" w:hAnsi="Arial"/>
                  <w:sz w:val="16"/>
                  <w:szCs w:val="16"/>
                  <w:color w:val="0000EE"/>
                </w:rPr>
                <w:t>102</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1"/>
              </w:rPr>
            </w:pPr>
            <w:hyperlink w:anchor="page103">
              <w:r>
                <w:rPr>
                  <w:rFonts w:ascii="Arial" w:cs="Arial" w:eastAsia="Arial" w:hAnsi="Arial"/>
                  <w:sz w:val="16"/>
                  <w:szCs w:val="16"/>
                  <w:color w:val="0000EE"/>
                  <w:w w:val="91"/>
                </w:rPr>
                <w:t>Item 11. Executive Compensation</w:t>
              </w:r>
            </w:hyperlink>
          </w:p>
        </w:tc>
        <w:tc>
          <w:tcPr>
            <w:tcW w:w="2060" w:type="dxa"/>
            <w:vAlign w:val="bottom"/>
            <w:tcBorders>
              <w:top w:val="single" w:sz="8" w:color="0000EE"/>
            </w:tcBorders>
            <w:gridSpan w:val="6"/>
          </w:tcPr>
          <w:p>
            <w:pPr>
              <w:spacing w:after="0"/>
              <w:rPr>
                <w:sz w:val="20"/>
                <w:szCs w:val="20"/>
                <w:color w:val="auto"/>
              </w:rPr>
            </w:pPr>
          </w:p>
        </w:tc>
        <w:tc>
          <w:tcPr>
            <w:tcW w:w="5880" w:type="dxa"/>
            <w:vAlign w:val="bottom"/>
            <w:gridSpan w:val="6"/>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top w:val="single" w:sz="8" w:color="0000EE"/>
              <w:bottom w:val="single" w:sz="8" w:color="0000EE"/>
            </w:tcBorders>
            <w:gridSpan w:val="3"/>
          </w:tcPr>
          <w:p>
            <w:pPr>
              <w:jc w:val="right"/>
              <w:spacing w:after="0"/>
              <w:rPr>
                <w:rFonts w:ascii="Arial" w:cs="Arial" w:eastAsia="Arial" w:hAnsi="Arial"/>
                <w:sz w:val="16"/>
                <w:szCs w:val="16"/>
                <w:color w:val="0000EE"/>
                <w:w w:val="89"/>
              </w:rPr>
            </w:pPr>
            <w:hyperlink w:anchor="page103">
              <w:r>
                <w:rPr>
                  <w:rFonts w:ascii="Arial" w:cs="Arial" w:eastAsia="Arial" w:hAnsi="Arial"/>
                  <w:sz w:val="16"/>
                  <w:szCs w:val="16"/>
                  <w:color w:val="0000EE"/>
                  <w:w w:val="89"/>
                </w:rPr>
                <w:t>102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140" w:type="dxa"/>
            <w:vAlign w:val="bottom"/>
            <w:gridSpan w:val="23"/>
          </w:tcPr>
          <w:p>
            <w:pPr>
              <w:spacing w:after="0"/>
              <w:rPr>
                <w:rFonts w:ascii="Arial" w:cs="Arial" w:eastAsia="Arial" w:hAnsi="Arial"/>
                <w:sz w:val="16"/>
                <w:szCs w:val="16"/>
                <w:color w:val="0000EE"/>
              </w:rPr>
            </w:pPr>
            <w:hyperlink w:anchor="page103">
              <w:r>
                <w:rPr>
                  <w:rFonts w:ascii="Arial" w:cs="Arial" w:eastAsia="Arial" w:hAnsi="Arial"/>
                  <w:sz w:val="16"/>
                  <w:szCs w:val="16"/>
                  <w:color w:val="0000EE"/>
                </w:rPr>
                <w:t>Item 12. Security Ownership of Certain Beneficial Owners and Management and Related Stockholder Matters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03">
              <w:r>
                <w:rPr>
                  <w:rFonts w:ascii="Arial" w:cs="Arial" w:eastAsia="Arial" w:hAnsi="Arial"/>
                  <w:sz w:val="16"/>
                  <w:szCs w:val="16"/>
                  <w:color w:val="0000EE"/>
                </w:rPr>
                <w:t>102</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40" w:type="dxa"/>
            <w:vAlign w:val="bottom"/>
            <w:tcBorders>
              <w:top w:val="single" w:sz="8" w:color="0000EE"/>
            </w:tcBorders>
            <w:gridSpan w:val="21"/>
          </w:tcPr>
          <w:p>
            <w:pPr>
              <w:spacing w:after="0"/>
              <w:rPr>
                <w:rFonts w:ascii="Arial" w:cs="Arial" w:eastAsia="Arial" w:hAnsi="Arial"/>
                <w:sz w:val="16"/>
                <w:szCs w:val="16"/>
                <w:color w:val="0000EE"/>
              </w:rPr>
            </w:pPr>
            <w:hyperlink w:anchor="page103">
              <w:r>
                <w:rPr>
                  <w:rFonts w:ascii="Arial" w:cs="Arial" w:eastAsia="Arial" w:hAnsi="Arial"/>
                  <w:sz w:val="16"/>
                  <w:szCs w:val="16"/>
                  <w:color w:val="0000EE"/>
                </w:rPr>
                <w:t>Item 13. Certain Relationships and Related Transactions, and Director Independence</w:t>
              </w:r>
            </w:hyperlink>
          </w:p>
        </w:tc>
        <w:tc>
          <w:tcPr>
            <w:tcW w:w="3000" w:type="dxa"/>
            <w:vAlign w:val="bottom"/>
            <w:gridSpan w:val="2"/>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top w:val="single" w:sz="8" w:color="0000EE"/>
            </w:tcBorders>
            <w:gridSpan w:val="3"/>
          </w:tcPr>
          <w:p>
            <w:pPr>
              <w:jc w:val="right"/>
              <w:spacing w:after="0"/>
              <w:rPr>
                <w:rFonts w:ascii="Arial" w:cs="Arial" w:eastAsia="Arial" w:hAnsi="Arial"/>
                <w:sz w:val="16"/>
                <w:szCs w:val="16"/>
                <w:color w:val="0000EE"/>
                <w:w w:val="89"/>
              </w:rPr>
            </w:pPr>
            <w:hyperlink w:anchor="page103">
              <w:r>
                <w:rPr>
                  <w:rFonts w:ascii="Arial" w:cs="Arial" w:eastAsia="Arial" w:hAnsi="Arial"/>
                  <w:sz w:val="16"/>
                  <w:szCs w:val="16"/>
                  <w:color w:val="0000EE"/>
                  <w:w w:val="89"/>
                </w:rPr>
                <w:t>102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80" w:type="dxa"/>
            <w:vAlign w:val="bottom"/>
            <w:tcBorders>
              <w:top w:val="single" w:sz="8" w:color="0000EE"/>
            </w:tcBorders>
            <w:gridSpan w:val="19"/>
          </w:tcPr>
          <w:p>
            <w:pPr>
              <w:spacing w:after="0"/>
              <w:rPr>
                <w:rFonts w:ascii="Arial" w:cs="Arial" w:eastAsia="Arial" w:hAnsi="Arial"/>
                <w:sz w:val="16"/>
                <w:szCs w:val="16"/>
                <w:color w:val="0000EE"/>
              </w:rPr>
            </w:pPr>
            <w:hyperlink w:anchor="page104">
              <w:r>
                <w:rPr>
                  <w:rFonts w:ascii="Arial" w:cs="Arial" w:eastAsia="Arial" w:hAnsi="Arial"/>
                  <w:sz w:val="16"/>
                  <w:szCs w:val="16"/>
                  <w:color w:val="0000EE"/>
                </w:rPr>
                <w:t>Item 14. Principal Accounting Fees and Services</w:t>
              </w:r>
            </w:hyperlink>
          </w:p>
        </w:tc>
        <w:tc>
          <w:tcPr>
            <w:tcW w:w="4660" w:type="dxa"/>
            <w:vAlign w:val="bottom"/>
            <w:gridSpan w:val="4"/>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top w:val="single" w:sz="8" w:color="0000EE"/>
            </w:tcBorders>
            <w:gridSpan w:val="3"/>
          </w:tcPr>
          <w:p>
            <w:pPr>
              <w:jc w:val="right"/>
              <w:spacing w:after="0"/>
              <w:rPr>
                <w:rFonts w:ascii="Arial" w:cs="Arial" w:eastAsia="Arial" w:hAnsi="Arial"/>
                <w:sz w:val="16"/>
                <w:szCs w:val="16"/>
                <w:color w:val="0000EE"/>
                <w:w w:val="89"/>
              </w:rPr>
            </w:pPr>
            <w:hyperlink w:anchor="page104">
              <w:r>
                <w:rPr>
                  <w:rFonts w:ascii="Arial" w:cs="Arial" w:eastAsia="Arial" w:hAnsi="Arial"/>
                  <w:sz w:val="16"/>
                  <w:szCs w:val="16"/>
                  <w:color w:val="0000EE"/>
                  <w:w w:val="89"/>
                </w:rPr>
                <w:t>103</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4280"/>
              <w:spacing w:after="0"/>
              <w:rPr>
                <w:sz w:val="20"/>
                <w:szCs w:val="20"/>
                <w:color w:val="auto"/>
              </w:rPr>
            </w:pPr>
            <w:r>
              <w:rPr>
                <w:rFonts w:ascii="Arial" w:cs="Arial" w:eastAsia="Arial" w:hAnsi="Arial"/>
                <w:sz w:val="16"/>
                <w:szCs w:val="16"/>
                <w:b w:val="1"/>
                <w:bCs w:val="1"/>
                <w:color w:val="auto"/>
              </w:rPr>
              <w:t>PART IV</w:t>
            </w: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Item 15. Exhibits and Financial Statement Schedules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05">
              <w:r>
                <w:rPr>
                  <w:rFonts w:ascii="Arial" w:cs="Arial" w:eastAsia="Arial" w:hAnsi="Arial"/>
                  <w:sz w:val="16"/>
                  <w:szCs w:val="16"/>
                  <w:color w:val="0000EE"/>
                </w:rPr>
                <w:t>104</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4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4"/>
              </w:rPr>
            </w:pPr>
            <w:hyperlink w:anchor="page108">
              <w:r>
                <w:rPr>
                  <w:rFonts w:ascii="Arial" w:cs="Arial" w:eastAsia="Arial" w:hAnsi="Arial"/>
                  <w:sz w:val="16"/>
                  <w:szCs w:val="16"/>
                  <w:color w:val="0000EE"/>
                  <w:w w:val="94"/>
                </w:rPr>
                <w:t>Item 16. Form 10-K Summary</w:t>
              </w:r>
            </w:hyperlink>
          </w:p>
        </w:tc>
        <w:tc>
          <w:tcPr>
            <w:tcW w:w="1380" w:type="dxa"/>
            <w:vAlign w:val="bottom"/>
            <w:tcBorders>
              <w:top w:val="single" w:sz="8" w:color="0000EE"/>
            </w:tcBorders>
            <w:gridSpan w:val="7"/>
          </w:tcPr>
          <w:p>
            <w:pPr>
              <w:spacing w:after="0"/>
              <w:rPr>
                <w:sz w:val="20"/>
                <w:szCs w:val="20"/>
                <w:color w:val="auto"/>
              </w:rPr>
            </w:pPr>
          </w:p>
        </w:tc>
        <w:tc>
          <w:tcPr>
            <w:tcW w:w="6720" w:type="dxa"/>
            <w:vAlign w:val="bottom"/>
            <w:gridSpan w:val="8"/>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top w:val="single" w:sz="8" w:color="0000EE"/>
              <w:bottom w:val="single" w:sz="8" w:color="0000EE"/>
            </w:tcBorders>
            <w:gridSpan w:val="3"/>
          </w:tcPr>
          <w:p>
            <w:pPr>
              <w:jc w:val="right"/>
              <w:spacing w:after="0"/>
              <w:rPr>
                <w:rFonts w:ascii="Arial" w:cs="Arial" w:eastAsia="Arial" w:hAnsi="Arial"/>
                <w:sz w:val="16"/>
                <w:szCs w:val="16"/>
                <w:color w:val="0000EE"/>
                <w:w w:val="89"/>
              </w:rPr>
            </w:pPr>
            <w:hyperlink w:anchor="page108">
              <w:r>
                <w:rPr>
                  <w:rFonts w:ascii="Arial" w:cs="Arial" w:eastAsia="Arial" w:hAnsi="Arial"/>
                  <w:sz w:val="16"/>
                  <w:szCs w:val="16"/>
                  <w:color w:val="0000EE"/>
                  <w:w w:val="89"/>
                </w:rPr>
                <w:t>107</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0" w:type="dxa"/>
            <w:vAlign w:val="bottom"/>
            <w:tcBorders>
              <w:bottom w:val="single" w:sz="8" w:color="0000EE"/>
            </w:tcBorders>
            <w:gridSpan w:val="2"/>
          </w:tcPr>
          <w:p>
            <w:pPr>
              <w:spacing w:after="0"/>
              <w:rPr>
                <w:rFonts w:ascii="Arial" w:cs="Arial" w:eastAsia="Arial" w:hAnsi="Arial"/>
                <w:sz w:val="16"/>
                <w:szCs w:val="16"/>
                <w:color w:val="0000EE"/>
                <w:w w:val="86"/>
              </w:rPr>
            </w:pPr>
            <w:hyperlink w:anchor="page109">
              <w:r>
                <w:rPr>
                  <w:rFonts w:ascii="Arial" w:cs="Arial" w:eastAsia="Arial" w:hAnsi="Arial"/>
                  <w:sz w:val="16"/>
                  <w:szCs w:val="16"/>
                  <w:color w:val="0000EE"/>
                  <w:w w:val="86"/>
                </w:rPr>
                <w:t>Signatures</w:t>
              </w:r>
            </w:hyperlink>
          </w:p>
        </w:tc>
        <w:tc>
          <w:tcPr>
            <w:tcW w:w="9460" w:type="dxa"/>
            <w:vAlign w:val="bottom"/>
            <w:gridSpan w:val="21"/>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bottom w:val="single" w:sz="8" w:color="0000EE"/>
            </w:tcBorders>
            <w:gridSpan w:val="3"/>
          </w:tcPr>
          <w:p>
            <w:pPr>
              <w:jc w:val="right"/>
              <w:spacing w:after="0"/>
              <w:rPr>
                <w:rFonts w:ascii="Arial" w:cs="Arial" w:eastAsia="Arial" w:hAnsi="Arial"/>
                <w:sz w:val="16"/>
                <w:szCs w:val="16"/>
                <w:color w:val="0000EE"/>
                <w:w w:val="89"/>
              </w:rPr>
            </w:pPr>
            <w:hyperlink w:anchor="page109">
              <w:r>
                <w:rPr>
                  <w:rFonts w:ascii="Arial" w:cs="Arial" w:eastAsia="Arial" w:hAnsi="Arial"/>
                  <w:sz w:val="16"/>
                  <w:szCs w:val="16"/>
                  <w:color w:val="0000EE"/>
                  <w:w w:val="89"/>
                </w:rPr>
                <w:t>108</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Annual Report on Form 10-K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those described in the “Risk Factors” section of this Report and the following:</w:t>
      </w:r>
    </w:p>
    <w:p>
      <w:pPr>
        <w:spacing w:after="0" w:line="183" w:lineRule="exact"/>
        <w:rPr>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outcome of our review of strategic alternatives, including the impact on our ongoing business, our stock price and our ability to successfully implement any alternatives that we pursue;</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190"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29"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implement our remodeling, relocation and expansion plans due to uncertainty in locating and acquiring attractive sites on acceptable terms, obtaining required permits and approvals, recruiting and training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necessary personnel, obtaining adequate financing and estimating the performance of newly opened, remodeled or relocated restaurants;</w:t>
      </w:r>
    </w:p>
    <w:p>
      <w:pPr>
        <w:spacing w:after="0" w:line="190" w:lineRule="exact"/>
        <w:rPr>
          <w:sz w:val="20"/>
          <w:szCs w:val="20"/>
          <w:color w:val="auto"/>
        </w:rPr>
      </w:pPr>
    </w:p>
    <w:p>
      <w:pPr>
        <w:ind w:left="660" w:hanging="652"/>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190"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 and</w:t>
      </w:r>
    </w:p>
    <w:p>
      <w:pPr>
        <w:spacing w:after="0" w:line="18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adequacy of our cash flow and earnings and other conditions which may affect our ability to pay dividends and repurchase shares of our common stock.</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19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3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i w:val="1"/>
          <w:iCs w:val="1"/>
          <w:color w:val="auto"/>
        </w:rPr>
        <w:t xml:space="preserve">General and History </w:t>
      </w:r>
      <w:r>
        <w:rPr>
          <w:rFonts w:ascii="Arial" w:cs="Arial" w:eastAsia="Arial" w:hAnsi="Arial"/>
          <w:sz w:val="20"/>
          <w:szCs w:val="20"/>
          <w:color w:val="auto"/>
        </w:rPr>
        <w:t>- Bloomin’ Brands, Inc. (“Bloomin’ Brands,” the “Company,” “we,” “us,” and “our” and similar terms mean Bloomin’</w:t>
      </w:r>
      <w:r>
        <w:rPr>
          <w:rFonts w:ascii="Arial" w:cs="Arial" w:eastAsia="Arial" w:hAnsi="Arial"/>
          <w:sz w:val="20"/>
          <w:szCs w:val="20"/>
          <w:i w:val="1"/>
          <w:iCs w:val="1"/>
          <w:color w:val="auto"/>
        </w:rPr>
        <w:t xml:space="preserve"> </w:t>
      </w:r>
      <w:r>
        <w:rPr>
          <w:rFonts w:ascii="Arial" w:cs="Arial" w:eastAsia="Arial" w:hAnsi="Arial"/>
          <w:sz w:val="20"/>
          <w:szCs w:val="20"/>
          <w:color w:val="auto"/>
        </w:rPr>
        <w:t>Brands, Inc. and its subsidiaries except where the context otherwise requires) is one of the largest casual dining restaurant companies in the world, with a portfolio of leading, differentiated restaurant concepts. We have four founder-inspired concepts: Outback Steakhouse, Carrabba’s Italian Grill, Bonefish Grill and Fleming’s Prime Steakhouse &amp; Wine Bar. Our restaurant concepts range in price point and degree of formality from casual (Outback Steakhouse and Carrabba’s Italian Grill) to upscale casual (Bonefish Grill) and fine dining (Fleming’s Prime Steakhouse &amp; Wine Bar).</w:t>
      </w:r>
    </w:p>
    <w:p>
      <w:pPr>
        <w:spacing w:after="0" w:line="210"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As of December 29, 2019, we owned and operated 1,173 restaurants and franchised 300 restaurants across 48 states, Puerto Rico, Guam and 21 countries.</w:t>
      </w:r>
    </w:p>
    <w:p>
      <w:pPr>
        <w:spacing w:after="0" w:line="177"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The first Outback Steakhouse restaurant opened in 1988 and in 1996, we expanded the Outback Steakhouse concept internationally. OSI Restaurant Partners, LLC (“OSI”), a wholly-owned subsidiary of Bloomin’ Brands, is our primary operating entity.</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i w:val="1"/>
          <w:iCs w:val="1"/>
          <w:color w:val="auto"/>
        </w:rPr>
        <w:t xml:space="preserve">Our Segments </w:t>
      </w:r>
      <w:r>
        <w:rPr>
          <w:rFonts w:ascii="Arial" w:cs="Arial" w:eastAsia="Arial" w:hAnsi="Arial"/>
          <w:sz w:val="19"/>
          <w:szCs w:val="19"/>
          <w:color w:val="auto"/>
        </w:rPr>
        <w:t>- We consider our restaurant concepts and international markets to be operating segments, which reflects how we manage our</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review operating performance and allocate resources. We aggregate our operating segments into two reportable segments, U.S. and international. The U.S. segment includes all restaurants operating in the U.S. while restaurants operating outside the U.S. are included in the international segment. Following is a summary of reportable segments as of December 29,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98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5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9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5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9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9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9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5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9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5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500" w:type="dxa"/>
            <w:vAlign w:val="bottom"/>
          </w:tcPr>
          <w:p>
            <w:pPr>
              <w:jc w:val="right"/>
              <w:ind w:right="10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Includes franchise locations. See Item 2.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for disclosure of our restaurant count by country and territory.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29, 2019, in our U.S. segment, we owned and operated 1,045 restaurants and franchised 173 restaurants across 48 states.</w:t>
      </w:r>
    </w:p>
    <w:p>
      <w:pPr>
        <w:spacing w:after="0" w:line="239" w:lineRule="exact"/>
        <w:rPr>
          <w:sz w:val="20"/>
          <w:szCs w:val="20"/>
          <w:color w:val="auto"/>
        </w:rPr>
      </w:pPr>
    </w:p>
    <w:p>
      <w:pPr>
        <w:jc w:val="both"/>
        <w:ind w:right="20"/>
        <w:spacing w:after="0" w:line="326" w:lineRule="auto"/>
        <w:rPr>
          <w:sz w:val="20"/>
          <w:szCs w:val="20"/>
          <w:color w:val="auto"/>
        </w:rPr>
      </w:pPr>
      <w:r>
        <w:rPr>
          <w:rFonts w:ascii="Arial" w:cs="Arial" w:eastAsia="Arial" w:hAnsi="Arial"/>
          <w:sz w:val="17"/>
          <w:szCs w:val="17"/>
          <w:i w:val="1"/>
          <w:iCs w:val="1"/>
          <w:color w:val="auto"/>
        </w:rPr>
        <w:t xml:space="preserve">Outback Steakhouse </w:t>
      </w:r>
      <w:r>
        <w:rPr>
          <w:rFonts w:ascii="Arial" w:cs="Arial" w:eastAsia="Arial" w:hAnsi="Arial"/>
          <w:sz w:val="17"/>
          <w:szCs w:val="17"/>
          <w:color w:val="auto"/>
        </w:rPr>
        <w:t>- Outback Steakhouse is a casual steakhouse restaurant concept focused on steaks, bold flavors and Australian decor. The</w:t>
      </w:r>
      <w:r>
        <w:rPr>
          <w:rFonts w:ascii="Arial" w:cs="Arial" w:eastAsia="Arial" w:hAnsi="Arial"/>
          <w:sz w:val="17"/>
          <w:szCs w:val="17"/>
          <w:i w:val="1"/>
          <w:iCs w:val="1"/>
          <w:color w:val="auto"/>
        </w:rPr>
        <w:t xml:space="preserve"> </w:t>
      </w:r>
      <w:r>
        <w:rPr>
          <w:rFonts w:ascii="Arial" w:cs="Arial" w:eastAsia="Arial" w:hAnsi="Arial"/>
          <w:sz w:val="17"/>
          <w:szCs w:val="17"/>
          <w:color w:val="auto"/>
        </w:rPr>
        <w:t>Outback Steakhouse menu offers seasoned and seared or wood-fire grilled steaks, chops, chicken, seafood, pasta, salads and seasonal specials. The menu also includes several specialty appetizers, including our signature Bloomin’ Onion</w:t>
      </w:r>
      <w:r>
        <w:rPr>
          <w:rFonts w:ascii="Arial" w:cs="Arial" w:eastAsia="Arial" w:hAnsi="Arial"/>
          <w:sz w:val="21"/>
          <w:szCs w:val="21"/>
          <w:color w:val="auto"/>
          <w:vertAlign w:val="superscript"/>
        </w:rPr>
        <w:t>®</w:t>
      </w:r>
      <w:r>
        <w:rPr>
          <w:rFonts w:ascii="Arial" w:cs="Arial" w:eastAsia="Arial" w:hAnsi="Arial"/>
          <w:sz w:val="17"/>
          <w:szCs w:val="17"/>
          <w:color w:val="auto"/>
        </w:rPr>
        <w:t>, and desserts, together with full bar service.</w:t>
      </w:r>
    </w:p>
    <w:p>
      <w:pPr>
        <w:spacing w:after="0" w:line="46"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i w:val="1"/>
          <w:iCs w:val="1"/>
          <w:color w:val="auto"/>
        </w:rPr>
        <w:t xml:space="preserve">Carrabba’s Italian Grill - </w:t>
      </w:r>
      <w:r>
        <w:rPr>
          <w:rFonts w:ascii="Arial" w:cs="Arial" w:eastAsia="Arial" w:hAnsi="Arial"/>
          <w:sz w:val="19"/>
          <w:szCs w:val="19"/>
          <w:color w:val="auto"/>
        </w:rPr>
        <w:t>Offering authentic Italian cuisine passed down from its founders’ family recipes, Carrabba’s Italian Grill uses high</w:t>
      </w:r>
      <w:r>
        <w:rPr>
          <w:rFonts w:ascii="Arial" w:cs="Arial" w:eastAsia="Arial" w:hAnsi="Arial"/>
          <w:sz w:val="19"/>
          <w:szCs w:val="19"/>
          <w:i w:val="1"/>
          <w:iCs w:val="1"/>
          <w:color w:val="auto"/>
        </w:rPr>
        <w:t xml:space="preserve"> </w:t>
      </w:r>
      <w:r>
        <w:rPr>
          <w:rFonts w:ascii="Arial" w:cs="Arial" w:eastAsia="Arial" w:hAnsi="Arial"/>
          <w:sz w:val="19"/>
          <w:szCs w:val="19"/>
          <w:color w:val="auto"/>
        </w:rPr>
        <w:t>quality ingredients to prepare fresh and handmade dishes cooked to order in a lively exhibition kitchen. Featuring a wood-burning grill inspired by the many tastes of Italy, guests can enjoy signature dishes such as Chicken Bryan and Pollo Rosa Maria, wood-fire grilled steaks and chops, small plates and classic Italian pasta dishes in a welcoming, contemporary atmosphere.</w:t>
      </w:r>
    </w:p>
    <w:p>
      <w:pPr>
        <w:spacing w:after="0" w:line="19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 xml:space="preserve">Bonefish Grill - </w:t>
      </w:r>
      <w:r>
        <w:rPr>
          <w:rFonts w:ascii="Arial" w:cs="Arial" w:eastAsia="Arial" w:hAnsi="Arial"/>
          <w:sz w:val="20"/>
          <w:szCs w:val="20"/>
          <w:color w:val="auto"/>
        </w:rPr>
        <w:t>Bonefish Grill specializes in market-fresh fish from around the world, savory wood-grilled specialties and hand-crafted</w:t>
      </w:r>
      <w:r>
        <w:rPr>
          <w:rFonts w:ascii="Arial" w:cs="Arial" w:eastAsia="Arial" w:hAnsi="Arial"/>
          <w:sz w:val="20"/>
          <w:szCs w:val="20"/>
          <w:i w:val="1"/>
          <w:iCs w:val="1"/>
          <w:color w:val="auto"/>
        </w:rPr>
        <w:t xml:space="preserve"> </w:t>
      </w:r>
      <w:r>
        <w:rPr>
          <w:rFonts w:ascii="Arial" w:cs="Arial" w:eastAsia="Arial" w:hAnsi="Arial"/>
          <w:sz w:val="20"/>
          <w:szCs w:val="20"/>
          <w:color w:val="auto"/>
        </w:rPr>
        <w:t>cocktails. Guests are guided through an innovative, seasonal menu, with unique specials and locally-created “Neighborhood Catch” dishes as well as beef and chicken entrées, featuring high quality and fresh ingredients.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121" w:right="2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Bonefish Grill experience helps guests “Escape the Ordinary,” and is based on the premise of simplicity, consistency and a strong commitment to excellence at every level.</w:t>
      </w:r>
    </w:p>
    <w:p>
      <w:pPr>
        <w:spacing w:after="0" w:line="177" w:lineRule="exact"/>
        <w:rPr>
          <w:sz w:val="20"/>
          <w:szCs w:val="20"/>
          <w:color w:val="auto"/>
        </w:rPr>
      </w:pPr>
    </w:p>
    <w:p>
      <w:pPr>
        <w:jc w:val="both"/>
        <w:spacing w:after="0" w:line="328" w:lineRule="auto"/>
        <w:rPr>
          <w:sz w:val="20"/>
          <w:szCs w:val="20"/>
          <w:color w:val="auto"/>
        </w:rPr>
      </w:pPr>
      <w:r>
        <w:rPr>
          <w:rFonts w:ascii="Arial" w:cs="Arial" w:eastAsia="Arial" w:hAnsi="Arial"/>
          <w:sz w:val="16"/>
          <w:szCs w:val="16"/>
          <w:i w:val="1"/>
          <w:iCs w:val="1"/>
          <w:color w:val="auto"/>
        </w:rPr>
        <w:t xml:space="preserve">Fleming’s Prime Steakhouse &amp; Wine Bar - </w:t>
      </w:r>
      <w:r>
        <w:rPr>
          <w:rFonts w:ascii="Arial" w:cs="Arial" w:eastAsia="Arial" w:hAnsi="Arial"/>
          <w:sz w:val="16"/>
          <w:szCs w:val="16"/>
          <w:color w:val="auto"/>
        </w:rPr>
        <w:t>Fleming’s Prime Steakhouse &amp; Wine Bar is a contemporary steakhouse concept featuring prime cuts</w:t>
      </w:r>
      <w:r>
        <w:rPr>
          <w:rFonts w:ascii="Arial" w:cs="Arial" w:eastAsia="Arial" w:hAnsi="Arial"/>
          <w:sz w:val="16"/>
          <w:szCs w:val="16"/>
          <w:i w:val="1"/>
          <w:iCs w:val="1"/>
          <w:color w:val="auto"/>
        </w:rPr>
        <w:t xml:space="preserve"> </w:t>
      </w:r>
      <w:r>
        <w:rPr>
          <w:rFonts w:ascii="Arial" w:cs="Arial" w:eastAsia="Arial" w:hAnsi="Arial"/>
          <w:sz w:val="16"/>
          <w:szCs w:val="16"/>
          <w:color w:val="auto"/>
        </w:rPr>
        <w:t>of beef, chops, fresh fish, seafood and poultry, salads and side dishes. Guests will find a passion for steak and wine, reflected in an exceptional menu of hand-cut steaks, an award-winning list of wines by the glass, and seasonal menu selections showcasing locally-inspired chef dishes. The steak selection features USDA Prime corn-fed beef, both wet- and dry-aged for flavor and texture, in a variety of sizes and cuts.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cross-functional, local management to support and grow restaurants in each of the countries where we have Company-owned operations. Our international operations are integrated with our corporate headquarters to leverage enterprise-wide capabilities, including marketing, finance, real estate, information technology, legal, human resources, supply chain management and productivity.</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29, 2019, in our international segment, we owned and operated 128 restaurants and franchised 127 restaurants across 21 countries, Puerto Rico and Guam.</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Outback Steakhouse </w:t>
      </w:r>
      <w:r>
        <w:rPr>
          <w:rFonts w:ascii="Arial" w:cs="Arial" w:eastAsia="Arial" w:hAnsi="Arial"/>
          <w:sz w:val="20"/>
          <w:szCs w:val="20"/>
          <w:color w:val="auto"/>
        </w:rPr>
        <w:t>- Our international Outback Steakhouse restaurants have a menu similar to our U.S. menu with additional variety to meet</w:t>
      </w:r>
      <w:r>
        <w:rPr>
          <w:rFonts w:ascii="Arial" w:cs="Arial" w:eastAsia="Arial" w:hAnsi="Arial"/>
          <w:sz w:val="20"/>
          <w:szCs w:val="20"/>
          <w:i w:val="1"/>
          <w:iCs w:val="1"/>
          <w:color w:val="auto"/>
        </w:rPr>
        <w:t xml:space="preserve"> </w:t>
      </w:r>
      <w:r>
        <w:rPr>
          <w:rFonts w:ascii="Arial" w:cs="Arial" w:eastAsia="Arial" w:hAnsi="Arial"/>
          <w:sz w:val="20"/>
          <w:szCs w:val="20"/>
          <w:color w:val="auto"/>
        </w:rPr>
        <w:t>local taste preferences. In addition to the traditional Outback Special sirloin, a typical international menu may feature local beef cuts such as the Aussie Grilled Picanha in Brazil.</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Carrabba’s Italian Grill (Abbraccio Cucina Italiana) </w:t>
      </w:r>
      <w:r>
        <w:rPr>
          <w:rFonts w:ascii="Arial" w:cs="Arial" w:eastAsia="Arial" w:hAnsi="Arial"/>
          <w:sz w:val="20"/>
          <w:szCs w:val="20"/>
          <w:color w:val="auto"/>
        </w:rPr>
        <w:t>- Abbraccio Cucina Italiana, our Carrabba’s Italian Grill restaurant concept in Brazil,</w:t>
      </w:r>
      <w:r>
        <w:rPr>
          <w:rFonts w:ascii="Arial" w:cs="Arial" w:eastAsia="Arial" w:hAnsi="Arial"/>
          <w:sz w:val="20"/>
          <w:szCs w:val="20"/>
          <w:i w:val="1"/>
          <w:iCs w:val="1"/>
          <w:color w:val="auto"/>
        </w:rPr>
        <w:t xml:space="preserve"> </w:t>
      </w:r>
      <w:r>
        <w:rPr>
          <w:rFonts w:ascii="Arial" w:cs="Arial" w:eastAsia="Arial" w:hAnsi="Arial"/>
          <w:sz w:val="20"/>
          <w:szCs w:val="20"/>
          <w:color w:val="auto"/>
        </w:rPr>
        <w:t>offers a blend of traditional and modern Italian dishes. The menu varies, with additional pasta and pizza menu offerings, to account for local tastes and customs. Abbraccio Cucina Italiana also has a range of beverage options, including classically inspired cocktails and local favorites with an Italian twist.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Restaurant Overview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Selected Sales Data </w:t>
      </w:r>
      <w:r>
        <w:rPr>
          <w:rFonts w:ascii="Arial" w:cs="Arial" w:eastAsia="Arial" w:hAnsi="Arial"/>
          <w:sz w:val="18"/>
          <w:szCs w:val="18"/>
          <w:color w:val="auto"/>
        </w:rPr>
        <w:t>- Following is sales mix by product type and average check per person for Company-owned restaurants during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U.S.</w:t>
            </w: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Outback</w:t>
            </w:r>
          </w:p>
        </w:tc>
        <w:tc>
          <w:tcPr>
            <w:tcW w:w="260" w:type="dxa"/>
            <w:vAlign w:val="bottom"/>
          </w:tcPr>
          <w:p>
            <w:pPr>
              <w:spacing w:after="0"/>
              <w:rPr>
                <w:sz w:val="13"/>
                <w:szCs w:val="13"/>
                <w:color w:val="auto"/>
              </w:rPr>
            </w:pPr>
          </w:p>
        </w:tc>
        <w:tc>
          <w:tcPr>
            <w:tcW w:w="124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Carrabba’s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Fleming’s</w:t>
            </w:r>
          </w:p>
        </w:tc>
        <w:tc>
          <w:tcPr>
            <w:tcW w:w="320" w:type="dxa"/>
            <w:vAlign w:val="bottom"/>
          </w:tcPr>
          <w:p>
            <w:pPr>
              <w:spacing w:after="0"/>
              <w:rPr>
                <w:sz w:val="13"/>
                <w:szCs w:val="13"/>
                <w:color w:val="auto"/>
              </w:rPr>
            </w:pPr>
          </w:p>
        </w:tc>
        <w:tc>
          <w:tcPr>
            <w:tcW w:w="1760" w:type="dxa"/>
            <w:vAlign w:val="bottom"/>
          </w:tcPr>
          <w:p>
            <w:pPr>
              <w:jc w:val="center"/>
              <w:ind w:right="243"/>
              <w:spacing w:after="0" w:line="153" w:lineRule="exact"/>
              <w:rPr>
                <w:sz w:val="20"/>
                <w:szCs w:val="20"/>
                <w:color w:val="auto"/>
              </w:rPr>
            </w:pPr>
            <w:r>
              <w:rPr>
                <w:rFonts w:ascii="Arial" w:cs="Arial" w:eastAsia="Arial" w:hAnsi="Arial"/>
                <w:sz w:val="14"/>
                <w:szCs w:val="14"/>
                <w:b w:val="1"/>
                <w:bCs w:val="1"/>
                <w:color w:val="auto"/>
                <w:w w:val="92"/>
              </w:rPr>
              <w:t>Outback</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Bonefish Grill</w:t>
            </w:r>
          </w:p>
        </w:tc>
        <w:tc>
          <w:tcPr>
            <w:tcW w:w="20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Prime Steakhouse</w:t>
            </w:r>
          </w:p>
        </w:tc>
        <w:tc>
          <w:tcPr>
            <w:tcW w:w="320" w:type="dxa"/>
            <w:vAlign w:val="bottom"/>
          </w:tcPr>
          <w:p>
            <w:pPr>
              <w:spacing w:after="0"/>
              <w:rPr>
                <w:sz w:val="12"/>
                <w:szCs w:val="12"/>
                <w:color w:val="auto"/>
              </w:rPr>
            </w:pPr>
          </w:p>
        </w:tc>
        <w:tc>
          <w:tcPr>
            <w:tcW w:w="1760" w:type="dxa"/>
            <w:vAlign w:val="bottom"/>
          </w:tcPr>
          <w:p>
            <w:pPr>
              <w:jc w:val="center"/>
              <w:ind w:right="243"/>
              <w:spacing w:after="0" w:line="149" w:lineRule="exact"/>
              <w:rPr>
                <w:sz w:val="20"/>
                <w:szCs w:val="20"/>
                <w:color w:val="auto"/>
              </w:rPr>
            </w:pPr>
            <w:r>
              <w:rPr>
                <w:rFonts w:ascii="Arial" w:cs="Arial" w:eastAsia="Arial" w:hAnsi="Arial"/>
                <w:sz w:val="14"/>
                <w:szCs w:val="14"/>
                <w:b w:val="1"/>
                <w:bCs w:val="1"/>
                <w:color w:val="auto"/>
                <w:w w:val="86"/>
              </w:rPr>
              <w:t>Steakhouse</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Steakhouse</w:t>
            </w:r>
          </w:p>
        </w:tc>
        <w:tc>
          <w:tcPr>
            <w:tcW w:w="260" w:type="dxa"/>
            <w:vAlign w:val="bottom"/>
          </w:tcPr>
          <w:p>
            <w:pPr>
              <w:spacing w:after="0"/>
              <w:rPr>
                <w:sz w:val="17"/>
                <w:szCs w:val="17"/>
                <w:color w:val="auto"/>
              </w:rPr>
            </w:pPr>
          </w:p>
        </w:tc>
        <w:tc>
          <w:tcPr>
            <w:tcW w:w="1240" w:type="dxa"/>
            <w:vAlign w:val="bottom"/>
          </w:tcPr>
          <w:p>
            <w:pPr>
              <w:jc w:val="right"/>
              <w:ind w:right="302"/>
              <w:spacing w:after="0"/>
              <w:rPr>
                <w:sz w:val="20"/>
                <w:szCs w:val="20"/>
                <w:color w:val="auto"/>
              </w:rPr>
            </w:pPr>
            <w:r>
              <w:rPr>
                <w:rFonts w:ascii="Arial" w:cs="Arial" w:eastAsia="Arial" w:hAnsi="Arial"/>
                <w:sz w:val="14"/>
                <w:szCs w:val="14"/>
                <w:b w:val="1"/>
                <w:bCs w:val="1"/>
                <w:color w:val="auto"/>
              </w:rPr>
              <w:t>Italian Grill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&amp; Wine Bar</w:t>
            </w:r>
          </w:p>
        </w:tc>
        <w:tc>
          <w:tcPr>
            <w:tcW w:w="320" w:type="dxa"/>
            <w:vAlign w:val="bottom"/>
          </w:tcPr>
          <w:p>
            <w:pPr>
              <w:spacing w:after="0"/>
              <w:rPr>
                <w:sz w:val="17"/>
                <w:szCs w:val="17"/>
                <w:color w:val="auto"/>
              </w:rPr>
            </w:pPr>
          </w:p>
        </w:tc>
        <w:tc>
          <w:tcPr>
            <w:tcW w:w="1760" w:type="dxa"/>
            <w:vAlign w:val="bottom"/>
          </w:tcPr>
          <w:p>
            <w:pPr>
              <w:jc w:val="center"/>
              <w:ind w:right="243"/>
              <w:spacing w:after="0"/>
              <w:rPr>
                <w:sz w:val="20"/>
                <w:szCs w:val="20"/>
                <w:color w:val="auto"/>
              </w:rPr>
            </w:pPr>
            <w:r>
              <w:rPr>
                <w:rFonts w:ascii="Arial" w:cs="Arial" w:eastAsia="Arial" w:hAnsi="Arial"/>
                <w:sz w:val="14"/>
                <w:szCs w:val="14"/>
                <w:b w:val="1"/>
                <w:bCs w:val="1"/>
                <w:color w:val="auto"/>
                <w:w w:val="94"/>
              </w:rPr>
              <w:t>Brazil</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Food &amp; non-alcoholic beverage</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Alcoholic beverage</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check per person ($USD)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Average check per person (R$)</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w:t>
            </w:r>
          </w:p>
        </w:tc>
        <w:tc>
          <w:tcPr>
            <w:tcW w:w="17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Delivery </w:t>
      </w:r>
      <w:r>
        <w:rPr>
          <w:rFonts w:ascii="Arial" w:cs="Arial" w:eastAsia="Arial" w:hAnsi="Arial"/>
          <w:sz w:val="20"/>
          <w:szCs w:val="20"/>
          <w:color w:val="auto"/>
        </w:rPr>
        <w:t>- During 2019, we completed the rollout of in-house delivery to substantially all Outback Steakhouse and the majority of Carrabba’s</w:t>
      </w:r>
      <w:r>
        <w:rPr>
          <w:rFonts w:ascii="Arial" w:cs="Arial" w:eastAsia="Arial" w:hAnsi="Arial"/>
          <w:sz w:val="20"/>
          <w:szCs w:val="20"/>
          <w:i w:val="1"/>
          <w:iCs w:val="1"/>
          <w:color w:val="auto"/>
        </w:rPr>
        <w:t xml:space="preserve"> </w:t>
      </w:r>
      <w:r>
        <w:rPr>
          <w:rFonts w:ascii="Arial" w:cs="Arial" w:eastAsia="Arial" w:hAnsi="Arial"/>
          <w:sz w:val="20"/>
          <w:szCs w:val="20"/>
          <w:color w:val="auto"/>
        </w:rPr>
        <w:t>Italian Grill Company-owned restaurants. In addition, in September 2019 Outback Steakhouse expanded its delivery platform through an exclusive third-party partnership with DoorDash, a national on-demand provider of door-to-door delivery services. The rollout of DoorDash delivery was completed in October 2019.</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Carrabba’s Italian Grill and certain Bonefish Grill restaurants also offer third-party delivery through leading national delivery services.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System-wide Restaurant Summary - </w:t>
      </w:r>
      <w:r>
        <w:rPr>
          <w:rFonts w:ascii="Arial" w:cs="Arial" w:eastAsia="Arial" w:hAnsi="Arial"/>
          <w:sz w:val="20"/>
          <w:szCs w:val="20"/>
          <w:color w:val="auto"/>
        </w:rPr>
        <w:t>Following is a system-wide rollforward of restaurants in operation during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DECEMBER 30,</w:t>
            </w: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2019 ACTIVITY</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U.S. STATE</w:t>
            </w:r>
          </w:p>
        </w:tc>
        <w:tc>
          <w:tcPr>
            <w:tcW w:w="0" w:type="dxa"/>
            <w:vAlign w:val="bottom"/>
          </w:tcPr>
          <w:p>
            <w:pPr>
              <w:spacing w:after="0"/>
              <w:rPr>
                <w:sz w:val="1"/>
                <w:szCs w:val="1"/>
                <w:color w:val="auto"/>
              </w:rPr>
            </w:pPr>
          </w:p>
        </w:tc>
      </w:tr>
      <w:tr>
        <w:trPr>
          <w:trHeight w:val="58"/>
        </w:trPr>
        <w:tc>
          <w:tcPr>
            <w:tcW w:w="354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OPENINGS</w:t>
            </w: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CLOSURES</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OTHER</w:t>
            </w:r>
          </w:p>
        </w:tc>
        <w:tc>
          <w:tcPr>
            <w:tcW w:w="1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COUNT</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1500" w:type="dxa"/>
            <w:vAlign w:val="bottom"/>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80" w:type="dxa"/>
            <w:vAlign w:val="bottom"/>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restaurants:</w:t>
            </w: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U.S.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733</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724</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40"/>
        </w:trPr>
        <w:tc>
          <w:tcPr>
            <w:tcW w:w="35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Carrabba’s Italian Grill</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Company-owned (1)</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 (1)</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227</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225</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0"/>
        </w:trPr>
        <w:tc>
          <w:tcPr>
            <w:tcW w:w="35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Bonefish Grill</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197</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197</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0"/>
        </w:trPr>
        <w:tc>
          <w:tcPr>
            <w:tcW w:w="35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40"/>
        </w:trPr>
        <w:tc>
          <w:tcPr>
            <w:tcW w:w="35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0"/>
        </w:trPr>
        <w:tc>
          <w:tcPr>
            <w:tcW w:w="35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3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U.S. Total</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1,232</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1,218</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54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Company-owned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Outback Steakhouse - Brazil (2)</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180"/>
              <w:spacing w:after="0"/>
              <w:rPr>
                <w:sz w:val="20"/>
                <w:szCs w:val="20"/>
                <w:color w:val="auto"/>
              </w:rPr>
            </w:pPr>
            <w:r>
              <w:rPr>
                <w:rFonts w:ascii="Arial" w:cs="Arial" w:eastAsia="Arial" w:hAnsi="Arial"/>
                <w:sz w:val="16"/>
                <w:szCs w:val="16"/>
                <w:color w:val="auto"/>
              </w:rPr>
              <w:t>Franchised</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Outback Steakhouse - South Korea</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380"/>
              <w:spacing w:after="0"/>
              <w:rPr>
                <w:sz w:val="20"/>
                <w:szCs w:val="20"/>
                <w:color w:val="auto"/>
              </w:rPr>
            </w:pPr>
            <w:r>
              <w:rPr>
                <w:rFonts w:ascii="Arial" w:cs="Arial" w:eastAsia="Arial" w:hAnsi="Arial"/>
                <w:sz w:val="16"/>
                <w:szCs w:val="16"/>
                <w:color w:val="auto"/>
              </w:rPr>
              <w:t>Other</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5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International Total</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System-wide 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1,488</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1,473</w:t>
            </w: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54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2019, we sold 18 Carrabba’s Italian Grill locations, which are now operated as franchises.</w:t>
      </w:r>
    </w:p>
    <w:p>
      <w:pPr>
        <w:spacing w:after="0" w:line="15"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November 30, 2019 and 2018, respectively, to correspond with the balance sheet dates of this subsidiary.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RESTAURANT DESIGN AND DEVELOPMENT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Site Design - </w:t>
      </w:r>
      <w:r>
        <w:rPr>
          <w:rFonts w:ascii="Arial" w:cs="Arial" w:eastAsia="Arial" w:hAnsi="Arial"/>
          <w:sz w:val="19"/>
          <w:szCs w:val="19"/>
          <w:color w:val="auto"/>
        </w:rPr>
        <w:t>We generally construct freestanding buildings on leased properties, although certain leased sites are also located in strip shopping</w:t>
      </w:r>
      <w:r>
        <w:rPr>
          <w:rFonts w:ascii="Arial" w:cs="Arial" w:eastAsia="Arial" w:hAnsi="Arial"/>
          <w:sz w:val="19"/>
          <w:szCs w:val="19"/>
          <w:i w:val="1"/>
          <w:iCs w:val="1"/>
          <w:color w:val="auto"/>
        </w:rPr>
        <w:t xml:space="preserve"> </w:t>
      </w:r>
      <w:r>
        <w:rPr>
          <w:rFonts w:ascii="Arial" w:cs="Arial" w:eastAsia="Arial" w:hAnsi="Arial"/>
          <w:sz w:val="19"/>
          <w:szCs w:val="19"/>
          <w:color w:val="auto"/>
        </w:rPr>
        <w:t>centers. Construction of a new restaurant typically takes 60 to 180 days from the date the location is leased or under contract and fully permitted. In the majority of cases, future restaurant development will result from the lease of existing third-party retail space. We typically design the interior of our restaurants in-house, utilizing outside architects to develop construction documents. We have an ongoing remodel program across all of our concepts to maintain the relevance of our restaurants’ ambiance.</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Site Selection Process - </w:t>
      </w:r>
      <w:r>
        <w:rPr>
          <w:rFonts w:ascii="Arial" w:cs="Arial" w:eastAsia="Arial" w:hAnsi="Arial"/>
          <w:sz w:val="20"/>
          <w:szCs w:val="20"/>
          <w:color w:val="auto"/>
        </w:rPr>
        <w:t>We have a central site selection team comprised of real estate development, property/lease management and design and</w:t>
      </w:r>
      <w:r>
        <w:rPr>
          <w:rFonts w:ascii="Arial" w:cs="Arial" w:eastAsia="Arial" w:hAnsi="Arial"/>
          <w:sz w:val="20"/>
          <w:szCs w:val="20"/>
          <w:i w:val="1"/>
          <w:iCs w:val="1"/>
          <w:color w:val="auto"/>
        </w:rPr>
        <w:t xml:space="preserve"> </w:t>
      </w:r>
      <w:r>
        <w:rPr>
          <w:rFonts w:ascii="Arial" w:cs="Arial" w:eastAsia="Arial" w:hAnsi="Arial"/>
          <w:sz w:val="20"/>
          <w:szCs w:val="20"/>
          <w:color w:val="auto"/>
        </w:rPr>
        <w:t>construction personnel. This site selection team also utilizes a combination of existing field operations managers, internal development personnel and outside real estate brokers to identify and qualify potential sites.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have a relocation initiative in process, primarily related to the U.S. Outback Steakhouse brand. This multi-year relocation plan is focused on driving additional traffic to our restaurants by moving legacy restaurants to prime locations within the same trade area. During 2019, we relocated 11 U.S. Outback Steakhouse restaurants and plan to relocate another nine U.S. Outback Steakhouse restaurants in 2020.</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Restaurant Development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utilize the ownership structure and market entry strategy that best fits the needs for a particular market, including Company-owned units, joint ventures and franchises, as determined by demand, cost structure and economic conditions.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U.S. Development - </w:t>
      </w:r>
      <w:r>
        <w:rPr>
          <w:rFonts w:ascii="Arial" w:cs="Arial" w:eastAsia="Arial" w:hAnsi="Arial"/>
          <w:sz w:val="20"/>
          <w:szCs w:val="20"/>
          <w:color w:val="auto"/>
        </w:rPr>
        <w:t>We opportunistically pursue unit growth across our concepts through existing geography fill-in and market expansion</w:t>
      </w:r>
      <w:r>
        <w:rPr>
          <w:rFonts w:ascii="Arial" w:cs="Arial" w:eastAsia="Arial" w:hAnsi="Arial"/>
          <w:sz w:val="20"/>
          <w:szCs w:val="20"/>
          <w:i w:val="1"/>
          <w:iCs w:val="1"/>
          <w:color w:val="auto"/>
        </w:rPr>
        <w:t xml:space="preserve"> </w:t>
      </w:r>
      <w:r>
        <w:rPr>
          <w:rFonts w:ascii="Arial" w:cs="Arial" w:eastAsia="Arial" w:hAnsi="Arial"/>
          <w:sz w:val="20"/>
          <w:szCs w:val="20"/>
          <w:color w:val="auto"/>
        </w:rPr>
        <w:t>opportunities based on current location mix.</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International Development - </w:t>
      </w:r>
      <w:r>
        <w:rPr>
          <w:rFonts w:ascii="Arial" w:cs="Arial" w:eastAsia="Arial" w:hAnsi="Arial"/>
          <w:sz w:val="19"/>
          <w:szCs w:val="19"/>
          <w:color w:val="auto"/>
        </w:rPr>
        <w:t>We continue to pursue international expansion opportunities, leveraging established equity and franchise markets</w:t>
      </w:r>
      <w:r>
        <w:rPr>
          <w:rFonts w:ascii="Arial" w:cs="Arial" w:eastAsia="Arial" w:hAnsi="Arial"/>
          <w:sz w:val="19"/>
          <w:szCs w:val="19"/>
          <w:i w:val="1"/>
          <w:iCs w:val="1"/>
          <w:color w:val="auto"/>
        </w:rPr>
        <w:t xml:space="preserve"> </w:t>
      </w:r>
      <w:r>
        <w:rPr>
          <w:rFonts w:ascii="Arial" w:cs="Arial" w:eastAsia="Arial" w:hAnsi="Arial"/>
          <w:sz w:val="19"/>
          <w:szCs w:val="19"/>
          <w:color w:val="auto"/>
        </w:rPr>
        <w:t>in South America and Asia, and in strategically selected emerging and high-growth developed markets, with a focus on Brazil.</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2. </w:t>
      </w:r>
      <w:r>
        <w:rPr>
          <w:rFonts w:ascii="Arial" w:cs="Arial" w:eastAsia="Arial" w:hAnsi="Arial"/>
          <w:sz w:val="20"/>
          <w:szCs w:val="20"/>
          <w:i w:val="1"/>
          <w:iCs w:val="1"/>
          <w:color w:val="auto"/>
        </w:rPr>
        <w:t>Properties</w:t>
      </w:r>
      <w:r>
        <w:rPr>
          <w:rFonts w:ascii="Arial" w:cs="Arial" w:eastAsia="Arial" w:hAnsi="Arial"/>
          <w:sz w:val="20"/>
          <w:szCs w:val="20"/>
          <w:color w:val="auto"/>
        </w:rPr>
        <w:t xml:space="preserve"> for disclosure of our international restaurant count by country and territory.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RESEARCH &amp; DEVELOPMENT / INNOVATION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utilize a global core menu policy to ensure consistency and quality in our menu offerings. Before we add an item to the core menu, our research and development (“R&amp;D”) team performs a thorough review of the item, including conducting consumer research. Internationally, we have teams in our developed markets that tailor our menus to address the preferences of local consumers.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continuously evolve our product offerings based on consumer trends and feedback. We have a 12-month pipeline of new menu and promotional items across all concepts that allows us to quickly make adjustments in response to market demands, when necessary. In addition, we continue to focus on productivity across the portfolio. For new menu items and significant product changes, we have a testing process that includes direct consumer feedback on the product and its pricing.</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Menu innovation and simplification remains a high priority across all concepts. In recent years, we increased certain portion sizes at Outback Steakhouse and Carrabba’s Italian Grill and introduced a new center-cut filet at Outback Steakhouse. At Bonefish Grill, we source fresh fish specials locally with our “Neighborhood Catch” dishes. During 2019, Fleming’s Prime Steakhouse &amp; Wine Bar began offering selections through its “Chef’s Table” which features chef driven local menu selections to differentiate the brand from the traditional high-end steakhouse.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INFORMATION SYSTEMS</w:t>
      </w:r>
    </w:p>
    <w:p>
      <w:pPr>
        <w:spacing w:after="0" w:line="22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leverage technology to support such areas as digital marketing and customer engagement, business analytics and decision support, restaurant operations and productivity initiatives related to optimizing our staffing, food waste management and supply chain efficiency.</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 drive customer engagement, we continue to invest in data and technology infrastructure, including brand websites, digital marketing, online ordering and mobile apps. To increase customer convenience, we are leveraging our online ordering infrastructure to facilitate expanded off-premises dining including our own delivery fleet and systems. Additionally, we developed systems to support our customer loyalty program with a focus on increasing traffic to our restaurants. In recent years, investments have also been made in a global supply chain management system to provide better inventory forecasting and replenishment to our restaurants, which helps us manage food quality and cost. We also continue to invest in a range of tools and infrastructure to support risk management and cyber security.</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integrated point-of-sale system allows us to transact business in our restaurants and communicate sales data through a secure corporate network to our enterprise resource planning system and data warehouse. Our Company-owned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restaurants, and most of our franchised restaurants, are connected through a portal that provides our employees and franchise partners with access to business information and tools that allow them to collaborate, communicate, train and share information.</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We maintain a robust system to ensure network security and safeguard against data loss. See Item 1A.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additional discussion of our cyber security measures.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ADVERTISING AND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advertise through a diverse set of media channels including but not limited to national/spot television, radio, social media, search engines and other digital tactics. Our concepts have active public relations programs and also rely on national promotions, site visibility, local marketing, digital marketing, direct mail, billboards and point-of-sale materials to promote our restaurants. Recently, we increased our focus on data segmentation and personalization, customer relationship management and digital advertising to be more efficient and relevant with our advertising expenditures. Internationally, we have teams in our developed markets that engage local agencies to tailor advertising to each market and develop relevant and timely promotions based on local consumer demand.</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multi-branded loyalty program, Dine Rewards, is designed to drive incremental traffic and provide data for customer segmentation and personalization opportunities. Additionally, to help maintain consumer interest and relevance, each concept leverages limited-time offers featuring seasonal specials. We promote limited-time offers through integrated marketing programs that utilize all of our advertising resources.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RESTAURANT OPERATIONS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Management and Employees - </w:t>
      </w:r>
      <w:r>
        <w:rPr>
          <w:rFonts w:ascii="Arial" w:cs="Arial" w:eastAsia="Arial" w:hAnsi="Arial"/>
          <w:sz w:val="18"/>
          <w:szCs w:val="18"/>
          <w:color w:val="auto"/>
        </w:rPr>
        <w:t>The restaurant management staff varies by concept and restaurant size. Our restaurants employ primarily hourly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many of whom work part-time. The Restaurant Managing Partner has primary responsibility for the day-to-day operation of the restaurant and is required to follow Company-established operating standards. Area Operating Partners for our casual dining concepts are typically responsible for overseeing the operations of six to 12 restaurants and Restaurant Managing Partners within a specific region.</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to base salary, Area Operating Partners, Restaurant Managing Partners and Chef Partners generally receive performance-based bonuses for providing management and supervisory services to their restaurants, certain of which may be based on a percentage of their restaurants’ monthly operating results or cash flows and/or total controllable income.</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Restaurant Managing Partners and Chef Partners in the U.S. may also participate in deferred compensation and other performance-based compensation programs. To fund deferred compensation arrangements, we may invest in corporate-owned life insurance policies, which are held within an irrevocable grantor or “rabbi” trust account for settlement of certain of our obligations under the deferred compensation plans.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Many of our international Restaurant Managing Partners are given the option to purchase participation interests in the cash distributions of the restaurants they manage. The amount, terms and availability vary by country.</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Supervision and Training </w:t>
      </w:r>
      <w:r>
        <w:rPr>
          <w:rFonts w:ascii="Arial" w:cs="Arial" w:eastAsia="Arial" w:hAnsi="Arial"/>
          <w:sz w:val="20"/>
          <w:szCs w:val="20"/>
          <w:color w:val="auto"/>
        </w:rPr>
        <w:t>- We require our Area Operating Partners and Restaurant Managing Partners to have significant experience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full-service restaurant industry. All Area Operating Partners and Restaurant Managing Partners are required to complete a comprehensive training program that emphasizes our operating strategy, procedures and standards. The Restaurant Managing Partners and Area Operating Partners, together with our Presidents, Regional Vice Presidents, Vice Presidents of Training and Directors of Training, are responsible for selecting and training the employees for each new restaurant.</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Service </w:t>
      </w:r>
      <w:r>
        <w:rPr>
          <w:rFonts w:ascii="Arial" w:cs="Arial" w:eastAsia="Arial" w:hAnsi="Arial"/>
          <w:sz w:val="20"/>
          <w:szCs w:val="20"/>
          <w:color w:val="auto"/>
        </w:rPr>
        <w:t>- In order to better assess and improve our performance, we utilize satisfaction measurement programs that provide us with industry</w:t>
      </w:r>
      <w:r>
        <w:rPr>
          <w:rFonts w:ascii="Arial" w:cs="Arial" w:eastAsia="Arial" w:hAnsi="Arial"/>
          <w:sz w:val="20"/>
          <w:szCs w:val="20"/>
          <w:i w:val="1"/>
          <w:iCs w:val="1"/>
          <w:color w:val="auto"/>
        </w:rPr>
        <w:t xml:space="preserve"> </w:t>
      </w:r>
      <w:r>
        <w:rPr>
          <w:rFonts w:ascii="Arial" w:cs="Arial" w:eastAsia="Arial" w:hAnsi="Arial"/>
          <w:sz w:val="20"/>
          <w:szCs w:val="20"/>
          <w:color w:val="auto"/>
        </w:rPr>
        <w:t>benchmarking information for our Company-owned locations in the U.S. For all other locations, we use various customer satisfaction measures to assess and improve our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SOURCING AND SUPPLY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Sourcing and Supply - </w:t>
      </w:r>
      <w:r>
        <w:rPr>
          <w:rFonts w:ascii="Arial" w:cs="Arial" w:eastAsia="Arial" w:hAnsi="Arial"/>
          <w:sz w:val="20"/>
          <w:szCs w:val="20"/>
          <w:color w:val="auto"/>
        </w:rPr>
        <w:t>We take a global approach to procurement and supply chain management, with our corporate team serving all U.S. and</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 concepts. In addition, we have dedicated supply chain management personnel for our international operations in South America and Asia. The supply chain management organization is responsible for all food and operating supply purchases as well as a large percentage of purchases of field and corporate services.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address the end-to-end costs associated with the products and goods we purchase by utilizing a combination of global, regional and local suppliers to capture efficiencies and economies of scale. This “total cost of ownership” (“TCO”) approach focuses on the initial purchase price, coupled with the cost structure underlying the procurement and order fulfillment process. The TCO approach includes monitoring commodity markets and trends to execute product purchases at the most advantageous times.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 distribution program that includes food, beverage, smallwares and packaging goods in all major markets. This program is managed by a custom distribution company that only provides products approved for our system. This customized relationship also enables our staff to effectively manage and prioritize our supply chain.</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Beef represents the majority of purchased proteins. In 2019, we primarily purchased our U.S. beef raw materials from four beef suppliers and our Brazil beef raw materials from two beef suppliers. Due to the nature of our industry, we expect to continue purchasing a substantial amount of beef from a small number of suppliers. Other major commodity categories purchased include produce, dairy, bread and pasta, and energy sources to operate our restaurants, such as natural gas and electricity.</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Quality Control - </w:t>
      </w:r>
      <w:r>
        <w:rPr>
          <w:rFonts w:ascii="Arial" w:cs="Arial" w:eastAsia="Arial" w:hAnsi="Arial"/>
          <w:sz w:val="20"/>
          <w:szCs w:val="20"/>
          <w:color w:val="auto"/>
        </w:rPr>
        <w:t>Our R&amp;D facility is located in Tampa, Florida and serves as a global test kitchen and vendor product qualification site. Our</w:t>
      </w:r>
      <w:r>
        <w:rPr>
          <w:rFonts w:ascii="Arial" w:cs="Arial" w:eastAsia="Arial" w:hAnsi="Arial"/>
          <w:sz w:val="20"/>
          <w:szCs w:val="20"/>
          <w:i w:val="1"/>
          <w:iCs w:val="1"/>
          <w:color w:val="auto"/>
        </w:rPr>
        <w:t xml:space="preserve"> </w:t>
      </w:r>
      <w:r>
        <w:rPr>
          <w:rFonts w:ascii="Arial" w:cs="Arial" w:eastAsia="Arial" w:hAnsi="Arial"/>
          <w:sz w:val="20"/>
          <w:szCs w:val="20"/>
          <w:color w:val="auto"/>
        </w:rPr>
        <w:t>quality assurance team manages internal auditors responsible for supplier evaluations and external third parties who inspect supplier adherence to quality, food safety and product specification. We have a program that ensures suppliers comply with quality, food safety and other specifications. Our suppliers also utilize third-party labs for food safety and quality verification. We develop sourcing strategies for all commodity categories based on the dynamics of each category. In addition, we require our supplier partners to meet or exceed our quality assurance standards.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operational teams have multiple touch points in the restaurants ensuring food safety, quality and freshness throughout all phases of the preparation process. In addition, we employ third-party auditors to verify our standards of food safety, training and sanitation.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RESTAURANT OWNERSHIP STRUCTURES</w:t>
      </w: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generate our revenues from our Company-owned restaurants and through ongoing royalties from our franchised restaurants and sales of franchise rights.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Company-owned Restaurants - </w:t>
      </w:r>
      <w:r>
        <w:rPr>
          <w:rFonts w:ascii="Arial" w:cs="Arial" w:eastAsia="Arial" w:hAnsi="Arial"/>
          <w:sz w:val="19"/>
          <w:szCs w:val="19"/>
          <w:color w:val="auto"/>
        </w:rPr>
        <w:t>Company-owned restaurants are restaurants wholly-owned by us or in which we have a majority ownership.</w:t>
      </w:r>
      <w:r>
        <w:rPr>
          <w:rFonts w:ascii="Arial" w:cs="Arial" w:eastAsia="Arial" w:hAnsi="Arial"/>
          <w:sz w:val="19"/>
          <w:szCs w:val="19"/>
          <w:i w:val="1"/>
          <w:iCs w:val="1"/>
          <w:color w:val="auto"/>
        </w:rPr>
        <w:t xml:space="preserve"> </w:t>
      </w:r>
      <w:r>
        <w:rPr>
          <w:rFonts w:ascii="Arial" w:cs="Arial" w:eastAsia="Arial" w:hAnsi="Arial"/>
          <w:sz w:val="19"/>
          <w:szCs w:val="19"/>
          <w:color w:val="auto"/>
        </w:rPr>
        <w:t>Our cash flows from entities in which we have a majority ownership are limited to the portion of our ownership. The results of operations of Company-owned restaurants are included in our consolidated operating results and the portion of income or loss attributable to the noncontrolling interests is eliminated in our Consolidated Statements of Operations and Comprehensive Income.</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pay royalties that range from 0.5% to 1.5% of U.S. sales on the majority of our Carrabba’s Italian Grill restaurants, pursuant to agreements we entered into with the Carrabba’s Italian Grill founders (“Carrabba’s Founders”). Each Carrabba’s Italian Grill restaurant located outside the U.S. pays a one-time lump sum fee to the Carrabba’s Founders, which varies depending on the size of the restaurant. No continuing royalty fee is paid to the Carrabba’s Founders for Carrabba’s Italian Grill restaurants located outside the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 xml:space="preserve">Unaffiliated Franchise Program </w:t>
      </w:r>
      <w:r>
        <w:rPr>
          <w:rFonts w:ascii="Arial" w:cs="Arial" w:eastAsia="Arial" w:hAnsi="Arial"/>
          <w:sz w:val="20"/>
          <w:szCs w:val="20"/>
          <w:color w:val="auto"/>
        </w:rPr>
        <w:t>- Our unaffiliated franchise agreements grant third parties rights to establish and operate a restaurant using one</w:t>
      </w:r>
      <w:r>
        <w:rPr>
          <w:rFonts w:ascii="Arial" w:cs="Arial" w:eastAsia="Arial" w:hAnsi="Arial"/>
          <w:sz w:val="20"/>
          <w:szCs w:val="20"/>
          <w:i w:val="1"/>
          <w:iCs w:val="1"/>
          <w:color w:val="auto"/>
        </w:rPr>
        <w:t xml:space="preserve"> </w:t>
      </w:r>
      <w:r>
        <w:rPr>
          <w:rFonts w:ascii="Arial" w:cs="Arial" w:eastAsia="Arial" w:hAnsi="Arial"/>
          <w:sz w:val="20"/>
          <w:szCs w:val="20"/>
          <w:color w:val="auto"/>
        </w:rPr>
        <w:t>of our concepts. Franchised restaurants are required to be operated in accordance with the franchise agreement and in compliance with their respective concept’s standards and specifications.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Under our franchise agreements, each franchisee is required to pay an initial franchise fee and monthly royalties based on a percentage of gross restaurant sales. Initial franchise fees are generally $40,000 for U.S. franchisees and range between $30,000 and $75,000 for international franchisees, depending on the market. Some franchisees may also pay administration fees based on a percentage of gross restaurant sales. Following is a summary of royalty fee percentages based on our existing unaffiliated franchise agreements: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MONTHLY ROYALTY FEE</w:t>
            </w:r>
          </w:p>
        </w:tc>
      </w:tr>
      <w:tr>
        <w:trPr>
          <w:trHeight w:val="205"/>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(as a % of gross Restaurant sales)</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w:t>
            </w: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franchisees (1)</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3.50% - 5.75%</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International franchisees (2)</w:t>
            </w:r>
          </w:p>
        </w:tc>
        <w:tc>
          <w:tcPr>
            <w:tcW w:w="2400" w:type="dxa"/>
            <w:vAlign w:val="bottom"/>
          </w:tcPr>
          <w:p>
            <w:pPr>
              <w:jc w:val="center"/>
              <w:spacing w:after="0"/>
              <w:rPr>
                <w:sz w:val="20"/>
                <w:szCs w:val="20"/>
                <w:color w:val="auto"/>
              </w:rPr>
            </w:pPr>
            <w:r>
              <w:rPr>
                <w:rFonts w:ascii="Arial" w:cs="Arial" w:eastAsia="Arial" w:hAnsi="Arial"/>
                <w:sz w:val="16"/>
                <w:szCs w:val="16"/>
                <w:color w:val="auto"/>
                <w:w w:val="93"/>
              </w:rPr>
              <w:t>2.75% - 6.00%</w:t>
            </w:r>
          </w:p>
        </w:tc>
      </w:tr>
      <w:tr>
        <w:trPr>
          <w:trHeight w:val="226"/>
        </w:trPr>
        <w:tc>
          <w:tcPr>
            <w:tcW w:w="9020" w:type="dxa"/>
            <w:vAlign w:val="bottom"/>
          </w:tcPr>
          <w:p>
            <w:pPr>
              <w:jc w:val="right"/>
              <w:ind w:right="7561"/>
              <w:spacing w:after="0"/>
              <w:rPr>
                <w:sz w:val="20"/>
                <w:szCs w:val="20"/>
                <w:color w:val="auto"/>
              </w:rPr>
            </w:pPr>
            <w:r>
              <w:rPr>
                <w:rFonts w:ascii="Arial" w:cs="Arial" w:eastAsia="Arial" w:hAnsi="Arial"/>
                <w:sz w:val="16"/>
                <w:szCs w:val="16"/>
                <w:color w:val="auto"/>
                <w:w w:val="89"/>
              </w:rPr>
              <w:t>_________________</w:t>
            </w:r>
          </w:p>
        </w:tc>
        <w:tc>
          <w:tcPr>
            <w:tcW w:w="2400" w:type="dxa"/>
            <w:vAlign w:val="bottom"/>
          </w:tcPr>
          <w:p>
            <w:pPr>
              <w:spacing w:after="0"/>
              <w:rPr>
                <w:sz w:val="19"/>
                <w:szCs w:val="19"/>
                <w:color w:val="auto"/>
              </w:rPr>
            </w:pPr>
          </w:p>
        </w:tc>
      </w:tr>
    </w:tbl>
    <w:p>
      <w:pPr>
        <w:ind w:left="660" w:hanging="652"/>
        <w:spacing w:after="0" w:line="26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U.S. franchisees must also contribute a percentage of gross sales for national marketing programs and spend a certain percentage of gross sales on local advertising. For most U.S. franchisees, there is a maximum of 8.0% of gross restaurant sales for combined national marketing and local advertising.</w:t>
      </w: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International franchisees must also spend a certain percentage of gross sales on local advertising, which varies depending on the market.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restaurant industry is highly competitive with a substantial number of restaurant operators that compete directly and indirectly with us in respect to price, service, location and food quality, and there are other well-established competitors with significant financial and other resources. There is also active competition for management personnel, attractive suitable real estate sites, supplies and restaurant employees. In addition, competition is influenced strongly by marketing and brand reputation. At an aggregate level, all major casual dining restaurants in markets in which we operate would be considered competitors of our concepts. We also face growing competition from the supermarket industry which offers expanded selections of prepared meals. In addition, improving product offerings and convenience options from quick service and fast casual restaurants and the expansion of home delivery services, together with negative economic conditions, could cause consumers to choose less expensive alternatives. Internationally, we face increasing competition due to an increase in the number of casual dining restaurant options in the markets in which we operate.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GOVERNMENT REGULATION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are subject to various federal, state, local and international laws affecting our business. Each of our restaurants is subject to licensing and regulation by a number of governmental authorities, which may include, among others, alcoholic beverage control, health and safety agencies, environmental and fire agencies in the state, municipality or country in which the restaurant is located.</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U.S. </w:t>
      </w:r>
      <w:r>
        <w:rPr>
          <w:rFonts w:ascii="Arial" w:cs="Arial" w:eastAsia="Arial" w:hAnsi="Arial"/>
          <w:sz w:val="20"/>
          <w:szCs w:val="20"/>
          <w:color w:val="auto"/>
        </w:rPr>
        <w:t>- Alcoholic beverage sales represent 14% of our U.S. restaurant sales. Alcoholic beverage control regulations require each of our</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to apply to a state authority and, in certain locations, county or municipal authorities for a license or permit to sell alcoholic beverages on the premises and, where applicable, a permit to provide service for extended hours and on Sundays.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Our restaurant operations are also subject to federal and state laws for such matters as:</w:t>
      </w: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immigration, employment, minimum wages, overtime, tip credits, worker conditions and health care;</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menu labeling and food safety;</w:t>
      </w:r>
    </w:p>
    <w:p>
      <w:pPr>
        <w:ind w:left="660" w:right="20" w:hanging="328"/>
        <w:spacing w:after="0" w:line="239"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Americans with Disabilities Act, which, among other things, requires our restaurants to meet federally mandated requirements for the disabled; and</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information security, privacy, cashless payments and gift cards.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i w:val="1"/>
          <w:iCs w:val="1"/>
          <w:color w:val="auto"/>
        </w:rPr>
        <w:t xml:space="preserve">International - </w:t>
      </w:r>
      <w:r>
        <w:rPr>
          <w:rFonts w:ascii="Arial" w:cs="Arial" w:eastAsia="Arial" w:hAnsi="Arial"/>
          <w:sz w:val="19"/>
          <w:szCs w:val="19"/>
          <w:color w:val="auto"/>
        </w:rPr>
        <w:t>Our restaurants outside of the U.S. are subject to similar local laws and regulations as our U.S. restaurants, including labor, food</w:t>
      </w:r>
      <w:r>
        <w:rPr>
          <w:rFonts w:ascii="Arial" w:cs="Arial" w:eastAsia="Arial" w:hAnsi="Arial"/>
          <w:sz w:val="19"/>
          <w:szCs w:val="19"/>
          <w:i w:val="1"/>
          <w:iCs w:val="1"/>
          <w:color w:val="auto"/>
        </w:rPr>
        <w:t xml:space="preserve"> </w:t>
      </w:r>
      <w:r>
        <w:rPr>
          <w:rFonts w:ascii="Arial" w:cs="Arial" w:eastAsia="Arial" w:hAnsi="Arial"/>
          <w:sz w:val="19"/>
          <w:szCs w:val="19"/>
          <w:color w:val="auto"/>
        </w:rPr>
        <w:t>safety and information security. In addition, we are subject to anti-bribery and anti-corruption laws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1A -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a discussion of risks relating to federal, state, local and international regulation of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INFORMATION ABOUT OUR EXECUTIVE OFFICERS</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Below is a list of the names, ages, positions and a brief description of the business experience of each of our executive officers as of February 14,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Borders>
              <w:bottom w:val="single" w:sz="8" w:color="CCEEFF"/>
            </w:tcBorders>
          </w:tcPr>
          <w:p>
            <w:pPr>
              <w:spacing w:after="0"/>
              <w:rPr>
                <w:sz w:val="17"/>
                <w:szCs w:val="17"/>
                <w:color w:val="auto"/>
              </w:rPr>
            </w:pPr>
          </w:p>
        </w:tc>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r>
      <w:tr>
        <w:trPr>
          <w:trHeight w:val="237"/>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David J. Deno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r>
      <w:tr>
        <w:trPr>
          <w:trHeight w:val="224"/>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Christopher Meyer</w:t>
            </w:r>
          </w:p>
        </w:tc>
        <w:tc>
          <w:tcPr>
            <w:tcW w:w="1140" w:type="dxa"/>
            <w:vAlign w:val="bottom"/>
          </w:tcPr>
          <w:p>
            <w:pPr>
              <w:jc w:val="center"/>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6"/>
                <w:szCs w:val="16"/>
                <w:color w:val="auto"/>
              </w:rPr>
              <w:t>Executive Vice President, Chief Financial Officer</w:t>
            </w:r>
          </w:p>
        </w:tc>
      </w:tr>
      <w:tr>
        <w:trPr>
          <w:trHeight w:val="47"/>
        </w:trPr>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20" w:type="dxa"/>
            <w:vAlign w:val="bottom"/>
          </w:tcPr>
          <w:p>
            <w:pPr>
              <w:spacing w:after="0"/>
              <w:rPr>
                <w:sz w:val="4"/>
                <w:szCs w:val="4"/>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Kelly Lefferts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Executive Vice President, Chief Legal Officer and Secretary</w:t>
            </w:r>
          </w:p>
        </w:tc>
      </w:tr>
      <w:tr>
        <w:trPr>
          <w:trHeight w:val="224"/>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Gregg Scarlett</w:t>
            </w:r>
          </w:p>
        </w:tc>
        <w:tc>
          <w:tcPr>
            <w:tcW w:w="1140" w:type="dxa"/>
            <w:vAlign w:val="bottom"/>
          </w:tcPr>
          <w:p>
            <w:pPr>
              <w:jc w:val="center"/>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6"/>
                <w:szCs w:val="16"/>
                <w:color w:val="auto"/>
              </w:rPr>
              <w:t>Executive Vice President, Chief Operating Officer, Casual Dining Restaurants</w:t>
            </w:r>
          </w:p>
        </w:tc>
      </w:tr>
      <w:tr>
        <w:trPr>
          <w:trHeight w:val="47"/>
        </w:trPr>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20" w:type="dxa"/>
            <w:vAlign w:val="bottom"/>
          </w:tcPr>
          <w:p>
            <w:pPr>
              <w:spacing w:after="0"/>
              <w:rPr>
                <w:sz w:val="4"/>
                <w:szCs w:val="4"/>
                <w:color w:val="auto"/>
              </w:rPr>
            </w:pPr>
          </w:p>
        </w:tc>
      </w:tr>
      <w:tr>
        <w:trPr>
          <w:trHeight w:val="224"/>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Michael Stutts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Vice President, Chief Customer Officer</w:t>
            </w:r>
          </w:p>
        </w:tc>
      </w:tr>
      <w:tr>
        <w:trPr>
          <w:trHeight w:val="47"/>
        </w:trPr>
        <w:tc>
          <w:tcPr>
            <w:tcW w:w="2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20" w:type="dxa"/>
            <w:vAlign w:val="bottom"/>
            <w:shd w:val="clear" w:color="auto" w:fill="CCEEFF"/>
          </w:tcPr>
          <w:p>
            <w:pPr>
              <w:spacing w:after="0"/>
              <w:rPr>
                <w:sz w:val="4"/>
                <w:szCs w:val="4"/>
                <w:color w:val="auto"/>
              </w:rPr>
            </w:pPr>
          </w:p>
        </w:tc>
      </w:tr>
    </w:tbl>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David J. Deno </w:t>
      </w:r>
      <w:r>
        <w:rPr>
          <w:rFonts w:ascii="Arial" w:cs="Arial" w:eastAsia="Arial" w:hAnsi="Arial"/>
          <w:sz w:val="18"/>
          <w:szCs w:val="18"/>
          <w:color w:val="auto"/>
        </w:rPr>
        <w:t>has served as Chief Executive Officer and as a member of our Board of Directors since April 2019. Mr. Deno previously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Executive Vice President and Chief Financial and Administrative Officer from October 2013 to April 2019 and as Executive Vice President and Chief Financial Officer from May 2012 to October 2013. Prior to joining Bloomin’ Brands, Mr. Deno was Chief Financial Officer of the international division of Best Buy Co. Inc. from December 2009 to May 2012. Mr. Deno has also previously served as President and later Chief Executive Officer of Quiznos and Chief Financial Officer and later Chief Operating Officer of YUM! Brands, Inc.</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Christopher Meyer </w:t>
      </w:r>
      <w:r>
        <w:rPr>
          <w:rFonts w:ascii="Arial" w:cs="Arial" w:eastAsia="Arial" w:hAnsi="Arial"/>
          <w:sz w:val="20"/>
          <w:szCs w:val="20"/>
          <w:color w:val="auto"/>
        </w:rPr>
        <w:t>has served as Executive Vice President, Chief Financial Officer since April 2019. Mr. Meyer previously served as Group</w:t>
      </w:r>
      <w:r>
        <w:rPr>
          <w:rFonts w:ascii="Arial" w:cs="Arial" w:eastAsia="Arial" w:hAnsi="Arial"/>
          <w:sz w:val="20"/>
          <w:szCs w:val="20"/>
          <w:b w:val="1"/>
          <w:bCs w:val="1"/>
          <w:color w:val="auto"/>
        </w:rPr>
        <w:t xml:space="preserve"> </w:t>
      </w:r>
      <w:r>
        <w:rPr>
          <w:rFonts w:ascii="Arial" w:cs="Arial" w:eastAsia="Arial" w:hAnsi="Arial"/>
          <w:sz w:val="20"/>
          <w:szCs w:val="20"/>
          <w:color w:val="auto"/>
        </w:rPr>
        <w:t>Vice President, Finance, Treasury and Accounting from November 2017 to April 2019 and Group Vice President, Financial Planning &amp; Analysis and Investor Relations from September 2014 to November 2017.</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Kelly Lefferts </w:t>
      </w:r>
      <w:r>
        <w:rPr>
          <w:rFonts w:ascii="Arial" w:cs="Arial" w:eastAsia="Arial" w:hAnsi="Arial"/>
          <w:sz w:val="18"/>
          <w:szCs w:val="18"/>
          <w:color w:val="auto"/>
        </w:rPr>
        <w:t>has served as Executive Vice President, Chief Legal Officer since July 2019. Ms. Lefferts served as Group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U.S. General Counsel of Bloomin’ Brands from September 2015 to July 2019 and Vice President and Assistant General Counsel of Bloomin’ Brands from January 2008 to September 2015. She has also served as Secretary of Bloomin’ Brands since February 2016.</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Gregg Scarlett </w:t>
      </w:r>
      <w:r>
        <w:rPr>
          <w:rFonts w:ascii="Arial" w:cs="Arial" w:eastAsia="Arial" w:hAnsi="Arial"/>
          <w:sz w:val="19"/>
          <w:szCs w:val="19"/>
          <w:color w:val="auto"/>
        </w:rPr>
        <w:t>has served as Executive Vice President, Chief Operating Officer, Casual Dining Restaurants since February 2020. Mr. Scarlett</w:t>
      </w:r>
      <w:r>
        <w:rPr>
          <w:rFonts w:ascii="Arial" w:cs="Arial" w:eastAsia="Arial" w:hAnsi="Arial"/>
          <w:sz w:val="19"/>
          <w:szCs w:val="19"/>
          <w:b w:val="1"/>
          <w:bCs w:val="1"/>
          <w:color w:val="auto"/>
        </w:rPr>
        <w:t xml:space="preserve"> </w:t>
      </w:r>
      <w:r>
        <w:rPr>
          <w:rFonts w:ascii="Arial" w:cs="Arial" w:eastAsia="Arial" w:hAnsi="Arial"/>
          <w:sz w:val="19"/>
          <w:szCs w:val="19"/>
          <w:color w:val="auto"/>
        </w:rPr>
        <w:t>previously served as Executive Vice President, President of Outback Steakhouse from July 2016 to February 2020; Executive Vice President, President of Bonefish Grill from April 2015 to July 2016; Senior Vice President, Casual Dining Restaurant Operations from January 2013 to April 2015; and Senior Vice President of Operations for Outback Steakhouse from March 2010 to January 2013.</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Michael Stutts </w:t>
      </w:r>
      <w:r>
        <w:rPr>
          <w:rFonts w:ascii="Arial" w:cs="Arial" w:eastAsia="Arial" w:hAnsi="Arial"/>
          <w:sz w:val="19"/>
          <w:szCs w:val="19"/>
          <w:color w:val="auto"/>
        </w:rPr>
        <w:t>has served as Executive Vice President, Chief Customer Officer since June 2019. Prior to joining Bloomin’ Brands, Mr. Stutts</w:t>
      </w:r>
      <w:r>
        <w:rPr>
          <w:rFonts w:ascii="Arial" w:cs="Arial" w:eastAsia="Arial" w:hAnsi="Arial"/>
          <w:sz w:val="19"/>
          <w:szCs w:val="19"/>
          <w:b w:val="1"/>
          <w:bCs w:val="1"/>
          <w:color w:val="auto"/>
        </w:rPr>
        <w:t xml:space="preserve"> </w:t>
      </w:r>
      <w:r>
        <w:rPr>
          <w:rFonts w:ascii="Arial" w:cs="Arial" w:eastAsia="Arial" w:hAnsi="Arial"/>
          <w:sz w:val="19"/>
          <w:szCs w:val="19"/>
          <w:color w:val="auto"/>
        </w:rPr>
        <w:t>served as a Partner and Managing Director at Boston Consulting Group, from September 2008 to December 2018.</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EMPLOYEES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As of December 29, 2019, we employed approximately 94,000 persons, of which approximately 800 are corporate personnel, including 200 in international markets. None of our U.S. employees are covered by a collective bargaining agreement. Various jurisdictional industry-wide labor agreements apply to certain of our employees in Brazil. We consider our employee relations to be in good standing.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TRADEMARKS</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We regard our Outback</w:t>
      </w:r>
      <w:r>
        <w:rPr>
          <w:rFonts w:ascii="Arial" w:cs="Arial" w:eastAsia="Arial" w:hAnsi="Arial"/>
          <w:sz w:val="24"/>
          <w:szCs w:val="24"/>
          <w:color w:val="auto"/>
          <w:vertAlign w:val="superscript"/>
        </w:rPr>
        <w:t>®</w:t>
      </w:r>
      <w:r>
        <w:rPr>
          <w:rFonts w:ascii="Arial" w:cs="Arial" w:eastAsia="Arial" w:hAnsi="Arial"/>
          <w:sz w:val="19"/>
          <w:szCs w:val="19"/>
          <w:color w:val="auto"/>
        </w:rPr>
        <w:t>, Outback Steakhouse</w:t>
      </w:r>
      <w:r>
        <w:rPr>
          <w:rFonts w:ascii="Arial" w:cs="Arial" w:eastAsia="Arial" w:hAnsi="Arial"/>
          <w:sz w:val="24"/>
          <w:szCs w:val="24"/>
          <w:color w:val="auto"/>
          <w:vertAlign w:val="superscript"/>
        </w:rPr>
        <w:t>®</w:t>
      </w:r>
      <w:r>
        <w:rPr>
          <w:rFonts w:ascii="Arial" w:cs="Arial" w:eastAsia="Arial" w:hAnsi="Arial"/>
          <w:sz w:val="19"/>
          <w:szCs w:val="19"/>
          <w:color w:val="auto"/>
        </w:rPr>
        <w:t>, Carrabba’s Italian Grill</w:t>
      </w:r>
      <w:r>
        <w:rPr>
          <w:rFonts w:ascii="Arial" w:cs="Arial" w:eastAsia="Arial" w:hAnsi="Arial"/>
          <w:sz w:val="24"/>
          <w:szCs w:val="24"/>
          <w:color w:val="auto"/>
          <w:vertAlign w:val="superscript"/>
        </w:rPr>
        <w:t>®</w:t>
      </w:r>
      <w:r>
        <w:rPr>
          <w:rFonts w:ascii="Arial" w:cs="Arial" w:eastAsia="Arial" w:hAnsi="Arial"/>
          <w:sz w:val="19"/>
          <w:szCs w:val="19"/>
          <w:color w:val="auto"/>
        </w:rPr>
        <w:t>, Bonefish Grill</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and Fleming’s Prime Steakhouse &amp; Wine Bar</w:t>
      </w:r>
      <w:r>
        <w:rPr>
          <w:rFonts w:ascii="Arial" w:cs="Arial" w:eastAsia="Arial" w:hAnsi="Arial"/>
          <w:sz w:val="24"/>
          <w:szCs w:val="24"/>
          <w:color w:val="auto"/>
          <w:vertAlign w:val="superscript"/>
        </w:rPr>
        <w:t>®</w:t>
      </w:r>
      <w:r>
        <w:rPr>
          <w:rFonts w:ascii="Arial" w:cs="Arial" w:eastAsia="Arial" w:hAnsi="Arial"/>
          <w:sz w:val="19"/>
          <w:szCs w:val="19"/>
          <w:color w:val="auto"/>
        </w:rPr>
        <w:t xml:space="preserve"> service marks and our Bloomin’ Onion</w:t>
      </w:r>
      <w:r>
        <w:rPr>
          <w:rFonts w:ascii="Arial" w:cs="Arial" w:eastAsia="Arial" w:hAnsi="Arial"/>
          <w:sz w:val="24"/>
          <w:szCs w:val="24"/>
          <w:color w:val="auto"/>
          <w:vertAlign w:val="superscript"/>
        </w:rPr>
        <w:t>®</w:t>
      </w:r>
      <w:r>
        <w:rPr>
          <w:rFonts w:ascii="Arial" w:cs="Arial" w:eastAsia="Arial" w:hAnsi="Arial"/>
          <w:sz w:val="19"/>
          <w:szCs w:val="19"/>
          <w:color w:val="auto"/>
        </w:rPr>
        <w:t xml:space="preserve"> trademark as having significant value and as being important factors in the marketing of our restaurants. We have also obtained trademarks and service marks for these and several of our other menu items and various advertising slogans both in the U.S. and in countries where we operate. We are aware of names and marks similar to the service marks of ours used by other persons in certain geographic areas in which we have restaurants. However, we believe such uses will not adversely affect us. Our policy is to pursue registration of our marks in countries where we operate whenever possible and to vigorously oppose any infringement of our marks. We also have registered domain names for each of our concepts.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license the use of our registered trademarks to franchisees and third parties through franchise and license arrangements. The franchise and license arrangements restrict franchisees’ and licensees’ activities with respect to the use of our trademarks and impose quality control standards in connection with goods and services offered in connection with the trademarks.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SEASONALITY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business is subject to seasonal fluctuations. Historically, customer traffic patterns for our established U.S. restaurants are generally highest in the first quarter of the year and lowest in the third quarter of the year. International customer traffic patterns vary by market. For example, Brazil historically experiences minimal seasonal traffic fluctuations. Additionally, holidays and severe weather may affect sales volumes seasonally in some of our markets.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1A.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discussion of risks related to seasonal and periodic fluctuations.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make available, free of charge, through our internet website www.bloominbrands.com, our Annual Report on Form 10-K, Quarterly Reports on Form 10-Q, Current Reports on Form 8-K, Proxy Statements and amendments to those reports filed or furnished pursuant to Section 13(a) or 15(d) of the Exchange Act, as soon as reasonably practicable after electronically filing such material with the Securities and Exchange Commission (“SEC”). Our reports and other materials filed with the SEC are also available at www.sec.gov. The reference to these website addresses does not constitute incorporation by reference of the information contained on the websites and should not be considered part of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1A.Risk Factors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The risk factors set forth below should be carefully considered. The risks described below are those that we believe could materially and adversely affect our business, financial condition or results of operations, however, they are not the only risks facing us. Additional risks and uncertainties not currently known to us or those we currently view to be immaterial may also materially and adversely affect our business, financial condition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3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There can be no assurance that our review of strategic alternatives or any initiatives or transactions that we pursue will result in additional shareholder value or that the process or any actions that we take will not have an adverse impact on our business.</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November 2019, we announced an exploration and evaluation of strategic alternatives that have the potential to maximize value for our shareholders. Although we have announced certain initiatives that we are taking as a result of the strategic review process to date, the strategic review process is not completed. The process of reviewing strategic alternatives has been and may continue to be time consuming and disruptive to our business operations and, if we are unable to effectively manage the process, our business, financial condition and results of operations could be adversely affected. We have incurred and could continue to incur substantial expenses associated with evaluating potential strategic</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alternatives. This process could also increase our exposure to potential litigation. There can be no assurance that the recently announced initiatives with respect to our organizational structure, cost saving measures and capital allocation policies, or any other potential initiative or transaction that we may pursue, will provide greater value to our shareholders than that reflected in the current price of our common stock or otherwise be successfully implemented. Until the review process is concluded, perceived uncertainties related to our future may result in volatility in the market price of our common stock and may make it more difficult for us to attract and retain qualified personnel and business partners.</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There are risks and uncertainties associated with the recently announced changes to our organizational structure and streamlining of our corporate support functions.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recently announced certain initiatives resulting from our strategic review process to date. These include consolidating the leadership and organizational structure of our casual dining brands and streamlining corporate support functions. These actions are designed to generate significant cost savings over the next couple of years, while maintaining our top priority of driving profitable sales. However, these initiatives involve significant changes to our organization and operations and could be more complicated, time consuming and costly to implement than we currently anticipate. There can be no assurance that we will be able to achieve the targeted cost savings, in a timely manner or at all, or that our actions will not have unforeseen or underestimated adverse effects on our sales or results of operations. In addition, various factors that are outside of our control and are difficult to predict, including general market conditions and industry trends, may affect whether we are able to successfully implement these initiatives.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Food safety and food-borne illness concerns in our restaurants or throughout the industry or supply chain may have an adverse effect on our business by reducing demand and increasing costs.</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Regardless of the source or cause, any report of food-borne illnesses and other food safety issues, whether at one of our restaurants or in the industry or supply chain generally, could have a negative impact on our traffic and sales and adversely affect the reputation of our brands. Food safety issues could be caused by suppliers or distributors and, as a result, be out of our control. Health concerns or outbreaks of disease in a food product could also reduce demand for particular menu offerings. Even instances of food-borne illness, food tampering or food contamination occurring solely at restaurants of other companies could result in negative publicity about the food service industry generally and adversely impact our sales. Social media has dramatically increased the rate at which negative publicity, including as it relates to food-borne illnesses, can be disseminated before there is any meaningful opportunity to respond or address an issue. The occurrence of food-borne illnesses or food safety issues could also adversely affect the price and availability of affected ingredients, resulting in higher costs and lower margins.</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The restaurant industry is highly competitive and consumer options for other prepared food offerings continue to expand. Our inability to compete effectively could adversely affect our business, financial condition and results of operations.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 substantial number of restaurant operators compete directly and indirectly with us with respect to price, service, location and food quality, some of which are well-established with significant resources. There is also active competition for management and other personnel, and attractive suitable real estate sites. Consumer tastes, nutritional and dietary trends, traffic patterns and the type, number and location of competing restaurants often affect the restaurant business, and our competitors may react more efficiently, creatively and effectively to those conditions. In addition, our competitors may generate or better implement business strategies that improve the value and relevance of their brands and reputation, relative to ours. For example, our competitors may more successfully implement menu or technology initiatives, such as remote ordering, social media or mobile technology platforms that expedite or enhance the customer experience. In addition, our competitors may more successfully implement delivery and off-site initiatives. Further, we face growing competition from quick service and fast casual restaurants, the supermarket industry and meal kit and food delivery providers, with the improvement of prepared food offerings and the trend towards convergence in grocery, deli, retail and restaurant services. We believe all of the above factors have increased competitive pressures in the casual dining sector in recent periods and we believe they will continue to present a challenging competitive environment in future periods. If we are unable to continue to compete effectively, our traffic, sales and margins could decline and our business, financial condition and results of operations would be adversely affected.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various federal and state employment and labor laws and regulations.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Various federal and state employment and labor laws and regulations govern our relationships with our employees and affect operating costs, and similar laws and regulations apply to our operations outside of the U.S. These laws and regulations relate to matters including employment discrimination, minimum wage requirements, overtime, tip credits, unemployment tax rates, workers’ compensation rates, working conditions, immigration status, tax reporting and other wage and benefit requirements. Any significant additional government regulations and new laws governing our relationships with employees, including minimum wage increases, mandated benefits or other requirements that impose additional obligations on us, could increase our costs and adversely affect our business and results of operations.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As a significant number of our food service and preparation personnel are paid at rates related to the applicable minimum wage, federal, state and local proposals related to minimum wage requirements or similar matters could, to the extent implemented, materially increase our labor and other costs. Several states in which we operate have recently approved minimum wage increases. As minimum wage increases are implemented in these states or any other states in which we operate in the future, we expect our labor costs will continue to increase. Our ability to respond to minimum wage increases by increasing menu prices depends on the responses of our competitors and consumers. Our distributors and suppliers could also be affected by higher minimum wage, benefit standards and compliance costs, which could result in higher costs for goods and services supplied to us.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rely on our employees to accurately disclose the full amount of their tip income, and we base our FICA tax reporting on the disclosures provided to us by such tipped employees. Inaccurate employee FICA tax reporting could subject us to monetary liabilities, which could harm our business, results of operations and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Challenging economic conditions may have a negative effect on our business and financial results.</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Challenging economic conditions may negatively impact consumer spending and thus cause a decline in our financial results. For example, international, domestic and regional economic conditions, consumer income levels, financial market volatility, social unrest, governmental, political and budget matters and a slow or stagnant pace of economic growth generally may have a negative effect on consumer confidence and discretionary spending, which the restaurant industry depends upon. In addition, it is difficult to predict what impact, if any, the U.S. presidential election in 2020 and its outcome could have on consumer confidence and discretionary spending. In recent years, we believe these factors and conditions may have affected consumer traffic and comparable restaurant sales for us and throughout our industry and may continue to contribute to a challenging sales environment in the casual dining sector. A decline in economic conditions or negative developments with respect to any of the other factors mentioned above, or a perception that such decline or negative developments are imminent, generally or in particular markets in which we operate, and our consumers’ reactions to these trends could result in increased pressure with respect to our pricing, traffic levels, commodity and other costs and the continuation of our innovation and productivity initiatives, which could negatively impact our business and results of operations. These factors could also cause us to, among other things, reduce the number and frequency of new restaurant openings, close restaurants or delay remodeling of our existing restaurant locations. Further, poor economic conditions may force nearby businesses to shut down, which could cause our restaurant locations to be less attractive.</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Cyber security breaches of confidential consumer, personal employee and other material information and other threats to our technological systems may adversely affect our business.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cyber incident that compromises the information of our consumers or employees, whether affecting our technological systems or those of third-party service providers that we rely on, could result in widespread negative publicity, damage to the reputation of our brands, a loss of consumers, an interruption of our business and legal liabilities.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majority of our restaurant sales are by credit or debit cards, and we maintain certain personal information regarding our employees and confidential information about our customers, franchisees and suppliers. Although we segment our card data environment and employ a cyber security protection program based upon industry frameworks, as well as scan and improve our environment for any vulnerabilities, perform penetration testing and engage third parties to assess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effectiveness of our security measures with oversight by our Audit Committee, there are no assurances that such programs will prevent or detect all potential cyber security breaches or technological failures.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operations and corporate functions rely heavily on information systems, including point-of-sale processing in our restaurants, management of our supply chain, payment of obligations, collection of cash, data warehousing to support analytics, finance and accounting systems, mobile technologies to enhance the customer experience and other various processes and procedures, some of which are handled by third parties. Our ability to efficiently and effectively manage our business depends significantly on the reliability and capacity of these systems. The failure of these systems to operate effectively, system maintenance problems, upgrading or transitioning to new platforms, or any cyber incident relating to these systems could expose our systems or information to cyber threats, result in delays in consumer service, reduced efficiency in our operations or result in negative publicity. Despite our security measures, our technology systems may be vulnerable to damage, disability or failures due to physical theft, fire, power loss, telecommunications failure or other catastrophic events, as well as from internal and external security breaches, employee error or malfeasance, denial of service and ransomware attacks, viruses, worms and other disruptive problems.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From time to time we have been, and likely will continue to be, the target of attempted cyber and other security threats, including those common to most industries and those targeting us due to the confidential consumer information we obtain through our electronic processing of credit and debit card transactions. A security breach or even a perceived security breach or failure to appropriately respond to a cyber incident could result in litigation or governmental investigation, as well as damage to our reputation and brands. We are subject to a variety of continuously evolving laws and regulations regarding privacy, data protection and data security at federal, state and international levels. The California Consumer Privacy Act, for example, became effective January 1, 2020 and provides a new private right of action to California residents related to data breaches and imposes new disclosure and other requirements on companies with respect to their data collection, use and sharing practices as they relate to California residents. A claim or investigation resulting from a cyber or other security threat to our systems and data may have a material adverse effect on our business and the potential of incurring significant remediation costs. As cyber security risk and applicable laws and regulations evolve, we may incur significant additional costs in technology, third-party services and personnel to maintain systems designed to anticipate and prevent cyber-attacks.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Increased commodity, energy and other costs could decrease our profit margins or cause us to limit or otherwise modify our menus or increase prices, which could adversely affect our business.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performance of our restaurants depends on our ability to anticipate and react to changes in the price and availability of food commodities. Our business also incurs significant costs for energy, insurance, labor, marketing and real estate. Prices may be affected by supply, market changes, increased competition, the general risk of inflation, changes in laws, shortages or interruptions in supply due to weather, disease or other conditions beyond our control, or other reasons. Increased prices or shortages could affect the cost and quality of the items we buy or require us to raise prices, limit our menu options or implement alternative processes or products. As a result, these events, combined with other more general economic and demographic conditions, could impact our pricing and negatively affect our sales and profit margins.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failure to comply with government regulation related to our restaurant operations, and the costs of compliance or non-compliance, could adversely affect our business.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are subject to various federal, state, local and foreign laws affecting our business. Each of our restaurants is subject to licensing and regulation by a number of governmental authorities, which may include, among others, alcoholic beverage control, food safety, nutritional menu labeling, health care, environmental and fire agencies in the state, municipality or country in which the restaurant is located. Our suppliers are also subject to regulation in some of these areas. Any difficulties or inabilities to retain or renew licenses, or increased compliance costs due to changed regulations, could adversely affect operations at existing restaurants. Additionally, difficulties in obtaining or failing to obtain the required licenses or approvals could delay or prevent the development of new restaurants. We are subject to various U.S. federal, state and international laws and regulations related to the offer and sale of franchises. Failure to comply with these laws could adversely affect the results we generate from franchises or otherwise impose costs on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Alcoholic beverage sales represent 14% of our consolidated restaurant sales and are subject to extensive state and local licensing and other regulations. The failure of a restaurant to obtain or retain a liquor license would adversely affect that restaurant’s operations. In addition, we are subject to “dram shop” statutes in certain states. These statutes generally provide a person injured by an intoxicated person the right to recover damages from an establishment that wrongfully served alcoholic beverages to the intoxicated person.</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food service industry is affected by consumer preferences and perceptions. Changes in these preferences and perceptions may lessen the demand for our products, which would reduce sales and harm our business.</w:t>
      </w:r>
    </w:p>
    <w:p>
      <w:pPr>
        <w:spacing w:after="0" w:line="177"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Food service businesses are affected by changes in consumer tastes and demographic trends. For instance, if prevailing health or dietary preferences cause consumers to avoid steak and other products we offer in any of our concepts in favor of foods or ingredients that are perceived as healthier or otherwise reflect popular demand, our business and operating results would be harmed. Various factors such as: (i) the Food and Drug Administration’s menu labeling rules, (ii) nutritional guidelines issued by the United States Department of Agriculture and issuance of similar guidelines or statistical information by state or local municipalities and (iii) academic studies, may impact consumer choice and cause consumers to select foods other than those that are offered by our restaurants. If we are unable to anticipate or successfully respond to changes in consumer preferences, our results of operations could be adversely affected, generally or in particular concepts or markets.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relationships with third party delivery services and ability to grow sales through delivery orders are subject to risks.</w:t>
      </w:r>
    </w:p>
    <w:p>
      <w:pPr>
        <w:spacing w:after="0" w:line="24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maintain relationships with various third-party delivery apps and services, and we have granted exclusive third-party delivery service rights to DoorDash with respect to our Outback Steakhouse restaurants. Our sales may be negatively affected if these platforms are damaged or interrupted through technological failures or otherwise. The drivers fulfilling third-party delivery orders may make errors or fail to make timely deliveries such that our food or brands are poorly represented. This could cause reputational harm or adversely impact sales and customer satisfaction. Our sales through these services may also depend on the availability of delivery drivers, who are generally independent contractors.</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our delivery service providers are not able to effectively compete with other third-party delivery services, our delivery sales may be adversely impacted. Our relationships with these third-party delivery services are relatively new, and the level of sales they may generate and overall customer experience provided through such services remain uncertain. Our sales and brand reputation could be harmed as a result, and these orders could discourage potentially more profitable in-restaurant or carryout sales.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tax laws and unanticipated tax liabilities could adversely affect the taxes we pay and our profitability.</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are subject to income and other taxes in the United States and numerous foreign jurisdictions. Our effective income tax rate and other taxes in the future could be adversely affected by a number of factors, including changes in the mix of earnings in countries with different statutory tax rates, changes in the valuation of deferred tax assets and liabilities, changes in tax laws or other legislative changes and the outcome of income tax audits. Although we believe our tax estimates are reasonable, the final determination of tax audits could be materially different from our historical income tax provisions and accruals. The results of a tax audit could have a material effect on our results of operations or cash flows in the period or periods for which that determination is made. In addition, our effective income tax rate and our results may be impacted by our ability to realize deferred tax benefits, including our FICA tip credit carryforwards, and by any increases or decreases of our valuation allowances applied to our existing deferred tax assets. Additional tax regulations and interpretations of the Tax Cuts and Jobs Act are expected to be issued, and no assurance can be made that future guidance will not adversely affect our business or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associated with our remodeling, relocation and expansion plans may have adverse effects on our operating results.</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part of our business strategy, we intend to continue to remodel, relocate and expand our current portfolio of restaurants. Our 2020 development schedule calls for nine U.S. Outback Steakhouse relocations and the construction of approximately 25 new system-wide locations, with the majority in Brazil. A variety of factors could cause the actual results and outcome of those plans to differ from the anticipated results, including among other things:</w:t>
      </w:r>
    </w:p>
    <w:p>
      <w:pPr>
        <w:spacing w:after="0" w:line="20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availability of attractive sites for new or relocated restaurants;</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acquiring or leasing those sites at acceptable prices and other terms;</w:t>
      </w: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funding or financing our development, given competing priorities for use of capital;</w:t>
      </w: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obtaining all required permits, approvals and licenses on a timely basis;</w:t>
      </w:r>
    </w:p>
    <w:p>
      <w:pPr>
        <w:ind w:left="660" w:hanging="328"/>
        <w:spacing w:after="0"/>
        <w:tabs>
          <w:tab w:leader="none" w:pos="660" w:val="left"/>
        </w:tabs>
        <w:numPr>
          <w:ilvl w:val="0"/>
          <w:numId w:val="9"/>
        </w:numPr>
        <w:rPr>
          <w:rFonts w:ascii="Arial" w:cs="Arial" w:eastAsia="Arial" w:hAnsi="Arial"/>
          <w:sz w:val="19"/>
          <w:szCs w:val="19"/>
          <w:color w:val="auto"/>
        </w:rPr>
      </w:pPr>
      <w:r>
        <w:rPr>
          <w:rFonts w:ascii="Arial" w:cs="Arial" w:eastAsia="Arial" w:hAnsi="Arial"/>
          <w:sz w:val="19"/>
          <w:szCs w:val="19"/>
          <w:color w:val="auto"/>
        </w:rPr>
        <w:t>recruiting and training skilled management and restaurant employees and retaining those employees on acceptable terms;</w:t>
      </w:r>
    </w:p>
    <w:p>
      <w:pPr>
        <w:spacing w:after="0" w:line="11" w:lineRule="exact"/>
        <w:rPr>
          <w:rFonts w:ascii="Arial" w:cs="Arial" w:eastAsia="Arial" w:hAnsi="Arial"/>
          <w:sz w:val="19"/>
          <w:szCs w:val="19"/>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color w:val="auto"/>
        </w:rPr>
        <w:t>weather, natural disasters and other events or factors beyond our control resulting in construction or other delays; and</w:t>
      </w: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8"/>
          <w:szCs w:val="18"/>
          <w:color w:val="auto"/>
        </w:rPr>
        <w:t>consumer tastes in new geographic regions and acceptance of our restaurant concepts and awareness of our brands in those regions.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It is difficult to estimate the performance of newly opened restaurants. Earnings achieved by restaurants open for less than two years may not be indicative of future operating results. If new restaurants do not meet targeted performance, it could have a material adverse effect on our operating results, including any impairment losses that we may be required to recognize. There is also the possibility that new restaurants may attract consumers away from other restaurants we own, thereby reducing the revenues of those existing restaurants, or that we will incur unrecoverable costs in the event a development project is abandoned prior to completion.</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Some of the challenges described above could be more significant in international markets in which we have more limited experience, either generally or with a particular brand. Those markets are likely to have different competitive conditions, consumer tastes, discretionary spending patterns and brand awareness, which may cause our new restaurants to be less successful than restaurants in our existing markets or make it more difficult to estimate the performance of new restaurants.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addition, in an effort to increase same-restaurant sales and improve our operating performance, we continue to make improvements to our facilities through our remodeling and relocation programs. We also close underperforming restaurants from time to time in order to improve the performance of our brands. As demographic and economic patterns change or there are declines in neighborhoods where our restaurants are located or adverse economic conditions in local areas, current locations may not continue to be attractive or profitable. Because we lease a significant majority of our restaurants, we incur significant lease termination expenses when we close or relocate a restaurant and are often obligated to continue rent and other lease related payments after restaurant closure. We also incur significant asset impairment and other charges in connection with closures and relocations. If the expenses associated with remodels, relocations or closures are higher than anticipated, we cannot find suitable locations or remodeled or relocated restaurants do not perform as expected, these programs may not yield the desired return on investment, which could have a negative effect on our operating results.</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face a variety of risks associated with doing business in foreign markets that could have a negative impact on our financial performance.</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have a significant number of restaurants outside of the United States, and we intend to continue our efforts to grow internationally. There is no assurance that international operations will be profitable or international growth will continue. In addition, if we have a significant concentration of restaurants in a foreign market the impact of any negative local conditions can have a sizable impact on our results.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foreign operations are subject to all of the same risks as our U.S. restaurants, as well as additional risks including, among others, international economic, political, social and legal conditions and the possibility of instability and unrest, differing cultures and consumer preferences, diverse government regulations and tax systems, corruption, anti-American sentiment, the ability to source high quality ingredients and other commodities in a cost-effective manner, uncertain or differing interpretations of rights and obligations in connection with international franchise agreements and the collection of ongoing royalties from international franchisees, the availability and costs of land, construction and financing, and the availability of experienced management, appropriate franchisees and area operating partners.</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Local or regional events or conditions in our international markets could affect our results. For example, during 2019, Hong Kong political protests led to violence and disrupted business operations. During 2018, unrest surrounding the presidential election in Brazil led to protests and a lengthy truckers strike that negatively impacted the Brazilian economy, causing supply shortages and transportation gridlock that resulted in lost operating days for many businesses, including our restaurants. It is too early to assess the impact the coronavirus outbreak recently identified in Wuhan, China will have on consumer behavior in affected regions where we or our franchisees operate.</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Currency regulations and fluctuations in exchange rates could also affect our performance. We have operations in many foreign countries, including direct investments in restaurants in Brazil and Hong Kong/China, as well as international franchises. As a result, we may experience losses from fluctuations in foreign currency exchange rates or any hedging arrangements that we enter into to offset such fluctuations, and such losses could adversely affect our overall sales and earnings.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are subject to governmental regulation of our foreign operations, including antitrust and tax requirements, anti-boycott regulations, import/export/customs regulations and other international trade regulations, the USA Patriot Act and the Foreign Corrupt Practices Act. Any new regulatory or trade initiatives could impact our operations in certain countries. Failure to comply with any such legal requirements could subject us to monetary liabilities and other sanctions, which could harm our business,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of key management personnel could hurt our business and inhibit our ability to operate and grow successfully.</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success will continue to depend, to a significant extent, on our leadership team and other key management personnel. If we are unable to attract and retain sufficiently experienced and capable management personnel, our business and financial results may suffer.</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recruit, train and retain high-quality restaurant management and team members may result in lower guest satisfaction and lower sales and profitability.</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restaurant-level management and team members are largely responsible for the quality of our service. Our guests may be dissatisfied and our sales may decline if we fail to recruit, train and retain managers and team members that effectively implement our business strategy and provide high quality guest service. There is active competition for quality management personnel and hourly team members. If we experience high turnover, we may experience higher labor costs and have a shortage of adequate management personnel required for future growth.</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success depends substantially on the value of our brands and our ability to execute innovative marketing and consumer relationship initiatives to maintain brand relevance and drive profitable sales growth.</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Our success depends on our ability to preserve and grow our brands. Our brand value and reputation are especially important to differentiate our concepts in the highly competitive casual dining sector to achieve sustainable same-restaurant sales growth and warrant new unit growth. Brand value and reputation is based in large part on consumer perceptions, which are driven by both our actions and by actions beyond our control, such as new brand strategies or their implementation, business incidents, ineffective advertising or marketing efforts, or unfavorable mainstream or social media publicity involving us, our industry, our franchisees, or our suppliers. A failure to innovate and extend our brands in ways that are relevant to consumers and occasions in order to generate sustainable same-restaurant traffic growth, and produce non-traditional sales and earnings growth opportunities, could have an adverse effect on our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results of operations. Additionally, insufficient focus on our competition or failure to adequately address declines in the casual dining industry, could adversely impact results of operations.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our competitors increase their spending on advertising, promotions and loyalty programs, if our advertising, media or marketing expenses increase, or if our advertising, promotions and loyalty programs become less effective than those of our competitors, or if we do not adequately leverage technology and data analytic capabilities needed to generate concise competitive insight, our results of operations could be materially and adversely effected.</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inability or failure to recognize, respond to and effectively manage the accelerated impact of social media could have a material adverse impact on our business.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has been a marked increase in the use of social media platforms and similar devices that allow individuals to access a broad audience of consumers and other interested persons. The availability of information on social media platforms is virtually immediate as is its impact, and users can post information often without filters or checks on the accuracy of the content posted. Adverse or inaccurate information concerning our company or concepts may be posted on such platforms at any time, and such information can quickly reach a wide audience. Social media has also increasingly been utilized to target specific companies or brands as a result of a variety of actions or inactions, or perceived actions or inactions, that are disfavored by interest groups and such campaigns can rapidly accelerate and impact consumer behavior. The harm may be immediate without affording us an opportunity for redress or correction, and it is challenging to monitor and anticipate developments on social media in order to respond in an effective and timely manner. We could also be exposed to these risks if we fail to use social media responsibly in our marketing efforts. These factors could have a material adverse effect on our business. Regardless of its basis or validity, any unfavorable publicity could adversely affect public perception of our brands.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Although search engine marketing, social media and other new technological platforms offer great opportunities to increase awareness of and engagement with our brands, a failure to use social media responsibly in our marketing efforts may further expose us to these risks. Many of our competitors are expanding their use of social media and new social media platforms are rapidly being developed, potentially making more traditional social media platforms obsolete. As a result, we need to continuously innovate and develop our social media strategies in order to maintain broad appeal with guests and brand relevance. As part of our marketing efforts, we rely on search engine marketing and social media platforms to attract and retain guests. We also continue to invest in other digital marketing initiatives that allow us to reach our guests across multiple digital channels and build their awareness of, engagement with, and loyalty to our brands. These initiatives may not be successful, resulting in expenses incurred without the benefit of higher revenues, increased employee engagement or brand recognition. In addition, a variety of risks are associated with the use of social media, including the improper disclosure of proprietary information, negative comments about us, exposure of personally identifiable information, fraud, or out-of-date information. The inappropriate use of social media vehicles by our guests or employees could increase our costs, lead to litigation or result in negative publicity that could damage our reputation.</w:t>
      </w:r>
    </w:p>
    <w:p>
      <w:pPr>
        <w:spacing w:after="0" w:line="18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An impairment in the carrying value of our goodwill or other intangible or long-lived assets could adversely affect our financial condition and results of operations.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Along with other intangible assets, we test goodwill for impairment annually and whenever events or changes in circumstances indicate that its carrying value may not be recoverable. We also evaluate long-lived assets on a quarterly basis or whenever events or changes in circumstances indicate that the carrying value may not be recoverable. We cannot accurately predict the amount and timing of any impairment of assets. A significant amount of judgment is involved in determining if an indication of impairment exists. Should the value of goodwill or other intangible or long-lived assets become impaired, there could be an adverse effect on our financial condition and consolidated results of operations.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franchisees are contractually obligated to operate their restaurants in accordance with our standards and we provide training and support to franchisees. However, franchisees are independent third parties that we do not control, and these franchisees own, operate and oversee the daily operations of their restaurants. As a result, the ultimate success and quality of any franchise restaurant rests with the franchisee. If franchisees do not successfully operate restaurants in a manner consistent with our product and service quality standards and contractual requirements, our image and reputation could be harmed, which in turn could adversely affect our business and operating results.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 significant portion of our financial results are dependent upon the operational and financial success of our franchisees. If sales trends or economic conditions worsen for franchisees, their financial results may worsen and our royalty, rent and other fee revenues may decline. In addition, we may also incur expenses in connection with supporting franchise restaurants that are underperforming. When Company-owned restaurants are sold to a franchisee, one of our subsidiaries is often required to remain responsible for lease payments for the sold restaurants to the extent the purchasing franchisees defaults on their leases. During periods of declining sales and profitability of franchisees, the incidence of franchisee defaults for these lease payments may increase and we may be required to make lease payments and seek recourse against the franchisee or agree to repayment terms.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We have a limited number of suppliers for our major products and rely on one custom distribution company for our national distribution programs in the U.S. and Brazil. If our suppliers or custom distributors are unable to fulfill their obligations under their contracts or we are unable to develop or maintain relationships with these or new suppliers or distributors, if needed, we could encounter supply shortages and incur higher costs.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depend on frequent deliveries of fresh food products that meet our specifications, and we have a limited number of suppliers for our major products, such as beef. In 2019, we purchased: (i) approximately 95% of our U.S. beef raw materials from four beef suppliers that represent more than 80% of the total beef marketplace in the U.S and (ii) approximately 90% of our Brazil beef raw materials from two beef suppliers that represent approximately 45% of the total Brazil beef marketplace. Due to the nature of our industry, we expect to continue to purchase a substantial amount of our beef from a small number of suppliers. We also primarily use one supplier in the U.S. and Brazil, respectively, to process beef raw materials to our specifications and we use one distribution company to provide distribution services in the U.S and Brazil, respectively. Although we have not experienced significant problems with our suppliers or distributors, if our suppliers or distributors are unable to fulfill their obligations under their contracts, we could encounter supply shortages and incur higher costs.</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addition, if we are unable to maintain current purchasing terms or ensure service availability with our suppliers and distributors, we may lose consumers and experience an increase in costs in seeking alternative supplier or distribution services. The failure to develop and maintain supplier and distributor relationships and any resulting disruptions to the provision of food and other supplies to our restaurant locations could adversely affect our operating results.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achieve our projected cost savings from our efficiency initiatives could adversely affect our results of operations and eliminate potential funding for growth opportunities.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recent years, we have identified strategies and taken steps to reduce operating costs and free up resources to reinvest in our business. These strategies include improved supply chain management, implementing labor scheduling tools and integrating restaurant information systems across our brands. We continue to evaluate and implement further cost-saving initiatives. However, the ability to reduce our operating costs through these initiatives is subject to risks and uncertainties, such as our ability to obtain improved supply pricing and the reliability of any new suppliers or technology, and we cannot assure that these activities, or any other activities that we may undertake in the future, will achieve the desired cost savings and efficiencies. Failure to achieve such desired savings could adversely affect our results of operations and financial condition and curtail investment in growth opportunities.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are risks and uncertainties associated with initiatives that we may implement.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From time to time, we consider various initiatives in order to grow and evolve our business and brands and improve our operating results. These initiatives could include, among other things, acquisitions, development or dispositions of restaurants or brands, new joint ventures, new franchise arrangements, restaurant closures and changes to our operating model. There can be no assurance that any such actions or initiatives will be successful or deliver their anticipated benefits. We may be exposed to new and unforeseen risks and challenges, particularly if we enter into markets or engage in activities with which we have no or limited prior experience, and it may be difficult to predict the success of such endeavors. If we incur significant expenses or divert management, financial and other resources to any initiative that is unsuccessful or does not meet our expectations, our results of operations and financial condition would be adversely affected. We may also incur significant asset impairment and other charges in connection with any such initiative. Regardless of the ultimate success of any initiative, the implementation and integration of new business or operational processes could be disruptive to our current operations. Even if we test and evaluate an initiative on a limited basis, the diversion of management time and resources could have an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is subject to seasonal and periodic fluctuations, and past results are not indicative of future results.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Historically, consumer traffic patterns for our established restaurants are generally highest in the first quarter of the year and lowest in the third quarter of the year. Holidays may also affect sales volumes seasonally in some of the markets in which we operate. In addition, our quarterly results have been and will continue to be affected by the timing of new restaurant openings and their associated pre-opening costs, as well as restaurant closures and exit-related costs, debt extinguishment and modification costs and impairments of goodwill, intangible assets and property, fixtures and equipment. As a result of these and other factors, our financial results for any quarter may not be indicative of the results that may be achieved for a full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adverse weather conditions and other disasters or unforeseen events could negatively impact our results of operations.</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Adverse weather conditions and natural disasters and other unforeseen events, such as winter storms, severe temperatures, thunderstorms, floods, hurricanes and earthquakes, terrorist attacks, war and widespread/pandemic illness, and the effects of such events on economic conditions and consumer spending patterns, could negatively impact our results of operations. Temporary and prolonged restaurant closures may occur and consumer traffic may decline due to the actual or perceived effects from these events. For example, severe winter weather conditions and hurricanes have impacted our traffic, and that of our franchises, and results of operations in recent years. It is too early to assess the impact the coronavirus outbreak recently identified in Wuhan, China will have on consumer behavior in affected regions where we or our franchisees operate.</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failure or inability to enforce our trademarks or other proprietary rights could adversely affect our competitive position or the value of our brand.</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trademarks, including Outback Steakhouse, Carrabba’s Italian Grill, Bonefish Grill, Fleming’s Prime Steakhouse &amp; Wine Bar and Bloomin’ Onion, and other proprietary rights are important to our success and our competitive position. The protective actions that we take may not be sufficient to prevent unauthorized usage or imitation by others, which could harm our image, brand or competitive position. Furthermore, our ability to protect trademarks and other proprietary rights may be more limited in certain international markets where we operate.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 could have a material adverse impact on our business and our financial performance.</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are subject to lawsuits, administrative proceedings and claims that arise in the regular course of business. These matters typically involve claims by consumers and others regarding issues such as food borne illness, food safety, premises liability, “dram shop” statute liability, promotional advertising and other operational issues common to the food service industry, as well as contract disputes and intellectual property infringement matters. We are also subject to employee claims against us based on, among other things, discrimination, harassment, wrongful termination,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disability, or violation of wage and labor laws. We are also subject to the risk of being named a joint employer of workers of our franchisees for alleged violations of labor and wage laws. These claims may divert our financial and management resources that would otherwise be used to benefit our operations. The ongoing expense of any resulting lawsuits, and any substantial settlement payment or damage award against us,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insurance policies may not provide adequate levels of coverage against all claims, and fluctuating insurance requirements and costs could negatively impact our profitability.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carry insurance programs with specific retention levels or high per-claim deductibles for a significant portion of our risks and associated liabilities with respect to workers’ compensation, general liability, liquor liability, employment practices liability, property, health benefits, cyber security and other insurable risks. However, there are types of losses we may incur that cannot be insured against or that we believe are not commercially reasonable to insure. These losses, if they occur, could have a material and adverse effect on our business and results of operations. Additionally, if our insurance costs increase, there can be no assurance that we will be able to successfully offset the effect of such increases and our results of operations may be adversely affected.</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maintain effective systems of internal control over financial reporting and disclosure controls and procedures could adversely affect our business and financial results.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Effective internal control over financial reporting is necessary for us to provide accurate financial information. If we are unable to adequately maintain effective internal control over financial reporting, we may not be able to accurately report our financial results, which could cause investors to lose confidence in our reported financial information and negatively affect the trading price of our common stock. Furthermore, we cannot be certain that our internal control over financial reporting and disclosure controls and procedures will prevent all possible error and fraud, including through cyber attacks. Because of inherent limitations in all control systems, no evaluation of controls can provide absolute assurance that all control issues and instances of error or fraud, if any, in our company have been detected. These inherent limitations include the realities that judgments in decision-making can be faulty and that breakdowns can occur because of simple error or mistake, which could have an adverse impact on our business. A significant financial reporting failure or material weakness in internal control over financial reporting could cause a loss of investor confidence and decline in the market price of our common stock, increase our costs, lead to litigation or result in negative publicity that could damage our reputation.</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Future changes to existing accounting rules, accounting standards, new pronouncements and varying interpretations of pronouncements,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with regard to a wide range of matters that are relevant to our business, including but not limited to, revenue recognition, impairment of long-lived assets, leases and related economic transactions, derivatives, intangibles, self-insurance, income taxes, property and equipment, unclaimed property laws and litigation, and stock-based compensation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Our substantial leverage and our ability to refinance our indebtedness in the future could adversely affect our ability to raise additional capital to fund our operations, limit our ability to react to changes in the economy or our industry and expose us to interest rate risk in connection with our variable-rate debt.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highly leveraged. As of December 29, 2019, our total indebtedness was $1.0 billion and we had $380.8 million in available unused borrowing capacity under our revolving credit facility, net of undrawn letters of credit of $20.2 million.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Our high degree of leverage could have important consequences, including:</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making it more difficult for us to make payments on indebtedness;</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general economic, industry and competitive conditions and the various risks we face in our business;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increasing our cost of borrowing;</w:t>
      </w:r>
    </w:p>
    <w:p>
      <w:pPr>
        <w:jc w:val="both"/>
        <w:ind w:left="660" w:right="20" w:hanging="328"/>
        <w:spacing w:after="0" w:line="239"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requiring a substantial portion of cash flow from operations to be dedicated to the payment of principal and interest on our indebtedness, thereby reducing our ability to use our cash flow to fund our operations, capital expenditures, dividend payments, share repurchases and future business opportunities;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exposing us to the risk of increased interest rates because certain of our borrowings are at variable rates of interest;</w:t>
      </w: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restricting us from making strategic acquisitions or causing us to make non-strategic divestitures;</w:t>
      </w:r>
    </w:p>
    <w:p>
      <w:pPr>
        <w:ind w:left="660" w:hanging="328"/>
        <w:spacing w:after="0" w:line="239"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limiting our ability to obtain additional financing for working capital, capital expenditures, restaurant development, debt service requirements, acquisitions and general corporate or other purposes; and</w:t>
      </w:r>
    </w:p>
    <w:p>
      <w:pPr>
        <w:spacing w:after="0" w:line="1" w:lineRule="exact"/>
        <w:rPr>
          <w:rFonts w:ascii="Arial" w:cs="Arial" w:eastAsia="Arial" w:hAnsi="Arial"/>
          <w:sz w:val="20"/>
          <w:szCs w:val="20"/>
          <w:color w:val="auto"/>
        </w:rPr>
      </w:pPr>
    </w:p>
    <w:p>
      <w:pPr>
        <w:ind w:left="660" w:hanging="328"/>
        <w:spacing w:after="0" w:line="244"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limiting our ability to adjust to changing market conditions and placing us at a competitive disadvantage compared to our competitors who may not be as highly leveraged.</w:t>
      </w:r>
    </w:p>
    <w:p>
      <w:pPr>
        <w:spacing w:after="0" w:line="20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may incur substantial additional indebtedness in the future, subject to the restrictions contained in our senior secured credit facilities (the “Senior Secured Credit Facility”). If new indebtedness is added to our current debt levels, the related risks that we now face could increase.</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As of December 29, 2019, we had $1.0 billion of variable-rate debt outstanding under our Senior Secured Credit Facility, which matures on November 2022. We also have variable-to-fixed interest rate swap agreements with various counterparties to hedge a portion of the cash flows of our variable rate debt. Our active swap agreements have an aggregate notional amount of </w:t>
      </w:r>
      <w:r>
        <w:rPr>
          <w:rFonts w:ascii="Arial" w:cs="Arial" w:eastAsia="Arial" w:hAnsi="Arial"/>
          <w:sz w:val="19"/>
          <w:szCs w:val="19"/>
          <w:color w:val="252525"/>
        </w:rPr>
        <w:t>$550.0 million</w:t>
      </w:r>
      <w:r>
        <w:rPr>
          <w:rFonts w:ascii="Arial" w:cs="Arial" w:eastAsia="Arial" w:hAnsi="Arial"/>
          <w:sz w:val="19"/>
          <w:szCs w:val="19"/>
          <w:color w:val="auto"/>
        </w:rPr>
        <w:t xml:space="preserve"> and mature on </w:t>
      </w:r>
      <w:r>
        <w:rPr>
          <w:rFonts w:ascii="Arial" w:cs="Arial" w:eastAsia="Arial" w:hAnsi="Arial"/>
          <w:sz w:val="19"/>
          <w:szCs w:val="19"/>
          <w:color w:val="252525"/>
        </w:rPr>
        <w:t>November 30, 2022</w:t>
      </w:r>
      <w:r>
        <w:rPr>
          <w:rFonts w:ascii="Arial" w:cs="Arial" w:eastAsia="Arial" w:hAnsi="Arial"/>
          <w:sz w:val="19"/>
          <w:szCs w:val="19"/>
          <w:color w:val="auto"/>
        </w:rPr>
        <w:t>. While this agreement limits our exposure to higher interest rates, an increase in the floating rate could nonetheless cause a material increase in our interest expense due to the total amount of our outstanding variable rate indebtedness.</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Senior Secured Credit Facility allows us to incur variable debt that is indexed to the London Inter-Bank Offered Rate (“LIBOR”). On July 27, 2017, the United Kingdom’s Financial Conduct Authority announced that it intends to stop persuading or compelling banks to submit LIBOR rates after 2021. These reforms may cause LIBOR to cease to exist, new methods of calculating LIBOR to be established or the establishment of an alternative reference rate(s). As a result, our interest expense may increase and our available cash flow may be adversely affected.</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cannot be certain that our financial condition or credit and other market conditions will be favorable when our Senior Secured Credit Facility matures in 2022, or at any earlier time we may seek to refinance our debt. If we are unable to refinance our indebtedness on favorable terms, our financial condition and results of operations would be adversely affected.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debt agreements contain restrictions that limit our flexibility in operating our business.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Certain of our debt agreements limit our and our subsidiaries’ abilities to, among other things, incur or guarantee additional indebtedness, pay dividends on, redeem or repurchase our capital stock, make certain acquisitions or investments, incur or permit to exist certain liens, enter into transactions with affiliates or sell our assets to, merge or consolidate with or into, another company. Our debt agreements require us to satisfy certain financial tests and ratios. Our ability to satisfy such tests and ratios may be affected by events outside of our control.</w:t>
      </w:r>
    </w:p>
    <w:p>
      <w:pPr>
        <w:spacing w:after="0" w:line="16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If we breach the covenants under our debt agreements, the lenders could elect to declare all amounts outstanding under the agreements to be immediately due and payable and terminate all commitments to extend further credit. If we are unable to repay those amounts, the lenders could proceed against the collateral granted to them to secure that indebtedness. We have pledged substantially all of our assets as collateral under our debt agreement. If our lenders accelerate the repayment of borrowings, we cannot be certain that we will have sufficient assets to repay them.</w:t>
      </w:r>
    </w:p>
    <w:p>
      <w:pPr>
        <w:spacing w:after="0" w:line="12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indebtedness and operating lease obligations, and we may be forced to take other actions to satisfy our obligations under our indebtedness and operating lease obligations, which may not be successful. If we fail to meet these obligations, we would be in default under our debt agreements and the lenders could elect to declare all amounts outstanding under them to be immediately due and payable and terminate all commitments to extend further credit.</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ability to make scheduled payments on our debt obligations and to satisfy our operating lease obligations depends upon our financial condition and operating performance, which is subject to prevailing economic and competitive conditions and to financial, business and other factors, many of which are beyond our control. We cannot be certain that we will maintain a level of cash flow from operating activities sufficient to permit us to pay the principal, premium, if any, and interest on our indebtedness, or to pay our operating lease obligations. If our cash flow and capital resources are insufficient to fund our debt service obligations and operating lease obligations, we may be forced to reduce or delay capital expenditures, sell assets, seek additional capital or restructure or refinance our indebtedness. These alternative measures may not be successful and may not permit us to meet our scheduled debt service obligations. In the absence of sufficient operating results and resources, we could face substantial liquidity problems and might be required to dispose of material assets or operations or take other actions to meet our debt service and other obligations. Our debt agreements restrict our ability to dispose of assets and how we may use the proceeds from the disposition. We may not be able to consummate those dispositions or to obtain the proceeds that we could otherwise realize from such dispositions and any such proceeds that are realized may not be adequate to meet any debt service obligations then due. The failure to meet our debt service obligations or the failure to remain in compliance with the financial covenants under our debt agreements would constitute an event of default under those agreements and the lenders could elect to declare all amounts outstanding under them to be immediately due and payable and terminate all commitments to extend further credit.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stock price is subject to volatility.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stock market in general is highly volatile. As a result, the market price of our common stock is similarly volatile. The price of our common stock could be subject to wide fluctuations in response to a number of factors, some of which may be beyond our control. These factors include actual or anticipated fluctuations in our operating results, changes in or our ability to achieve estimates of our operating results by analysts, investors or management, analysts’ recommendations regarding our stock or our competitors’ stock, sales of substantial amounts of our common stock by our stockholders, actions or announcements by us or our competitors, the maintenance and growth of the value of our brands, litigation, legislation or other regulatory developments affecting us or our industry, natural disasters, cyber attacks, terrorist acts, war or other calamities and changes in general market and economic conditions.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are unable to continue to pay dividends or repurchase our stock, investment in our common stock may decline in value.</w:t>
      </w: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As part of our recently announced initiatives resulting from the strategic review process to date, we announced a more balanced capital allocation policy that included doubling our quarterly cash dividend and a focus on debt reduction, while continuing to opportunistically repurchase shares of our common stock. The continuation of these programs, at all or consistent with past levels, will require the generation of sufficient cash flows and the existence of surplus earnings. If we are not able to maintain the increased dividend at our targeted payout ratio, or reduce or eliminate our dividend, the price of our common stock may fall. In addition, we have repurchased a significant amount of our common stock in the past few years and there can be no assurance that reduced repurchasing activity under our more balanced capital allocation policy will not have an adverse effect on the price of our common stock.</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Any decisions to declare and pay dividends and continue stock repurchase programs in the future will be made at the discretion of our Board of Directors and will depend on, among other things, our results of operations, financial condition, cash requirements, borrowing capacity, contractual restrictions including debt covenants and other factors that our Board of Directors may deem relevant at the time.</w:t>
      </w:r>
    </w:p>
    <w:p>
      <w:pPr>
        <w:spacing w:after="0" w:line="184" w:lineRule="exact"/>
        <w:rPr>
          <w:sz w:val="20"/>
          <w:szCs w:val="20"/>
          <w:color w:val="auto"/>
        </w:rPr>
      </w:pPr>
    </w:p>
    <w:p>
      <w:pPr>
        <w:jc w:val="both"/>
        <w:spacing w:after="0" w:line="386" w:lineRule="auto"/>
        <w:rPr>
          <w:sz w:val="20"/>
          <w:szCs w:val="20"/>
          <w:color w:val="auto"/>
        </w:rPr>
      </w:pPr>
      <w:r>
        <w:rPr>
          <w:rFonts w:ascii="Arial" w:cs="Arial" w:eastAsia="Arial" w:hAnsi="Arial"/>
          <w:sz w:val="16"/>
          <w:szCs w:val="16"/>
          <w:b w:val="1"/>
          <w:bCs w:val="1"/>
          <w:i w:val="1"/>
          <w:iCs w:val="1"/>
          <w:color w:val="auto"/>
        </w:rPr>
        <w:t>Provisions in our certificate of incorporation and bylaws, our Senior Secured Credit Facility and Delaware law may discourage, delay or prevent a change of control of our company or changes in our management and, therefore, may depress the trading price of our stock.</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certificate of incorporation and bylaws include certain provisions that could have the effect of discouraging, delaying or preventing a change of control of our company or changes in our management.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our Senior Secured Credit Facility includes change of control provisions that require that no stockholder or “group” within the meaning of Sections 13(d) and 14(d) of the Exchange Act has obtained more than 40% of our voting power.</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These provisions may discourage, delay or prevent a transaction involving a change in control of the Company that is in the best interests of our stockholders. Even in the absence of a takeover attempt, the existence of these provisions may adversely affect the prevailing market price of our common stock if they are viewed as discouraging future takeover attempts.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Although we have elected in our certificate of incorporation not to be subject to Section 203 of the Delaware General Corporation Law our certificate of incorporation contains provisions that have the same effect as Section 203, except that they provide that our former private equity sponsors will not be deemed to be “interested stockholders,” regardless of the percentage of our voting stock owned by them, and accordingly will not be subject to such restrictions.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raise capital in the future may be limited, which could make us unable to fund our capital requirements.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common stockholders to make claims on our assets, and the terms of any debt could restrict our operations, including our ability to pay dividends on our common stock. If we issue additional equity securities, existing stockholders may experience dilution, and the new equity securities could have rights senior to those of our common stock. Because our decision to issue securities in any future offering will depend on market conditions and other factors beyond our control,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cannot predict or estimate the amount, timing or nature of our future offerings. Thus, our stockholders bear the risk of our future securities offerings reducing the market price of our common stock and diluting their interest.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2.Properties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had 1,473 system-wide restaurants located across 48 states, Puerto Rico, Guam and 21 countries as of December 29, 2019. The following is a summary of our restaurant locations by country and territory as of December 29,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COMPANY-OWNED</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FRANCHISE</w:t>
            </w:r>
          </w:p>
        </w:tc>
        <w:tc>
          <w:tcPr>
            <w:tcW w:w="2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4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173</w:t>
            </w:r>
          </w:p>
        </w:tc>
        <w:tc>
          <w:tcPr>
            <w:tcW w:w="2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4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780" w:type="dxa"/>
            <w:vAlign w:val="bottom"/>
          </w:tcPr>
          <w:p>
            <w:pPr>
              <w:ind w:left="180"/>
              <w:spacing w:after="0"/>
              <w:rPr>
                <w:sz w:val="20"/>
                <w:szCs w:val="20"/>
                <w:color w:val="auto"/>
              </w:rPr>
            </w:pPr>
            <w:r>
              <w:rPr>
                <w:rFonts w:ascii="Arial" w:cs="Arial" w:eastAsia="Arial" w:hAnsi="Arial"/>
                <w:sz w:val="16"/>
                <w:szCs w:val="16"/>
                <w:color w:val="auto"/>
              </w:rPr>
              <w:t>Brazil (1)</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9"/>
                <w:szCs w:val="19"/>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auto"/>
              </w:rPr>
              <w:t>Argentina</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2220" w:type="dxa"/>
            <w:vAlign w:val="bottom"/>
          </w:tcPr>
          <w:p>
            <w:pPr>
              <w:ind w:left="100"/>
              <w:spacing w:after="0"/>
              <w:rPr>
                <w:sz w:val="20"/>
                <w:szCs w:val="20"/>
                <w:color w:val="auto"/>
              </w:rPr>
            </w:pPr>
            <w:r>
              <w:rPr>
                <w:rFonts w:ascii="Arial" w:cs="Arial" w:eastAsia="Arial" w:hAnsi="Arial"/>
                <w:sz w:val="16"/>
                <w:szCs w:val="16"/>
                <w:color w:val="auto"/>
              </w:rPr>
              <w:t>Malaysia</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China (Mainland)</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Australia</w:t>
            </w:r>
          </w:p>
        </w:tc>
        <w:tc>
          <w:tcPr>
            <w:tcW w:w="14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8</w:t>
            </w: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Mexico</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3780" w:type="dxa"/>
            <w:vAlign w:val="bottom"/>
          </w:tcPr>
          <w:p>
            <w:pPr>
              <w:ind w:left="180"/>
              <w:spacing w:after="0"/>
              <w:rPr>
                <w:sz w:val="20"/>
                <w:szCs w:val="20"/>
                <w:color w:val="auto"/>
              </w:rPr>
            </w:pPr>
            <w:r>
              <w:rPr>
                <w:rFonts w:ascii="Arial" w:cs="Arial" w:eastAsia="Arial" w:hAnsi="Arial"/>
                <w:sz w:val="16"/>
                <w:szCs w:val="16"/>
                <w:color w:val="auto"/>
              </w:rPr>
              <w:t>Hong Kong</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auto"/>
              </w:rPr>
              <w:t>Bahamas</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2220" w:type="dxa"/>
            <w:vAlign w:val="bottom"/>
          </w:tcPr>
          <w:p>
            <w:pPr>
              <w:ind w:left="100"/>
              <w:spacing w:after="0"/>
              <w:rPr>
                <w:sz w:val="20"/>
                <w:szCs w:val="20"/>
                <w:color w:val="auto"/>
              </w:rPr>
            </w:pPr>
            <w:r>
              <w:rPr>
                <w:rFonts w:ascii="Arial" w:cs="Arial" w:eastAsia="Arial" w:hAnsi="Arial"/>
                <w:sz w:val="16"/>
                <w:szCs w:val="16"/>
                <w:color w:val="auto"/>
              </w:rPr>
              <w:t>Philippines</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0"/>
        </w:trPr>
        <w:tc>
          <w:tcPr>
            <w:tcW w:w="37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38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22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international Company-owned</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Brazil</w:t>
            </w:r>
          </w:p>
        </w:tc>
        <w:tc>
          <w:tcPr>
            <w:tcW w:w="14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Puerto Rico</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37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380" w:type="dxa"/>
            <w:vAlign w:val="bottom"/>
            <w:tcBorders>
              <w:top w:val="single" w:sz="8" w:color="CCEEFF"/>
            </w:tcBorders>
          </w:tcPr>
          <w:p>
            <w:pPr>
              <w:ind w:left="180"/>
              <w:spacing w:after="0"/>
              <w:rPr>
                <w:sz w:val="20"/>
                <w:szCs w:val="20"/>
                <w:color w:val="auto"/>
              </w:rPr>
            </w:pPr>
            <w:r>
              <w:rPr>
                <w:rFonts w:ascii="Arial" w:cs="Arial" w:eastAsia="Arial" w:hAnsi="Arial"/>
                <w:sz w:val="16"/>
                <w:szCs w:val="16"/>
                <w:color w:val="auto"/>
              </w:rPr>
              <w:t>Canada</w:t>
            </w:r>
          </w:p>
        </w:tc>
        <w:tc>
          <w:tcPr>
            <w:tcW w:w="1440" w:type="dxa"/>
            <w:vAlign w:val="bottom"/>
            <w:tcBorders>
              <w:top w:val="single" w:sz="8" w:color="CCEEFF"/>
            </w:tcBorders>
          </w:tcPr>
          <w:p>
            <w:pPr>
              <w:jc w:val="right"/>
              <w:ind w:right="200"/>
              <w:spacing w:after="0"/>
              <w:rPr>
                <w:sz w:val="20"/>
                <w:szCs w:val="20"/>
                <w:color w:val="auto"/>
              </w:rPr>
            </w:pPr>
            <w:r>
              <w:rPr>
                <w:rFonts w:ascii="Arial" w:cs="Arial" w:eastAsia="Arial" w:hAnsi="Arial"/>
                <w:sz w:val="16"/>
                <w:szCs w:val="16"/>
                <w:color w:val="auto"/>
              </w:rPr>
              <w:t>2</w:t>
            </w:r>
          </w:p>
        </w:tc>
        <w:tc>
          <w:tcPr>
            <w:tcW w:w="2220" w:type="dxa"/>
            <w:vAlign w:val="bottom"/>
            <w:tcBorders>
              <w:top w:val="single" w:sz="8" w:color="CCEEFF"/>
            </w:tcBorders>
          </w:tcPr>
          <w:p>
            <w:pPr>
              <w:ind w:left="100"/>
              <w:spacing w:after="0"/>
              <w:rPr>
                <w:sz w:val="20"/>
                <w:szCs w:val="20"/>
                <w:color w:val="auto"/>
              </w:rPr>
            </w:pPr>
            <w:r>
              <w:rPr>
                <w:rFonts w:ascii="Arial" w:cs="Arial" w:eastAsia="Arial" w:hAnsi="Arial"/>
                <w:sz w:val="16"/>
                <w:szCs w:val="16"/>
                <w:color w:val="auto"/>
              </w:rPr>
              <w:t>Qatar</w:t>
            </w:r>
          </w:p>
        </w:tc>
        <w:tc>
          <w:tcPr>
            <w:tcW w:w="5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60"/>
        </w:trPr>
        <w:tc>
          <w:tcPr>
            <w:tcW w:w="3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Costa Rica</w:t>
            </w:r>
          </w:p>
        </w:tc>
        <w:tc>
          <w:tcPr>
            <w:tcW w:w="14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Saudi Arabia</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4"/>
        </w:trPr>
        <w:tc>
          <w:tcPr>
            <w:tcW w:w="3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auto"/>
              </w:rPr>
              <w:t>Dominican Republic</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2220" w:type="dxa"/>
            <w:vAlign w:val="bottom"/>
          </w:tcPr>
          <w:p>
            <w:pPr>
              <w:ind w:left="100"/>
              <w:spacing w:after="0"/>
              <w:rPr>
                <w:sz w:val="20"/>
                <w:szCs w:val="20"/>
                <w:color w:val="auto"/>
              </w:rPr>
            </w:pPr>
            <w:r>
              <w:rPr>
                <w:rFonts w:ascii="Arial" w:cs="Arial" w:eastAsia="Arial" w:hAnsi="Arial"/>
                <w:sz w:val="16"/>
                <w:szCs w:val="16"/>
                <w:color w:val="auto"/>
              </w:rPr>
              <w:t>Singapore</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Ecuador</w:t>
            </w:r>
          </w:p>
        </w:tc>
        <w:tc>
          <w:tcPr>
            <w:tcW w:w="14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South Korea</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4"/>
        </w:trPr>
        <w:tc>
          <w:tcPr>
            <w:tcW w:w="3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auto"/>
              </w:rPr>
              <w:t>Guam</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2220" w:type="dxa"/>
            <w:vAlign w:val="bottom"/>
          </w:tcPr>
          <w:p>
            <w:pPr>
              <w:ind w:left="100"/>
              <w:spacing w:after="0"/>
              <w:rPr>
                <w:sz w:val="20"/>
                <w:szCs w:val="20"/>
                <w:color w:val="auto"/>
              </w:rPr>
            </w:pPr>
            <w:r>
              <w:rPr>
                <w:rFonts w:ascii="Arial" w:cs="Arial" w:eastAsia="Arial" w:hAnsi="Arial"/>
                <w:sz w:val="16"/>
                <w:szCs w:val="16"/>
                <w:color w:val="auto"/>
              </w:rPr>
              <w:t>Thailand</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Indonesia</w:t>
            </w:r>
          </w:p>
        </w:tc>
        <w:tc>
          <w:tcPr>
            <w:tcW w:w="14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4</w:t>
            </w: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Turks and Caicos</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3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auto"/>
              </w:rPr>
              <w:t>Japan</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10</w:t>
            </w:r>
          </w:p>
        </w:tc>
        <w:tc>
          <w:tcPr>
            <w:tcW w:w="2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78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38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international franchise</w:t>
            </w:r>
          </w:p>
        </w:tc>
        <w:tc>
          <w:tcPr>
            <w:tcW w:w="144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Company-owned</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1,173</w:t>
            </w:r>
          </w:p>
        </w:tc>
        <w:tc>
          <w:tcPr>
            <w:tcW w:w="120" w:type="dxa"/>
            <w:vAlign w:val="bottom"/>
            <w:tcBorders>
              <w:top w:val="single" w:sz="8" w:color="CCEEFF"/>
            </w:tcBorders>
          </w:tcPr>
          <w:p>
            <w:pPr>
              <w:spacing w:after="0"/>
              <w:rPr>
                <w:sz w:val="21"/>
                <w:szCs w:val="21"/>
                <w:color w:val="auto"/>
              </w:rPr>
            </w:pPr>
          </w:p>
        </w:tc>
        <w:tc>
          <w:tcPr>
            <w:tcW w:w="238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franchise</w:t>
            </w:r>
          </w:p>
        </w:tc>
        <w:tc>
          <w:tcPr>
            <w:tcW w:w="144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8"/>
          <w:szCs w:val="18"/>
          <w:color w:val="auto"/>
        </w:rPr>
        <w:t>The restaurant count for Brazil is reported as of November 30, 2019 to correspond with the balance sheet date of this subsidiary.</w:t>
      </w:r>
    </w:p>
    <w:p>
      <w:pPr>
        <w:spacing w:after="0" w:line="22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lease substantially all of our restaurant properties from third parties. As of December 29, 2019, our Company-owned restaurants were located on the following sites by segment: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16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U.S.</w:t>
            </w:r>
          </w:p>
        </w:tc>
        <w:tc>
          <w:tcPr>
            <w:tcW w:w="100" w:type="dxa"/>
            <w:vAlign w:val="bottom"/>
            <w:vMerge w:val="restart"/>
          </w:tcPr>
          <w:p>
            <w:pPr>
              <w:spacing w:after="0"/>
              <w:rPr>
                <w:sz w:val="14"/>
                <w:szCs w:val="14"/>
                <w:color w:val="auto"/>
              </w:rPr>
            </w:pPr>
          </w:p>
        </w:tc>
        <w:tc>
          <w:tcPr>
            <w:tcW w:w="15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vMerge w:val="restart"/>
          </w:tcPr>
          <w:p>
            <w:pPr>
              <w:spacing w:after="0"/>
              <w:rPr>
                <w:sz w:val="14"/>
                <w:szCs w:val="14"/>
                <w:color w:val="auto"/>
              </w:rPr>
            </w:pPr>
          </w:p>
        </w:tc>
        <w:tc>
          <w:tcPr>
            <w:tcW w:w="11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400" w:type="dxa"/>
            <w:vAlign w:val="bottom"/>
          </w:tcPr>
          <w:p>
            <w:pPr>
              <w:jc w:val="right"/>
              <w:ind w:right="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205"/>
        </w:trPr>
        <w:tc>
          <w:tcPr>
            <w:tcW w:w="58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Company-owned sites</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5820" w:type="dxa"/>
            <w:vAlign w:val="bottom"/>
          </w:tcPr>
          <w:p>
            <w:pPr>
              <w:ind w:left="40"/>
              <w:spacing w:after="0"/>
              <w:rPr>
                <w:sz w:val="20"/>
                <w:szCs w:val="20"/>
                <w:color w:val="auto"/>
              </w:rPr>
            </w:pPr>
            <w:r>
              <w:rPr>
                <w:rFonts w:ascii="Arial" w:cs="Arial" w:eastAsia="Arial" w:hAnsi="Arial"/>
                <w:sz w:val="16"/>
                <w:szCs w:val="16"/>
                <w:color w:val="auto"/>
              </w:rPr>
              <w:t>Leased sites: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Land, ground and building leases</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4"/>
        </w:trPr>
        <w:tc>
          <w:tcPr>
            <w:tcW w:w="5820" w:type="dxa"/>
            <w:vAlign w:val="bottom"/>
          </w:tcPr>
          <w:p>
            <w:pPr>
              <w:ind w:left="180"/>
              <w:spacing w:after="0"/>
              <w:rPr>
                <w:sz w:val="20"/>
                <w:szCs w:val="20"/>
                <w:color w:val="auto"/>
              </w:rPr>
            </w:pPr>
            <w:r>
              <w:rPr>
                <w:rFonts w:ascii="Arial" w:cs="Arial" w:eastAsia="Arial" w:hAnsi="Arial"/>
                <w:sz w:val="16"/>
                <w:szCs w:val="16"/>
                <w:color w:val="auto"/>
              </w:rPr>
              <w:t>Space and in-line leases</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40"/>
        </w:trPr>
        <w:tc>
          <w:tcPr>
            <w:tcW w:w="58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Company-owned restaurant sites</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1,173</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We also lease corporate offices in Tampa, Florida and São Paulo, Brazil.</w:t>
      </w:r>
    </w:p>
    <w:p>
      <w:pPr>
        <w:spacing w:after="0" w:line="18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For a description of our legal proceedings, see Note 20 -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MARKET INFORMATION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on the Nasdaq Global Select Market under the symbol “BLMN”.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paid quarterly cash dividends on shares of our common stock since 2015. Future dividend payments will depend on earnings, financial condition, capital expenditure requirements, surplus and other factors that our Board of Directors (our “Board”) considers relevant. The terms of our debt agreements permit dividend payments, subject to certain restrictions.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HOLDERS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February 21, 2020, there were 42 holders of record of our common stock. The number of registered holders does not include holders who are beneficial owners whose shares are held in street name by brokers and other nominees.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securities authorized for issuance under our equity compensation plans as of December 29, 2019:</w:t>
      </w:r>
    </w:p>
    <w:p>
      <w:pPr>
        <w:sectPr>
          <w:pgSz w:w="11900" w:h="16838" w:orient="portrait"/>
          <w:cols w:equalWidth="0" w:num="1">
            <w:col w:w="11420"/>
          </w:cols>
          <w:pgMar w:left="240" w:top="121" w:right="239" w:bottom="1440" w:gutter="0" w:footer="0" w:header="0"/>
        </w:sect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3362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34"/>
        </w:trPr>
        <w:tc>
          <w:tcPr>
            <w:tcW w:w="1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 SECURITIES</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2080" w:type="dxa"/>
            <w:vAlign w:val="bottom"/>
            <w:gridSpan w:val="2"/>
            <w:vMerge w:val="continue"/>
          </w:tcPr>
          <w:p>
            <w:pPr>
              <w:spacing w:after="0"/>
              <w:rPr>
                <w:sz w:val="12"/>
                <w:szCs w:val="12"/>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TO BE ISSUED UPON</w:t>
            </w:r>
          </w:p>
        </w:tc>
        <w:tc>
          <w:tcPr>
            <w:tcW w:w="20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OF</w:t>
            </w: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EXERCISE PRICE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OUTSTANDING OPTIONS,</w:t>
            </w:r>
          </w:p>
        </w:tc>
        <w:tc>
          <w:tcPr>
            <w:tcW w:w="2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OUTSTANDING OPTIONS,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REFLECTED IN COLUMN</w:t>
            </w:r>
          </w:p>
        </w:tc>
        <w:tc>
          <w:tcPr>
            <w:tcW w:w="0" w:type="dxa"/>
            <w:vAlign w:val="bottom"/>
          </w:tcPr>
          <w:p>
            <w:pPr>
              <w:spacing w:after="0"/>
              <w:rPr>
                <w:sz w:val="1"/>
                <w:szCs w:val="1"/>
                <w:color w:val="auto"/>
              </w:rPr>
            </w:pPr>
          </w:p>
        </w:tc>
      </w:tr>
      <w:tr>
        <w:trPr>
          <w:trHeight w:val="186"/>
        </w:trPr>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WARRANTS AND RIGHTS</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WARRANTS AND RIGHTS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8"/>
              </w:rPr>
              <w:t>(a)) (1)</w:t>
            </w: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2">
            <w:col w:w="4660" w:space="720"/>
            <w:col w:w="60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5240" w:type="dxa"/>
            <w:vAlign w:val="bottom"/>
            <w:tcBorders>
              <w:top w:val="single" w:sz="8" w:color="auto"/>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w w:val="91"/>
              </w:rPr>
              <w:t>Equity compensation plans approved by security holders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3,311</w:t>
            </w:r>
          </w:p>
        </w:tc>
      </w:tr>
      <w:tr>
        <w:trPr>
          <w:trHeight w:val="193"/>
        </w:trPr>
        <w:tc>
          <w:tcPr>
            <w:tcW w:w="20" w:type="dxa"/>
            <w:vAlign w:val="bottom"/>
          </w:tcPr>
          <w:p>
            <w:pPr>
              <w:spacing w:after="0"/>
              <w:rPr>
                <w:sz w:val="16"/>
                <w:szCs w:val="16"/>
                <w:color w:val="auto"/>
              </w:rPr>
            </w:pPr>
          </w:p>
        </w:tc>
        <w:tc>
          <w:tcPr>
            <w:tcW w:w="5240" w:type="dxa"/>
            <w:vAlign w:val="bottom"/>
          </w:tcPr>
          <w:p>
            <w:pPr>
              <w:jc w:val="right"/>
              <w:ind w:right="3559"/>
              <w:spacing w:after="0"/>
              <w:rPr>
                <w:sz w:val="20"/>
                <w:szCs w:val="20"/>
                <w:color w:val="auto"/>
              </w:rPr>
            </w:pPr>
            <w:r>
              <w:rPr>
                <w:rFonts w:ascii="Arial" w:cs="Arial" w:eastAsia="Arial" w:hAnsi="Arial"/>
                <w:sz w:val="16"/>
                <w:szCs w:val="16"/>
                <w:color w:val="auto"/>
                <w:w w:val="88"/>
              </w:rPr>
              <w:t>____________________</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shares remaining available for issuance may be issued in the form of stock options, restricted stock units or other stock awards under the 2016 Omnibus Incentive Compensation Plan.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PURCHASES OF EQUITY SECURITIES BY THE ISSUER AND AFFILIATED PURCHASERS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On February 12, 2019, the Board of Directors authorized the repurchase of $150.0 million of our outstanding common stock as announced in our press release issued on February 14, 2019 (the “2019 Share Repurchase Program”). The 2019 Share Repurchase Program will expire on August 12, 2020. We did not repurchase any shares of our outstanding common stock during the thirteen weeks ended December 29, 2019.</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STOCK PERFORMANCE GRAPH</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following graph depicts total return to stockholders from December 26, 2014 through December 29, 2019, relative to the performance of the Standard &amp; Poor’s 500 Index and the Standard &amp; Poor’s 500 Consumer Discretionary Sector, a peer group. The graph assumes an investment of $100 in our common stock and in each index on December 26, 2014 (the last business day of the fiscal year of investment) and the reinvestment of dividends paid since that date. The stock price performance shown in the graph is not necessarily indicative of future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25,</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4"/>
                <w:szCs w:val="14"/>
                <w:color w:val="auto"/>
              </w:rPr>
            </w:pPr>
          </w:p>
        </w:tc>
        <w:tc>
          <w:tcPr>
            <w:tcW w:w="1320" w:type="dxa"/>
            <w:vAlign w:val="bottom"/>
          </w:tcPr>
          <w:p>
            <w:pPr>
              <w:jc w:val="right"/>
              <w:ind w:right="143"/>
              <w:spacing w:after="0"/>
              <w:rPr>
                <w:sz w:val="20"/>
                <w:szCs w:val="20"/>
                <w:color w:val="auto"/>
              </w:rPr>
            </w:pPr>
            <w:r>
              <w:rPr>
                <w:rFonts w:ascii="Arial" w:cs="Arial" w:eastAsia="Arial" w:hAnsi="Arial"/>
                <w:sz w:val="14"/>
                <w:szCs w:val="14"/>
                <w:b w:val="1"/>
                <w:bCs w:val="1"/>
                <w:color w:val="auto"/>
              </w:rPr>
              <w:t>DECEMBER 29,</w:t>
            </w:r>
          </w:p>
        </w:tc>
      </w:tr>
      <w:tr>
        <w:trPr>
          <w:trHeight w:val="205"/>
        </w:trPr>
        <w:tc>
          <w:tcPr>
            <w:tcW w:w="19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20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Bloomin’ Brands, Inc.</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(BLMN)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72.83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79.03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93.96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78.78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98.98</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Standard &amp; Poor’s 500</w:t>
            </w:r>
          </w:p>
        </w:tc>
        <w:tc>
          <w:tcPr>
            <w:tcW w:w="16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100.76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113.12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136.32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129.22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171.82</w:t>
            </w: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Standard &amp; Poor’s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0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Consumer Discretionary</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110.45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118.24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143.48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143.09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186.12</w:t>
            </w:r>
          </w:p>
        </w:tc>
      </w:tr>
      <w:tr>
        <w:trPr>
          <w:trHeight w:val="33"/>
        </w:trPr>
        <w:tc>
          <w:tcPr>
            <w:tcW w:w="1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21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Results: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60"/>
        </w:trPr>
        <w:tc>
          <w:tcPr>
            <w:tcW w:w="47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4,075,014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4,060,871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4,164,063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4,221,920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4,349,921</w:t>
            </w: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Franchise and other revenues</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64,375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65,542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59,073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38,753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27,755</w:t>
            </w:r>
          </w:p>
        </w:tc>
      </w:tr>
      <w:tr>
        <w:trPr>
          <w:trHeight w:val="40"/>
        </w:trPr>
        <w:tc>
          <w:tcPr>
            <w:tcW w:w="4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82"/>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revenues (1)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4,139,389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4,126,413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4,223,136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4,260,673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4,377,676</w:t>
            </w:r>
          </w:p>
        </w:tc>
      </w:tr>
      <w:tr>
        <w:trPr>
          <w:trHeight w:val="211"/>
        </w:trPr>
        <w:tc>
          <w:tcPr>
            <w:tcW w:w="47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Income from operations (2)</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191,090</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145,253</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138,686</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123,750</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230,925</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including noncontrolling interests (2) (3)</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103,608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131,560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attributable to Bloomin’ Brands (2) (3)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130,573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107,098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101,293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39,388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127,327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 earnings per share (4)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(5)</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3,592,683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2,464,774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2,561,894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2,622,810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3,032,569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operating lease liabilities (5)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1,450,917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net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1,048,704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1,094,775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1,118,104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1,089,485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1,316,864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stockholders’ equity (6)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177,481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54,817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81,231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226,063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454,970</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outstanding (6)</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86,946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91,272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91,913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119,215</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(161,926)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(208,224)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(260,589)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(260,578)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(210,263)</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sale-leaseback transactions, net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530,684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i w:val="1"/>
                <w:iCs w:val="1"/>
                <w:color w:val="auto"/>
              </w:rPr>
              <w:t>Financing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 of common stock (6)</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(113,967)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(272,916)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(310,334)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(170,769)</w:t>
            </w:r>
          </w:p>
        </w:tc>
      </w:tr>
      <w:tr>
        <w:trPr>
          <w:trHeight w:val="210"/>
        </w:trPr>
        <w:tc>
          <w:tcPr>
            <w:tcW w:w="4700" w:type="dxa"/>
            <w:vAlign w:val="bottom"/>
          </w:tcPr>
          <w:p>
            <w:pPr>
              <w:spacing w:after="0"/>
              <w:rPr>
                <w:sz w:val="20"/>
                <w:szCs w:val="20"/>
                <w:color w:val="auto"/>
              </w:rPr>
            </w:pPr>
            <w:r>
              <w:rPr>
                <w:rFonts w:ascii="Arial" w:cs="Arial" w:eastAsia="Arial" w:hAnsi="Arial"/>
                <w:sz w:val="16"/>
                <w:szCs w:val="16"/>
                <w:color w:val="auto"/>
              </w:rPr>
              <w:t>____________________</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jc w:val="both"/>
        <w:spacing w:after="0" w:line="270" w:lineRule="auto"/>
        <w:rPr>
          <w:sz w:val="20"/>
          <w:szCs w:val="20"/>
          <w:color w:val="auto"/>
        </w:rPr>
      </w:pPr>
      <w:r>
        <w:rPr>
          <w:rFonts w:ascii="Arial" w:cs="Arial" w:eastAsia="Arial" w:hAnsi="Arial"/>
          <w:sz w:val="16"/>
          <w:szCs w:val="16"/>
          <w:color w:val="auto"/>
        </w:rPr>
        <w:t>Note: This selected consolidated financial data should be read in conjunction with the consolidated financial statements and notes thereto, included in Item 8 and Management’s Discussion and Analysis of Financial Condition and Results of Operations, included in Item 7 of this Report.</w:t>
      </w:r>
    </w:p>
    <w:p>
      <w:pPr>
        <w:spacing w:after="0" w:line="68" w:lineRule="exact"/>
        <w:rPr>
          <w:sz w:val="20"/>
          <w:szCs w:val="20"/>
          <w:color w:val="auto"/>
        </w:rPr>
      </w:pPr>
    </w:p>
    <w:p>
      <w:pPr>
        <w:ind w:left="660" w:hanging="652"/>
        <w:spacing w:after="0" w:line="272"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There were 53 operating weeks in 2017, versus 52 operating weeks for all other periods presented. This additional week resulted in an increase in Total revenues of $80.4 million during 2017. Due to the change in our fiscal year end in 2014, Total revenues for 2015 includes $24.3 million of higher Restaurant sales.</w:t>
      </w:r>
    </w:p>
    <w:p>
      <w:pPr>
        <w:spacing w:after="0" w:line="1" w:lineRule="exact"/>
        <w:rPr>
          <w:rFonts w:ascii="Arial" w:cs="Arial" w:eastAsia="Arial" w:hAnsi="Arial"/>
          <w:sz w:val="15"/>
          <w:szCs w:val="15"/>
          <w:color w:val="auto"/>
        </w:rPr>
      </w:pPr>
    </w:p>
    <w:p>
      <w:pPr>
        <w:jc w:val="both"/>
        <w:ind w:left="660" w:hanging="652"/>
        <w:spacing w:after="0" w:line="263"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2019 includes: (i) $10.6 million of asset impairments and closing costs primarily related to the restructuring of certain international markets, including Puerto Rico and China, certain approved closure and restructuring initiatives and the relocation of certain restaurants, (ii) $5.5 million of severance expense from the restructuring of certain functions, (iii) $3.8 million of gains related to the sale of certain surplus properties and (iv) $6.0 million of gains from the recognition of certain value-added tax credits in Brazil. 2018 includes: (i) $29.5 million of asset impairments and closing costs primarily related to the restructuring of certain international markets, including Puerto Rico and China, certain approved closure and restructuring initiatives, reclassification of assets to held for sale in connection with refranchising certain restaurants and the restructuring of our Express concept, (ii) $8.6 million of asset impairments and restaurant closing costs related to the relocation of certain restaurants and (iii) $3.5 million of severance expense from the restructuring of certain functions. 2017 includes: (i) $42.8 million of asset impairments and closing costs primarily related to certain closure and restructuring initiatives, the remeasurement of certain surplus properties and for our China subsidiary, (ii) $12.5 million of asset impairments and restaurant closing costs related to the relocation of certain restaurants and (iii) $11.0 million of severance expense incurred as a result of a restructuring event. 2016 includes: (i) $51.4 million of asset impairments and closing costs related to certain closure and restructuring initiatives, (ii) $43.1 million of asset impairments related to the refranchising of Outback Steakhouse South Korea and for our Puerto Rico subsidiary, (iii) $7.2 million of asset impairments and restaurant closing costs related to the relocation of certain restaurants and (iv) $5.5 million of severance expense as a result of a restructuring event and the relocation of our Fleming’s operations center to the corporate home office. 2015 includes $4.9 million of higher income from operations due to a change in our fiscal year end and $31.8 million of asset impairments and restaurant closing costs related to certain closure and restructuring initiatives.</w:t>
      </w: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$27.0 million of loss on defeasance, extinguishment and modification of debt in 2016.</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Fiscal year 2017 includes $0.11 of additional diluted earnings per share from a 53rd operating week.</w:t>
      </w:r>
    </w:p>
    <w:p>
      <w:pPr>
        <w:spacing w:after="0" w:line="5"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On December 31, 2019, we recorded $1.3 billion of right-of-use assets and $1.5 billion of lease liabilities upon adoption of the new lease standard discussed in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w:t>
      </w:r>
    </w:p>
    <w:p>
      <w:pPr>
        <w:ind w:left="660" w:right="20" w:hanging="652"/>
        <w:spacing w:after="0" w:line="25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2019, 2018, 2017, 2016 and 2015, we repurchased 5.5 million, 5.1 million, 13.8 million, 16.6 million and 7.6 million shares, respectively, of our outstanding common stock. During 2018, we issued 4.0 million shares of our common stock through the exercise of stock options.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consolidated financial statements and the related notes. For discussion of our consolidated and segment-level results of operations, non-GAAP measures, and liquidity and capital resources for fiscal year 2017, see our Annual Report on Form 10-K for the year ended December 30, 2018, filed with the SEC on February 27, 2019.</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one of the largest casual dining restaurant companies in the world with a portfolio of leading, differentiated restaurant concepts. As of December 29, 2019, we owned and operated 1,173 restaurants and franchised 300 restaurants across 48 states, Puerto Rico, Guam and 21 countries. We have four founder-inspired concepts: Outback Steakhouse, Carrabba’s Italian Grill, Bonefish Grill and Fleming’s Prime Steakhouse &amp; Wine Bar.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Our 2019 financial results include:</w:t>
      </w:r>
    </w:p>
    <w:p>
      <w:pPr>
        <w:spacing w:after="0" w:line="229" w:lineRule="exact"/>
        <w:rPr>
          <w:sz w:val="20"/>
          <w:szCs w:val="20"/>
          <w:color w:val="auto"/>
        </w:rPr>
      </w:pPr>
    </w:p>
    <w:p>
      <w:pPr>
        <w:jc w:val="both"/>
        <w:ind w:left="920" w:hanging="331"/>
        <w:spacing w:after="0" w:line="250" w:lineRule="auto"/>
        <w:tabs>
          <w:tab w:leader="none" w:pos="9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 increase in Total revenues of 0.3% to $4.1 billion in 2019 as compared to 2018, driven primarily by higher comparable restaurant sales and the net impact of restaurant openings and closures. These increases were partially offset by the effect of foreign currency translation and domestic refranchising.</w:t>
      </w:r>
    </w:p>
    <w:p>
      <w:pPr>
        <w:spacing w:after="0" w:line="199" w:lineRule="exact"/>
        <w:rPr>
          <w:rFonts w:ascii="Arial" w:cs="Arial" w:eastAsia="Arial" w:hAnsi="Arial"/>
          <w:sz w:val="20"/>
          <w:szCs w:val="20"/>
          <w:color w:val="auto"/>
        </w:rPr>
      </w:pPr>
    </w:p>
    <w:p>
      <w:pPr>
        <w:jc w:val="both"/>
        <w:ind w:left="920" w:hanging="331"/>
        <w:spacing w:after="0" w:line="263" w:lineRule="auto"/>
        <w:tabs>
          <w:tab w:leader="none" w:pos="9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Income from operations increased to $191.1 million in 2019 as compared to $145.3 million in 2018, primarily due to higher comparable restaurant sales, the impact of certain cost savings initiatives and lower impairment charges and restaurant closing costs. These increases were partially offset by labor, commodity and operating expense inflation, delivery rollout costs and the impact of deferred gain amortization no longer recognized upon adoption of the new lease standard.</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Following is a summary of factors that impacted our operating results and liquidity in 2019 and significant actions we have taken during the year:</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Refranchising </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252525"/>
        </w:rPr>
        <w:t>During 2019, we completed the sale of</w:t>
      </w:r>
      <w:r>
        <w:rPr>
          <w:rFonts w:ascii="Arial" w:cs="Arial" w:eastAsia="Arial" w:hAnsi="Arial"/>
          <w:sz w:val="20"/>
          <w:szCs w:val="20"/>
          <w:i w:val="1"/>
          <w:iCs w:val="1"/>
          <w:color w:val="auto"/>
        </w:rPr>
        <w:t xml:space="preserve"> </w:t>
      </w:r>
      <w:r>
        <w:rPr>
          <w:rFonts w:ascii="Arial" w:cs="Arial" w:eastAsia="Arial" w:hAnsi="Arial"/>
          <w:sz w:val="20"/>
          <w:szCs w:val="20"/>
          <w:color w:val="auto"/>
        </w:rPr>
        <w:t>18 of our U.S. Company-owned Carrabba’s Italian Grill restaurants</w:t>
      </w:r>
      <w:r>
        <w:rPr>
          <w:rFonts w:ascii="Arial" w:cs="Arial" w:eastAsia="Arial" w:hAnsi="Arial"/>
          <w:sz w:val="20"/>
          <w:szCs w:val="20"/>
          <w:i w:val="1"/>
          <w:iCs w:val="1"/>
          <w:color w:val="auto"/>
        </w:rPr>
        <w:t xml:space="preserve"> </w:t>
      </w:r>
      <w:r>
        <w:rPr>
          <w:rFonts w:ascii="Arial" w:cs="Arial" w:eastAsia="Arial" w:hAnsi="Arial"/>
          <w:sz w:val="20"/>
          <w:szCs w:val="20"/>
          <w:color w:val="252525"/>
        </w:rPr>
        <w:t>to an existing</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franchisee for cash proceeds of </w:t>
      </w:r>
      <w:r>
        <w:rPr>
          <w:rFonts w:ascii="Arial" w:cs="Arial" w:eastAsia="Arial" w:hAnsi="Arial"/>
          <w:sz w:val="20"/>
          <w:szCs w:val="20"/>
          <w:color w:val="000000"/>
        </w:rPr>
        <w:t>$3.6 million,</w:t>
      </w:r>
      <w:r>
        <w:rPr>
          <w:rFonts w:ascii="Arial" w:cs="Arial" w:eastAsia="Arial" w:hAnsi="Arial"/>
          <w:sz w:val="20"/>
          <w:szCs w:val="20"/>
          <w:color w:val="252525"/>
        </w:rPr>
        <w:t xml:space="preserve"> net of certain purchase price adjustments. </w:t>
      </w:r>
      <w:r>
        <w:rPr>
          <w:rFonts w:ascii="Arial" w:cs="Arial" w:eastAsia="Arial" w:hAnsi="Arial"/>
          <w:sz w:val="20"/>
          <w:szCs w:val="20"/>
          <w:color w:val="000000"/>
        </w:rPr>
        <w:t>See Note 4 -</w:t>
      </w:r>
      <w:r>
        <w:rPr>
          <w:rFonts w:ascii="Arial" w:cs="Arial" w:eastAsia="Arial" w:hAnsi="Arial"/>
          <w:sz w:val="20"/>
          <w:szCs w:val="20"/>
          <w:color w:val="252525"/>
        </w:rPr>
        <w:t xml:space="preserve"> </w:t>
      </w:r>
      <w:r>
        <w:rPr>
          <w:rFonts w:ascii="Arial" w:cs="Arial" w:eastAsia="Arial" w:hAnsi="Arial"/>
          <w:sz w:val="20"/>
          <w:szCs w:val="20"/>
          <w:i w:val="1"/>
          <w:iCs w:val="1"/>
          <w:color w:val="000000"/>
        </w:rPr>
        <w:t>Disposals</w:t>
      </w:r>
      <w:r>
        <w:rPr>
          <w:rFonts w:ascii="Arial" w:cs="Arial" w:eastAsia="Arial" w:hAnsi="Arial"/>
          <w:sz w:val="20"/>
          <w:szCs w:val="20"/>
          <w:color w:val="252525"/>
        </w:rPr>
        <w:t xml:space="preserve"> </w:t>
      </w:r>
      <w:r>
        <w:rPr>
          <w:rFonts w:ascii="Arial" w:cs="Arial" w:eastAsia="Arial" w:hAnsi="Arial"/>
          <w:sz w:val="20"/>
          <w:szCs w:val="20"/>
          <w:color w:val="000000"/>
        </w:rPr>
        <w:t>of the Notes to Consolidated</w:t>
      </w:r>
      <w:r>
        <w:rPr>
          <w:rFonts w:ascii="Arial" w:cs="Arial" w:eastAsia="Arial" w:hAnsi="Arial"/>
          <w:sz w:val="20"/>
          <w:szCs w:val="20"/>
          <w:color w:val="252525"/>
        </w:rPr>
        <w:t xml:space="preserve"> </w:t>
      </w:r>
      <w:r>
        <w:rPr>
          <w:rFonts w:ascii="Arial" w:cs="Arial" w:eastAsia="Arial" w:hAnsi="Arial"/>
          <w:sz w:val="20"/>
          <w:szCs w:val="20"/>
          <w:color w:val="000000"/>
        </w:rPr>
        <w:t>Financial Statements for additional details.</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Surplus Property Disposals </w:t>
      </w:r>
      <w:r>
        <w:rPr>
          <w:rFonts w:ascii="Arial" w:cs="Arial" w:eastAsia="Arial" w:hAnsi="Arial"/>
          <w:sz w:val="20"/>
          <w:szCs w:val="20"/>
          <w:color w:val="auto"/>
        </w:rPr>
        <w:t>- During 2019, we completed the sale of five of our U.S. surplus properties to a franchisee for cash proceeds of</w:t>
      </w:r>
      <w:r>
        <w:rPr>
          <w:rFonts w:ascii="Arial" w:cs="Arial" w:eastAsia="Arial" w:hAnsi="Arial"/>
          <w:sz w:val="20"/>
          <w:szCs w:val="20"/>
          <w:i w:val="1"/>
          <w:iCs w:val="1"/>
          <w:color w:val="auto"/>
        </w:rPr>
        <w:t xml:space="preserve"> </w:t>
      </w:r>
      <w:r>
        <w:rPr>
          <w:rFonts w:ascii="Arial" w:cs="Arial" w:eastAsia="Arial" w:hAnsi="Arial"/>
          <w:sz w:val="20"/>
          <w:szCs w:val="20"/>
          <w:color w:val="auto"/>
        </w:rPr>
        <w:t>$12.7 million, net of certain purchase price adjustments. The transaction resulted in a net gain of $3.6 million, recorded within Other restaurant operating expense in our Consolidated Statements of Operations and Comprehensive Income.</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Share Repurchase Programs and Dividends - </w:t>
      </w:r>
      <w:r>
        <w:rPr>
          <w:rFonts w:ascii="Arial" w:cs="Arial" w:eastAsia="Arial" w:hAnsi="Arial"/>
          <w:sz w:val="20"/>
          <w:szCs w:val="20"/>
          <w:color w:val="auto"/>
        </w:rPr>
        <w:t>We repurchased 5.5 million shares of common stock during 2019 for a total of $107.0 million and</w:t>
      </w:r>
      <w:r>
        <w:rPr>
          <w:rFonts w:ascii="Arial" w:cs="Arial" w:eastAsia="Arial" w:hAnsi="Arial"/>
          <w:sz w:val="20"/>
          <w:szCs w:val="20"/>
          <w:i w:val="1"/>
          <w:iCs w:val="1"/>
          <w:color w:val="auto"/>
        </w:rPr>
        <w:t xml:space="preserve"> </w:t>
      </w:r>
      <w:r>
        <w:rPr>
          <w:rFonts w:ascii="Arial" w:cs="Arial" w:eastAsia="Arial" w:hAnsi="Arial"/>
          <w:sz w:val="20"/>
          <w:szCs w:val="20"/>
          <w:color w:val="auto"/>
        </w:rPr>
        <w:t>paid $35.7 million of dividends.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In 2020, our key business strategies include:</w:t>
      </w:r>
    </w:p>
    <w:p>
      <w:pPr>
        <w:spacing w:after="0" w:line="229" w:lineRule="exact"/>
        <w:rPr>
          <w:sz w:val="20"/>
          <w:szCs w:val="20"/>
          <w:color w:val="auto"/>
        </w:rPr>
      </w:pPr>
    </w:p>
    <w:p>
      <w:pPr>
        <w:jc w:val="both"/>
        <w:ind w:left="900" w:hanging="325"/>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20"/>
          <w:szCs w:val="20"/>
          <w:i w:val="1"/>
          <w:iCs w:val="1"/>
          <w:color w:val="auto"/>
        </w:rPr>
        <w:t xml:space="preserve">Enhance the 360-Degree Customer Experience to Drive Sustainable Healthy Sales Growth. </w:t>
      </w:r>
      <w:r>
        <w:rPr>
          <w:rFonts w:ascii="Arial" w:cs="Arial" w:eastAsia="Arial" w:hAnsi="Arial"/>
          <w:sz w:val="20"/>
          <w:szCs w:val="20"/>
          <w:color w:val="auto"/>
        </w:rPr>
        <w:t>We plan to continue to make</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investments to enhance our core guest experience, increase off-premises dining occasions, remodel and relocate restaurants, invest in digital marketing and data personalization and utilize the Dine Rewards loyalty program and multimedia marketing campaigns to drive sales.</w:t>
      </w:r>
    </w:p>
    <w:p>
      <w:pPr>
        <w:spacing w:after="0" w:line="205" w:lineRule="exact"/>
        <w:rPr>
          <w:rFonts w:ascii="Arial" w:cs="Arial" w:eastAsia="Arial" w:hAnsi="Arial"/>
          <w:sz w:val="18"/>
          <w:szCs w:val="18"/>
          <w:color w:val="auto"/>
        </w:rPr>
      </w:pPr>
    </w:p>
    <w:p>
      <w:pPr>
        <w:ind w:left="900" w:right="20" w:hanging="325"/>
        <w:spacing w:after="0" w:line="31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Drive Long-Term Shareholder Value. </w:t>
      </w:r>
      <w:r>
        <w:rPr>
          <w:rFonts w:ascii="Arial" w:cs="Arial" w:eastAsia="Arial" w:hAnsi="Arial"/>
          <w:sz w:val="18"/>
          <w:szCs w:val="18"/>
          <w:color w:val="auto"/>
        </w:rPr>
        <w:t>We plan to drive long-term shareholder value by reinvesting operational cash flow into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improving our credit profile and returning excess cash to shareholders through dividends and share repurchases.</w:t>
      </w:r>
    </w:p>
    <w:p>
      <w:pPr>
        <w:spacing w:after="0" w:line="143"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15"/>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Enrich Engagement Among Stakeholders. </w:t>
      </w:r>
      <w:r>
        <w:rPr>
          <w:rFonts w:ascii="Arial" w:cs="Arial" w:eastAsia="Arial" w:hAnsi="Arial"/>
          <w:sz w:val="20"/>
          <w:szCs w:val="20"/>
          <w:color w:val="auto"/>
        </w:rPr>
        <w:t>We take the responsibility to our people, customers and communities seriously and</w:t>
      </w:r>
      <w:r>
        <w:rPr>
          <w:rFonts w:ascii="Arial" w:cs="Arial" w:eastAsia="Arial" w:hAnsi="Arial"/>
          <w:sz w:val="20"/>
          <w:szCs w:val="20"/>
          <w:i w:val="1"/>
          <w:iCs w:val="1"/>
          <w:color w:val="auto"/>
        </w:rPr>
        <w:t xml:space="preserve"> </w:t>
      </w:r>
      <w:r>
        <w:rPr>
          <w:rFonts w:ascii="Arial" w:cs="Arial" w:eastAsia="Arial" w:hAnsi="Arial"/>
          <w:sz w:val="20"/>
          <w:szCs w:val="20"/>
          <w:color w:val="auto"/>
        </w:rPr>
        <w:t>continue to invest in programs that support the well-being of those engaged with us.</w:t>
      </w:r>
    </w:p>
    <w:p>
      <w:pPr>
        <w:spacing w:after="0" w:line="190" w:lineRule="exact"/>
        <w:rPr>
          <w:rFonts w:ascii="Arial" w:cs="Arial" w:eastAsia="Arial" w:hAnsi="Arial"/>
          <w:sz w:val="20"/>
          <w:szCs w:val="20"/>
          <w:i w:val="1"/>
          <w:iCs w:val="1"/>
          <w:color w:val="auto"/>
        </w:rPr>
      </w:pPr>
    </w:p>
    <w:p>
      <w:pPr>
        <w:ind w:left="900" w:hanging="325"/>
        <w:spacing w:after="0" w:line="26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20"/>
          <w:szCs w:val="20"/>
          <w:i w:val="1"/>
          <w:iCs w:val="1"/>
          <w:color w:val="auto"/>
        </w:rPr>
        <w:t xml:space="preserve">Maximize International Opportunity. </w:t>
      </w:r>
      <w:r>
        <w:rPr>
          <w:rFonts w:ascii="Arial" w:cs="Arial" w:eastAsia="Arial" w:hAnsi="Arial"/>
          <w:sz w:val="20"/>
          <w:szCs w:val="20"/>
          <w:color w:val="auto"/>
        </w:rPr>
        <w:t>We continue to focus on existing geographic regions in South America, with strategic</w:t>
      </w:r>
      <w:r>
        <w:rPr>
          <w:rFonts w:ascii="Arial" w:cs="Arial" w:eastAsia="Arial" w:hAnsi="Arial"/>
          <w:sz w:val="20"/>
          <w:szCs w:val="20"/>
          <w:i w:val="1"/>
          <w:iCs w:val="1"/>
          <w:color w:val="auto"/>
        </w:rPr>
        <w:t xml:space="preserve"> </w:t>
      </w:r>
      <w:r>
        <w:rPr>
          <w:rFonts w:ascii="Arial" w:cs="Arial" w:eastAsia="Arial" w:hAnsi="Arial"/>
          <w:sz w:val="20"/>
          <w:szCs w:val="20"/>
          <w:color w:val="auto"/>
        </w:rPr>
        <w:t>expansion in Brazil, and pursue global franchise opportunities.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intend to fund our business strategies, drive revenue growth and margin improvement, in part by reinvesting savings generated by anticipated cost savings discussed below and productivity initiatives across our businesses.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Strategic Alternatives Review Update</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November 2019, we announced that we are exploring and evaluating strategic alternatives that have the potential to maximize value for our shareholders, including but not limited to, a possible sale of the Company. Since then, management has been actively working with the Board of Directors and its financial and legal advisors to review all aspects of the business and available opportunities.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Concurrently, we have built a plan that supports a growth-focused, operations centric organization. The pillars of this plan are as follows:</w:t>
      </w:r>
    </w:p>
    <w:p>
      <w:pPr>
        <w:spacing w:after="0" w:line="25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20"/>
          <w:szCs w:val="20"/>
          <w:color w:val="auto"/>
        </w:rPr>
        <w:t>Aligned leadership, resources and structure to prioritize growth, efficiency and scale.</w:t>
      </w:r>
    </w:p>
    <w:p>
      <w:pPr>
        <w:spacing w:after="0" w:line="21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20"/>
          <w:szCs w:val="20"/>
          <w:color w:val="auto"/>
        </w:rPr>
        <w:t>Simplified our corporate support functions to enable a more agile and operations-focused organization.</w:t>
      </w:r>
    </w:p>
    <w:p>
      <w:pPr>
        <w:spacing w:after="0" w:line="215"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20"/>
          <w:szCs w:val="20"/>
          <w:color w:val="auto"/>
        </w:rPr>
        <w:t>Rebalanced capital allocation policy, including doubling our dividend, while maintaining flexibility to pay down debt, repurchase shares and reinvest back in our business.</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are confident that these actions, coupled with our ongoing focus on driving sustainable healthy sales growth in our restaurants, will increase total shareholder return in 2020 and beyond.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29" w:lineRule="exact"/>
        <w:rPr>
          <w:sz w:val="20"/>
          <w:szCs w:val="20"/>
          <w:color w:val="auto"/>
        </w:rPr>
      </w:pPr>
    </w:p>
    <w:p>
      <w:pPr>
        <w:ind w:left="660" w:right="20" w:hanging="328"/>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per restaurant to measure changes in consumer traffic,</w:t>
      </w:r>
      <w:r>
        <w:rPr>
          <w:rFonts w:ascii="Arial" w:cs="Arial" w:eastAsia="Arial" w:hAnsi="Arial"/>
          <w:sz w:val="20"/>
          <w:szCs w:val="20"/>
          <w:i w:val="1"/>
          <w:iCs w:val="1"/>
          <w:color w:val="auto"/>
        </w:rPr>
        <w:t xml:space="preserve"> </w:t>
      </w:r>
      <w:r>
        <w:rPr>
          <w:rFonts w:ascii="Arial" w:cs="Arial" w:eastAsia="Arial" w:hAnsi="Arial"/>
          <w:sz w:val="20"/>
          <w:szCs w:val="20"/>
          <w:color w:val="auto"/>
        </w:rPr>
        <w:t>pricing and development of the brand;</w:t>
      </w:r>
    </w:p>
    <w:p>
      <w:pPr>
        <w:spacing w:after="0" w:line="19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sales volumes (excluding gift card breakage) for Company-owned</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that are open 18 months or more in order to remove the impact of new restaurant openings in comparing the operations of existing restaurants;</w:t>
      </w:r>
    </w:p>
    <w:p>
      <w:pPr>
        <w:spacing w:after="0" w:line="19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17"/>
        </w:numPr>
        <w:rPr>
          <w:rFonts w:ascii="Arial" w:cs="Arial" w:eastAsia="Arial" w:hAnsi="Arial"/>
          <w:sz w:val="20"/>
          <w:szCs w:val="20"/>
          <w:i w:val="1"/>
          <w:iCs w:val="1"/>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190" w:lineRule="exact"/>
        <w:rPr>
          <w:rFonts w:ascii="Arial" w:cs="Arial" w:eastAsia="Arial" w:hAnsi="Arial"/>
          <w:sz w:val="20"/>
          <w:szCs w:val="20"/>
          <w:i w:val="1"/>
          <w:iCs w:val="1"/>
          <w:color w:val="auto"/>
        </w:rPr>
      </w:pPr>
    </w:p>
    <w:p>
      <w:pPr>
        <w:ind w:left="660" w:hanging="328"/>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 xml:space="preserve">Restaurant-level operating margin, Income from operations, Net income and Diluted earnings per share </w:t>
      </w:r>
      <w:r>
        <w:rPr>
          <w:rFonts w:ascii="Arial" w:cs="Arial" w:eastAsia="Arial" w:hAnsi="Arial"/>
          <w:sz w:val="20"/>
          <w:szCs w:val="20"/>
          <w:color w:val="auto"/>
        </w:rPr>
        <w:t>— financial measures utilized</w:t>
      </w:r>
      <w:r>
        <w:rPr>
          <w:rFonts w:ascii="Arial" w:cs="Arial" w:eastAsia="Arial" w:hAnsi="Arial"/>
          <w:sz w:val="20"/>
          <w:szCs w:val="20"/>
          <w:i w:val="1"/>
          <w:iCs w:val="1"/>
          <w:color w:val="auto"/>
        </w:rPr>
        <w:t xml:space="preserve"> </w:t>
      </w:r>
      <w:r>
        <w:rPr>
          <w:rFonts w:ascii="Arial" w:cs="Arial" w:eastAsia="Arial" w:hAnsi="Arial"/>
          <w:sz w:val="20"/>
          <w:szCs w:val="20"/>
          <w:color w:val="auto"/>
        </w:rPr>
        <w:t>to evaluate our operating performance.</w:t>
      </w:r>
    </w:p>
    <w:p>
      <w:pPr>
        <w:spacing w:after="0" w:line="190" w:lineRule="exact"/>
        <w:rPr>
          <w:rFonts w:ascii="Arial" w:cs="Arial" w:eastAsia="Arial" w:hAnsi="Arial"/>
          <w:sz w:val="20"/>
          <w:szCs w:val="20"/>
          <w:color w:val="auto"/>
        </w:rPr>
      </w:pPr>
    </w:p>
    <w:p>
      <w:pPr>
        <w:jc w:val="both"/>
        <w:ind w:left="660"/>
        <w:spacing w:after="0" w:line="243" w:lineRule="auto"/>
        <w:rPr>
          <w:rFonts w:ascii="Arial" w:cs="Arial" w:eastAsia="Arial" w:hAnsi="Arial"/>
          <w:sz w:val="20"/>
          <w:szCs w:val="20"/>
          <w:color w:val="auto"/>
        </w:rPr>
      </w:pPr>
      <w:r>
        <w:rPr>
          <w:rFonts w:ascii="Arial" w:cs="Arial" w:eastAsia="Arial" w:hAnsi="Arial"/>
          <w:sz w:val="20"/>
          <w:szCs w:val="20"/>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Cost of sales, Labor and other related and Other restaurant operating expense (including advertising expenses) represent, in each case as such items are reflected in our Consolidated Statements of Operations. The following categories of our revenue and operating expenses are not included in restaurant-level operating margin because we do not consider them reflective of operating performance at the restaurant-level within a period:</w:t>
      </w:r>
    </w:p>
    <w:p>
      <w:pPr>
        <w:spacing w:after="0" w:line="206" w:lineRule="exact"/>
        <w:rPr>
          <w:rFonts w:ascii="Arial" w:cs="Arial" w:eastAsia="Arial" w:hAnsi="Arial"/>
          <w:sz w:val="20"/>
          <w:szCs w:val="20"/>
          <w:color w:val="auto"/>
        </w:rPr>
      </w:pPr>
    </w:p>
    <w:p>
      <w:pPr>
        <w:ind w:left="1460" w:hanging="804"/>
        <w:spacing w:after="0" w:line="247" w:lineRule="auto"/>
        <w:tabs>
          <w:tab w:leader="none" w:pos="1055" w:val="left"/>
        </w:tabs>
        <w:numPr>
          <w:ilvl w:val="1"/>
          <w:numId w:val="17"/>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460" w:hanging="804"/>
        <w:spacing w:after="0" w:line="239" w:lineRule="auto"/>
        <w:tabs>
          <w:tab w:leader="none" w:pos="1055" w:val="left"/>
        </w:tabs>
        <w:numPr>
          <w:ilvl w:val="1"/>
          <w:numId w:val="17"/>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is related to restaurant-level assets, represent historical sunk costs rather than cash outlays for the restaurants.</w:t>
      </w:r>
    </w:p>
    <w:p>
      <w:pPr>
        <w:spacing w:after="0" w:line="1" w:lineRule="exact"/>
        <w:rPr>
          <w:rFonts w:ascii="Arial" w:cs="Arial" w:eastAsia="Arial" w:hAnsi="Arial"/>
          <w:sz w:val="20"/>
          <w:szCs w:val="20"/>
          <w:color w:val="auto"/>
        </w:rPr>
      </w:pPr>
    </w:p>
    <w:p>
      <w:pPr>
        <w:ind w:left="1460" w:hanging="804"/>
        <w:spacing w:after="0" w:line="239" w:lineRule="auto"/>
        <w:tabs>
          <w:tab w:leader="none" w:pos="1055" w:val="left"/>
        </w:tabs>
        <w:numPr>
          <w:ilvl w:val="1"/>
          <w:numId w:val="17"/>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spacing w:after="0" w:line="1" w:lineRule="exact"/>
        <w:rPr>
          <w:rFonts w:ascii="Arial" w:cs="Arial" w:eastAsia="Arial" w:hAnsi="Arial"/>
          <w:sz w:val="20"/>
          <w:szCs w:val="20"/>
          <w:color w:val="auto"/>
        </w:rPr>
      </w:pPr>
    </w:p>
    <w:p>
      <w:pPr>
        <w:ind w:left="1060" w:hanging="404"/>
        <w:spacing w:after="0"/>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36"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color w:val="auto"/>
        </w:rPr>
        <w:t>Restaurant-level operating margin excludes various expenses, as discussed above, that are essential to support the operations of our restaurants and may materially impact our Consolidated Statements of Operations and Comprehensive Income. As a result, restaurant-level operating margin is not indicative of our consolidated results of operations and is presented exclusively as a supplement to, and not a substitute for, net income or income from operations. In addition, our presentation of restaurant operating margin may not be comparable to similarly titled measures used by other companies in our industry;</w:t>
      </w:r>
    </w:p>
    <w:p>
      <w:pPr>
        <w:spacing w:after="0" w:line="194" w:lineRule="exact"/>
        <w:rPr>
          <w:sz w:val="20"/>
          <w:szCs w:val="20"/>
          <w:color w:val="auto"/>
        </w:rPr>
      </w:pPr>
    </w:p>
    <w:p>
      <w:pPr>
        <w:jc w:val="both"/>
        <w:ind w:left="660" w:hanging="328"/>
        <w:spacing w:after="0" w:line="25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Adjusted restaurant-level operating margin, Adjusted income from operations, Adjusted net income, Adjusted diluted earnings per share</w:t>
      </w:r>
      <w:r>
        <w:rPr>
          <w:rFonts w:ascii="Arial" w:cs="Arial" w:eastAsia="Arial" w:hAnsi="Arial"/>
          <w:sz w:val="20"/>
          <w:szCs w:val="20"/>
          <w:color w:val="auto"/>
        </w:rPr>
        <w:t>—non-GAAP financial measures utilized to evaluate our operating performance, which definitions, usefulness and reconciliations</w:t>
      </w:r>
      <w:r>
        <w:rPr>
          <w:rFonts w:ascii="Arial" w:cs="Arial" w:eastAsia="Arial" w:hAnsi="Arial"/>
          <w:sz w:val="20"/>
          <w:szCs w:val="20"/>
          <w:i w:val="1"/>
          <w:iCs w:val="1"/>
          <w:color w:val="auto"/>
        </w:rPr>
        <w:t xml:space="preserve"> </w:t>
      </w:r>
      <w:r>
        <w:rPr>
          <w:rFonts w:ascii="Arial" w:cs="Arial" w:eastAsia="Arial" w:hAnsi="Arial"/>
          <w:sz w:val="20"/>
          <w:szCs w:val="20"/>
          <w:color w:val="auto"/>
        </w:rPr>
        <w:t>are described in more detail in the “Non-GAAP Financial Measures” section below; and</w:t>
      </w:r>
    </w:p>
    <w:p>
      <w:pPr>
        <w:spacing w:after="0" w:line="199"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20"/>
          <w:szCs w:val="20"/>
          <w:i w:val="1"/>
          <w:iCs w:val="1"/>
          <w:color w:val="auto"/>
        </w:rPr>
      </w:pPr>
      <w:r>
        <w:rPr>
          <w:rFonts w:ascii="Arial" w:cs="Arial" w:eastAsia="Arial" w:hAnsi="Arial"/>
          <w:sz w:val="20"/>
          <w:szCs w:val="20"/>
          <w:i w:val="1"/>
          <w:iCs w:val="1"/>
          <w:color w:val="auto"/>
        </w:rPr>
        <w:t>Consumer satisfaction scores</w:t>
      </w:r>
      <w:r>
        <w:rPr>
          <w:rFonts w:ascii="Arial" w:cs="Arial" w:eastAsia="Arial" w:hAnsi="Arial"/>
          <w:sz w:val="20"/>
          <w:szCs w:val="20"/>
          <w:color w:val="auto"/>
        </w:rPr>
        <w:t>—measurement of our consumers’ experiences in a variety of key areas.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restaurants in operation as of the periods indicated:</w:t>
      </w:r>
    </w:p>
    <w:p>
      <w:pPr>
        <w:sectPr>
          <w:pgSz w:w="11900" w:h="16838" w:orient="portrait"/>
          <w:cols w:equalWidth="0" w:num="1">
            <w:col w:w="11420"/>
          </w:cols>
          <w:pgMar w:left="240" w:top="122" w:right="239" w:bottom="1440" w:gutter="0" w:footer="0" w:header="0"/>
        </w:sectPr>
      </w:pPr>
    </w:p>
    <w:p>
      <w:pPr>
        <w:spacing w:after="0" w:line="156"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DECEMBER 29,</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DECEMBER 30,</w:t>
      </w:r>
    </w:p>
    <w:p>
      <w:pPr>
        <w:spacing w:after="0" w:line="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2018</w:t>
      </w:r>
    </w:p>
    <w:p>
      <w:pPr>
        <w:spacing w:after="0" w:line="52" w:lineRule="exact"/>
        <w:rPr>
          <w:sz w:val="20"/>
          <w:szCs w:val="20"/>
          <w:color w:val="auto"/>
        </w:rPr>
      </w:pPr>
    </w:p>
    <w:p>
      <w:pPr>
        <w:sectPr>
          <w:pgSz w:w="11900" w:h="16838" w:orient="portrait"/>
          <w:cols w:equalWidth="0" w:num="2">
            <w:col w:w="9380" w:space="700"/>
            <w:col w:w="134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Number of restaurants (at end of the period):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Outback Steakhouse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1"/>
        </w:trPr>
        <w:tc>
          <w:tcPr>
            <w:tcW w:w="80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724</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40"/>
        </w:trPr>
        <w:tc>
          <w:tcPr>
            <w:tcW w:w="80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Carrabba’s Italian Grill</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0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Arial" w:cs="Arial" w:eastAsia="Arial" w:hAnsi="Arial"/>
                <w:sz w:val="16"/>
                <w:szCs w:val="16"/>
                <w:color w:val="auto"/>
              </w:rPr>
              <w:t>Company-owned (1)</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 (1)</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1"/>
        </w:trPr>
        <w:tc>
          <w:tcPr>
            <w:tcW w:w="80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40"/>
        </w:trPr>
        <w:tc>
          <w:tcPr>
            <w:tcW w:w="80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Bonefish Grill</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0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1"/>
        </w:trPr>
        <w:tc>
          <w:tcPr>
            <w:tcW w:w="80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40"/>
        </w:trPr>
        <w:tc>
          <w:tcPr>
            <w:tcW w:w="80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0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40"/>
        </w:trPr>
        <w:tc>
          <w:tcPr>
            <w:tcW w:w="80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0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0"/>
        </w:trPr>
        <w:tc>
          <w:tcPr>
            <w:tcW w:w="80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8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U.S. Total</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1,218</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Company-owned</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Arial" w:cs="Arial" w:eastAsia="Arial" w:hAnsi="Arial"/>
                <w:sz w:val="16"/>
                <w:szCs w:val="16"/>
                <w:color w:val="auto"/>
              </w:rPr>
              <w:t>Outback Steakhouse - Brazil (2)</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4"/>
        </w:trPr>
        <w:tc>
          <w:tcPr>
            <w:tcW w:w="8000" w:type="dxa"/>
            <w:vAlign w:val="bottom"/>
          </w:tcPr>
          <w:p>
            <w:pPr>
              <w:ind w:left="180"/>
              <w:spacing w:after="0"/>
              <w:rPr>
                <w:sz w:val="20"/>
                <w:szCs w:val="20"/>
                <w:color w:val="auto"/>
              </w:rPr>
            </w:pPr>
            <w:r>
              <w:rPr>
                <w:rFonts w:ascii="Arial" w:cs="Arial" w:eastAsia="Arial" w:hAnsi="Arial"/>
                <w:sz w:val="16"/>
                <w:szCs w:val="16"/>
                <w:color w:val="auto"/>
              </w:rPr>
              <w:t>Franchised</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Outback Steakhouse - South Korea</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4"/>
        </w:trPr>
        <w:tc>
          <w:tcPr>
            <w:tcW w:w="8000" w:type="dxa"/>
            <w:vAlign w:val="bottom"/>
          </w:tcPr>
          <w:p>
            <w:pPr>
              <w:ind w:left="380"/>
              <w:spacing w:after="0"/>
              <w:rPr>
                <w:sz w:val="20"/>
                <w:szCs w:val="20"/>
                <w:color w:val="auto"/>
              </w:rPr>
            </w:pPr>
            <w:r>
              <w:rPr>
                <w:rFonts w:ascii="Arial" w:cs="Arial" w:eastAsia="Arial" w:hAnsi="Arial"/>
                <w:sz w:val="16"/>
                <w:szCs w:val="16"/>
                <w:color w:val="auto"/>
              </w:rPr>
              <w:t>Other</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40"/>
        </w:trPr>
        <w:tc>
          <w:tcPr>
            <w:tcW w:w="80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8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International Total</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1"/>
        </w:trPr>
        <w:tc>
          <w:tcPr>
            <w:tcW w:w="80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System-wide total</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1,473</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33"/>
        </w:trPr>
        <w:tc>
          <w:tcPr>
            <w:tcW w:w="80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vMerge w:val="continue"/>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00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2019, we sold 18 Carrabba’s Italian Grill restaurants,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November 30, 2019 and 2018, respectively, to correspond with the balance sheet dates of this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sets forth, for the periods indicated, the percentages of certain items in our Consolidated Statements of Operations in relation to Total revenues or Restaurant sales, as indicated:</w:t>
      </w:r>
    </w:p>
    <w:p>
      <w:pPr>
        <w:spacing w:after="0" w:line="171"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23495</wp:posOffset>
            </wp:positionV>
            <wp:extent cx="21780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03" w:lineRule="exact"/>
        <w:rPr>
          <w:sz w:val="20"/>
          <w:szCs w:val="20"/>
          <w:color w:val="auto"/>
        </w:rPr>
      </w:pPr>
    </w:p>
    <w:p>
      <w:pPr>
        <w:ind w:left="8680"/>
        <w:spacing w:after="0"/>
        <w:tabs>
          <w:tab w:leader="none" w:pos="104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Franchise and other revenues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Costs and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sales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Labor and other related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restaurant operating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jc w:val="right"/>
        <w:ind w:right="600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80"/>
        <w:spacing w:after="0"/>
        <w:tabs>
          <w:tab w:leader="none" w:pos="1840" w:val="left"/>
        </w:tabs>
        <w:rPr>
          <w:sz w:val="20"/>
          <w:szCs w:val="20"/>
          <w:color w:val="auto"/>
        </w:rPr>
      </w:pPr>
      <w:r>
        <w:rPr>
          <w:rFonts w:ascii="Arial" w:cs="Arial" w:eastAsia="Arial" w:hAnsi="Arial"/>
          <w:sz w:val="16"/>
          <w:szCs w:val="16"/>
          <w:color w:val="auto"/>
        </w:rPr>
        <w:t>98.4 %</w:t>
      </w:r>
      <w:r>
        <w:rPr>
          <w:sz w:val="20"/>
          <w:szCs w:val="20"/>
          <w:color w:val="auto"/>
        </w:rPr>
        <w:tab/>
      </w:r>
      <w:r>
        <w:rPr>
          <w:rFonts w:ascii="Arial" w:cs="Arial" w:eastAsia="Arial" w:hAnsi="Arial"/>
          <w:sz w:val="14"/>
          <w:szCs w:val="14"/>
          <w:color w:val="auto"/>
        </w:rPr>
        <w:t>98.4 %</w:t>
      </w:r>
    </w:p>
    <w:p>
      <w:pPr>
        <w:spacing w:after="0" w:line="73" w:lineRule="exact"/>
        <w:rPr>
          <w:sz w:val="20"/>
          <w:szCs w:val="20"/>
          <w:color w:val="auto"/>
        </w:rPr>
      </w:pPr>
    </w:p>
    <w:p>
      <w:pPr>
        <w:ind w:left="160"/>
        <w:spacing w:after="0"/>
        <w:tabs>
          <w:tab w:leader="none" w:pos="192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4"/>
          <w:szCs w:val="14"/>
          <w:color w:val="auto"/>
        </w:rPr>
        <w:t>1.6</w:t>
      </w:r>
    </w:p>
    <w:p>
      <w:pPr>
        <w:spacing w:after="0" w:line="100"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color w:val="auto"/>
        </w:rPr>
        <w:t>100.0</w:t>
      </w:r>
      <w:r>
        <w:rPr>
          <w:sz w:val="20"/>
          <w:szCs w:val="20"/>
          <w:color w:val="auto"/>
        </w:rPr>
        <w:tab/>
      </w:r>
      <w:r>
        <w:rPr>
          <w:rFonts w:ascii="Arial" w:cs="Arial" w:eastAsia="Arial" w:hAnsi="Arial"/>
          <w:sz w:val="14"/>
          <w:szCs w:val="14"/>
          <w:color w:val="auto"/>
        </w:rPr>
        <w:t>100.0</w:t>
      </w:r>
    </w:p>
    <w:p>
      <w:pPr>
        <w:spacing w:after="0" w:line="356" w:lineRule="exact"/>
        <w:rPr>
          <w:sz w:val="20"/>
          <w:szCs w:val="20"/>
          <w:color w:val="auto"/>
        </w:rPr>
      </w:pPr>
    </w:p>
    <w:p>
      <w:pPr>
        <w:ind w:left="80"/>
        <w:spacing w:after="0"/>
        <w:tabs>
          <w:tab w:leader="none" w:pos="1840"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4"/>
          <w:szCs w:val="14"/>
          <w:color w:val="auto"/>
        </w:rPr>
        <w:t>31.9</w:t>
      </w:r>
    </w:p>
    <w:p>
      <w:pPr>
        <w:spacing w:after="0" w:line="86" w:lineRule="exact"/>
        <w:rPr>
          <w:sz w:val="20"/>
          <w:szCs w:val="20"/>
          <w:color w:val="auto"/>
        </w:rPr>
      </w:pPr>
    </w:p>
    <w:p>
      <w:pPr>
        <w:ind w:left="80"/>
        <w:spacing w:after="0"/>
        <w:tabs>
          <w:tab w:leader="none" w:pos="1840" w:val="left"/>
        </w:tabs>
        <w:rPr>
          <w:sz w:val="20"/>
          <w:szCs w:val="20"/>
          <w:color w:val="auto"/>
        </w:rPr>
      </w:pPr>
      <w:r>
        <w:rPr>
          <w:rFonts w:ascii="Arial" w:cs="Arial" w:eastAsia="Arial" w:hAnsi="Arial"/>
          <w:sz w:val="16"/>
          <w:szCs w:val="16"/>
          <w:color w:val="auto"/>
        </w:rPr>
        <w:t>29.6</w:t>
      </w:r>
      <w:r>
        <w:rPr>
          <w:sz w:val="20"/>
          <w:szCs w:val="20"/>
          <w:color w:val="auto"/>
        </w:rPr>
        <w:tab/>
      </w:r>
      <w:r>
        <w:rPr>
          <w:rFonts w:ascii="Arial" w:cs="Arial" w:eastAsia="Arial" w:hAnsi="Arial"/>
          <w:sz w:val="14"/>
          <w:szCs w:val="14"/>
          <w:color w:val="auto"/>
        </w:rPr>
        <w:t>29.5</w:t>
      </w:r>
    </w:p>
    <w:p>
      <w:pPr>
        <w:spacing w:after="0" w:line="86" w:lineRule="exact"/>
        <w:rPr>
          <w:sz w:val="20"/>
          <w:szCs w:val="20"/>
          <w:color w:val="auto"/>
        </w:rPr>
      </w:pPr>
    </w:p>
    <w:p>
      <w:pPr>
        <w:ind w:left="80"/>
        <w:spacing w:after="0"/>
        <w:tabs>
          <w:tab w:leader="none" w:pos="184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4"/>
          <w:szCs w:val="14"/>
          <w:color w:val="auto"/>
        </w:rPr>
        <w:t>23.8</w:t>
      </w:r>
    </w:p>
    <w:p>
      <w:pPr>
        <w:spacing w:after="0" w:line="86" w:lineRule="exact"/>
        <w:rPr>
          <w:sz w:val="20"/>
          <w:szCs w:val="20"/>
          <w:color w:val="auto"/>
        </w:rPr>
      </w:pPr>
    </w:p>
    <w:p>
      <w:pPr>
        <w:ind w:left="160"/>
        <w:spacing w:after="0"/>
        <w:tabs>
          <w:tab w:leader="none" w:pos="192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4"/>
          <w:szCs w:val="14"/>
          <w:color w:val="auto"/>
        </w:rPr>
        <w:t>4.9</w:t>
      </w:r>
    </w:p>
    <w:p>
      <w:pPr>
        <w:spacing w:after="0" w:line="86" w:lineRule="exact"/>
        <w:rPr>
          <w:sz w:val="20"/>
          <w:szCs w:val="20"/>
          <w:color w:val="auto"/>
        </w:rPr>
      </w:pPr>
    </w:p>
    <w:p>
      <w:pPr>
        <w:ind w:left="160"/>
        <w:spacing w:after="0"/>
        <w:tabs>
          <w:tab w:leader="none" w:pos="192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4"/>
          <w:szCs w:val="14"/>
          <w:color w:val="auto"/>
        </w:rPr>
        <w:t>6.9</w:t>
      </w:r>
    </w:p>
    <w:p>
      <w:pPr>
        <w:spacing w:after="0" w:line="55" w:lineRule="exact"/>
        <w:rPr>
          <w:sz w:val="20"/>
          <w:szCs w:val="20"/>
          <w:color w:val="auto"/>
        </w:rPr>
      </w:pPr>
    </w:p>
    <w:p>
      <w:pPr>
        <w:sectPr>
          <w:pgSz w:w="11900" w:h="16838" w:orient="portrait"/>
          <w:cols w:equalWidth="0" w:num="2">
            <w:col w:w="8360" w:space="720"/>
            <w:col w:w="23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82"/>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1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r>
      <w:tr>
        <w:trPr>
          <w:trHeight w:val="211"/>
        </w:trPr>
        <w:tc>
          <w:tcPr>
            <w:tcW w:w="798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 costs and expenses</w:t>
            </w:r>
          </w:p>
        </w:tc>
        <w:tc>
          <w:tcPr>
            <w:tcW w:w="16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95.4</w:t>
            </w: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96.5</w:t>
            </w:r>
          </w:p>
        </w:tc>
      </w:tr>
      <w:tr>
        <w:trPr>
          <w:trHeight w:val="40"/>
        </w:trPr>
        <w:tc>
          <w:tcPr>
            <w:tcW w:w="79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r>
      <w:tr>
        <w:trPr>
          <w:trHeight w:val="33"/>
        </w:trPr>
        <w:tc>
          <w:tcPr>
            <w:tcW w:w="79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(benefit) for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 net income attributable to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Bloomin’ Brands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ind w:left="660" w:hanging="652"/>
        <w:spacing w:after="0"/>
        <w:tabs>
          <w:tab w:leader="none" w:pos="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Less than 1/10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of one percent of Total revenues.</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3.4</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0.2</w:t>
      </w:r>
    </w:p>
    <w:p>
      <w:pPr>
        <w:spacing w:after="0" w:line="100" w:lineRule="exact"/>
        <w:rPr>
          <w:sz w:val="20"/>
          <w:szCs w:val="20"/>
          <w:color w:val="auto"/>
        </w:rPr>
      </w:pPr>
    </w:p>
    <w:p>
      <w:pPr>
        <w:jc w:val="right"/>
        <w:ind w:right="800"/>
        <w:spacing w:after="0"/>
        <w:rPr>
          <w:sz w:val="20"/>
          <w:szCs w:val="20"/>
          <w:color w:val="auto"/>
        </w:rPr>
      </w:pPr>
      <w:r>
        <w:rPr>
          <w:rFonts w:ascii="Arial" w:cs="Arial" w:eastAsia="Arial" w:hAnsi="Arial"/>
          <w:sz w:val="16"/>
          <w:szCs w:val="16"/>
          <w:color w:val="auto"/>
        </w:rPr>
        <w:t>3.2</w:t>
      </w:r>
    </w:p>
    <w:p>
      <w:pPr>
        <w:spacing w:after="0" w:line="73" w:lineRule="exact"/>
        <w:rPr>
          <w:sz w:val="20"/>
          <w:szCs w:val="20"/>
          <w:color w:val="auto"/>
        </w:rPr>
      </w:pPr>
    </w:p>
    <w:p>
      <w:pPr>
        <w:jc w:val="right"/>
        <w:ind w:right="800"/>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34925</wp:posOffset>
            </wp:positionV>
            <wp:extent cx="10547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52070</wp:posOffset>
            </wp:positionV>
            <wp:extent cx="10547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2.4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(0.3)</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2.7</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0.1</w:t>
      </w:r>
    </w:p>
    <w:p>
      <w:pPr>
        <w:spacing w:after="0" w:line="10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34925</wp:posOffset>
            </wp:positionV>
            <wp:extent cx="10547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-762000</wp:posOffset>
            </wp:positionH>
            <wp:positionV relativeFrom="paragraph">
              <wp:posOffset>52070</wp:posOffset>
            </wp:positionV>
            <wp:extent cx="10547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902" w:lineRule="exact"/>
        <w:rPr>
          <w:sz w:val="20"/>
          <w:szCs w:val="20"/>
          <w:color w:val="auto"/>
        </w:rPr>
      </w:pPr>
    </w:p>
    <w:p>
      <w:pPr>
        <w:sectPr>
          <w:pgSz w:w="11900" w:h="16838" w:orient="portrait"/>
          <w:cols w:equalWidth="0" w:num="3">
            <w:col w:w="8480" w:space="720"/>
            <w:col w:w="1040" w:space="720"/>
            <w:col w:w="460"/>
          </w:cols>
          <w:pgMar w:left="240" w:top="121" w:right="239" w:bottom="1440" w:gutter="0" w:footer="0" w:header="0"/>
          <w:type w:val="continuous"/>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period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tcPr>
          <w:p>
            <w:pPr>
              <w:jc w:val="right"/>
              <w:ind w:right="681"/>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22"/>
        </w:trPr>
        <w:tc>
          <w:tcPr>
            <w:tcW w:w="8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7"/>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 2018</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4,060.9</w:t>
            </w: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 (1)</w:t>
            </w:r>
          </w:p>
        </w:tc>
        <w:tc>
          <w:tcPr>
            <w:tcW w:w="4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24"/>
        </w:trPr>
        <w:tc>
          <w:tcPr>
            <w:tcW w:w="8920" w:type="dxa"/>
            <w:vAlign w:val="bottom"/>
          </w:tcPr>
          <w:p>
            <w:pPr>
              <w:ind w:left="380"/>
              <w:spacing w:after="0"/>
              <w:rPr>
                <w:sz w:val="20"/>
                <w:szCs w:val="20"/>
                <w:color w:val="auto"/>
              </w:rPr>
            </w:pPr>
            <w:r>
              <w:rPr>
                <w:rFonts w:ascii="Arial" w:cs="Arial" w:eastAsia="Arial" w:hAnsi="Arial"/>
                <w:sz w:val="16"/>
                <w:szCs w:val="16"/>
                <w:color w:val="auto"/>
              </w:rPr>
              <w:t>Restaurant openings (1)</w:t>
            </w:r>
          </w:p>
        </w:tc>
        <w:tc>
          <w:tcPr>
            <w:tcW w:w="440" w:type="dxa"/>
            <w:vAlign w:val="bottom"/>
          </w:tcPr>
          <w:p>
            <w:pPr>
              <w:spacing w:after="0"/>
              <w:rPr>
                <w:sz w:val="19"/>
                <w:szCs w:val="19"/>
                <w:color w:val="auto"/>
              </w:rPr>
            </w:pPr>
          </w:p>
        </w:tc>
        <w:tc>
          <w:tcPr>
            <w:tcW w:w="2060" w:type="dxa"/>
            <w:vAlign w:val="bottom"/>
          </w:tcPr>
          <w:p>
            <w:pPr>
              <w:jc w:val="right"/>
              <w:ind w:right="21"/>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4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24"/>
        </w:trPr>
        <w:tc>
          <w:tcPr>
            <w:tcW w:w="8920" w:type="dxa"/>
            <w:vAlign w:val="bottom"/>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closings</w:t>
            </w:r>
          </w:p>
        </w:tc>
        <w:tc>
          <w:tcPr>
            <w:tcW w:w="440" w:type="dxa"/>
            <w:vAlign w:val="bottom"/>
            <w:tcBorders>
              <w:bottom w:val="single" w:sz="8" w:color="auto"/>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50"/>
        </w:trPr>
        <w:tc>
          <w:tcPr>
            <w:tcW w:w="8920" w:type="dxa"/>
            <w:vAlign w:val="bottom"/>
          </w:tcPr>
          <w:p>
            <w:pPr>
              <w:ind w:left="40"/>
              <w:spacing w:after="0"/>
              <w:rPr>
                <w:sz w:val="20"/>
                <w:szCs w:val="20"/>
                <w:color w:val="auto"/>
              </w:rPr>
            </w:pPr>
            <w:r>
              <w:rPr>
                <w:rFonts w:ascii="Arial" w:cs="Arial" w:eastAsia="Arial" w:hAnsi="Arial"/>
                <w:sz w:val="16"/>
                <w:szCs w:val="16"/>
                <w:color w:val="auto"/>
              </w:rPr>
              <w:t>For fiscal year 2019</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4,075.0</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9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Restaurant sales in 2019 as compared to 2018 was primarily due to higher comparable restaurant sales and sales from 40 new restaurants not included in our comparable restaurant sales base. The increase in Restaurant sales was partially offset by: (i) the effect of foreign currency translation of the Brazilian Real relative to the U.S. dollar, (ii) domestic refranchising and (iii) the closing of 40 restaurants since December 31, 2017.</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restaurant unit volumes: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8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24"/>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U.S.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8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Outback Steakhouse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3,580</w:t>
            </w:r>
          </w:p>
        </w:tc>
      </w:tr>
      <w:tr>
        <w:trPr>
          <w:trHeight w:val="237"/>
        </w:trPr>
        <w:tc>
          <w:tcPr>
            <w:tcW w:w="2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Arial" w:cs="Arial" w:eastAsia="Arial" w:hAnsi="Arial"/>
                <w:sz w:val="16"/>
                <w:szCs w:val="16"/>
                <w:color w:val="auto"/>
              </w:rPr>
              <w:t>Carrabba’s Italian Grill</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2,934</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2,887</w:t>
            </w: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Bonefish Grill</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3,012</w:t>
            </w:r>
          </w:p>
        </w:tc>
      </w:tr>
      <w:tr>
        <w:trPr>
          <w:trHeight w:val="237"/>
        </w:trPr>
        <w:tc>
          <w:tcPr>
            <w:tcW w:w="2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Arial" w:cs="Arial" w:eastAsia="Arial" w:hAnsi="Arial"/>
                <w:sz w:val="16"/>
                <w:szCs w:val="16"/>
                <w:color w:val="auto"/>
              </w:rPr>
              <w:t>Fleming’s Prime Steakhouse &amp; Wine Bar</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4,422</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4,358</w:t>
            </w: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Arial" w:cs="Arial" w:eastAsia="Arial" w:hAnsi="Arial"/>
                <w:sz w:val="16"/>
                <w:szCs w:val="16"/>
                <w:color w:val="auto"/>
              </w:rPr>
              <w:t>Outback Steakhouse - Brazil (1)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3,684</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3,856</w:t>
            </w: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100" w:type="dxa"/>
            <w:vAlign w:val="bottom"/>
          </w:tcPr>
          <w:p>
            <w:pPr>
              <w:ind w:left="20"/>
              <w:spacing w:after="0"/>
              <w:rPr>
                <w:sz w:val="20"/>
                <w:szCs w:val="20"/>
                <w:color w:val="auto"/>
              </w:rPr>
            </w:pPr>
            <w:r>
              <w:rPr>
                <w:rFonts w:ascii="Arial" w:cs="Arial" w:eastAsia="Arial" w:hAnsi="Arial"/>
                <w:sz w:val="16"/>
                <w:szCs w:val="16"/>
                <w:color w:val="auto"/>
              </w:rPr>
              <w:t>Operating weeks: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8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Arial" w:cs="Arial" w:eastAsia="Arial" w:hAnsi="Arial"/>
                <w:sz w:val="16"/>
                <w:szCs w:val="16"/>
                <w:color w:val="auto"/>
              </w:rPr>
              <w:t>Outback Steakhouse</w:t>
            </w:r>
          </w:p>
        </w:tc>
        <w:tc>
          <w:tcPr>
            <w:tcW w:w="38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30,119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30,265</w:t>
            </w: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Carrabba’s Italian Grill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11,660</w:t>
            </w:r>
          </w:p>
        </w:tc>
      </w:tr>
      <w:tr>
        <w:trPr>
          <w:trHeight w:val="237"/>
        </w:trPr>
        <w:tc>
          <w:tcPr>
            <w:tcW w:w="2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Arial" w:cs="Arial" w:eastAsia="Arial" w:hAnsi="Arial"/>
                <w:sz w:val="16"/>
                <w:szCs w:val="16"/>
                <w:color w:val="auto"/>
              </w:rPr>
              <w:t>Bonefish Grill</w:t>
            </w:r>
          </w:p>
        </w:tc>
        <w:tc>
          <w:tcPr>
            <w:tcW w:w="38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9,865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9,981</w:t>
            </w: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Fleming’s Prime Steakhouse &amp; Wine Bar</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3,628</w:t>
            </w:r>
          </w:p>
        </w:tc>
      </w:tr>
      <w:tr>
        <w:trPr>
          <w:trHeight w:val="224"/>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6"/>
                <w:szCs w:val="16"/>
                <w:color w:val="auto"/>
              </w:rPr>
              <w:t>International</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8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Outback Steakhouse - Brazil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4,711</w:t>
            </w:r>
          </w:p>
        </w:tc>
      </w:tr>
      <w:tr>
        <w:trPr>
          <w:trHeight w:val="193"/>
        </w:trPr>
        <w:tc>
          <w:tcPr>
            <w:tcW w:w="20" w:type="dxa"/>
            <w:vAlign w:val="bottom"/>
          </w:tcPr>
          <w:p>
            <w:pPr>
              <w:spacing w:after="0"/>
              <w:rPr>
                <w:sz w:val="16"/>
                <w:szCs w:val="16"/>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Translated at average exchange rates of 3.93 and 3.59 for 2019 and 2018, respectively.</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Increases (Decreases)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comparable restaurant sales, traffic and average check per person increases (decreases), for the periods indicated: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 over year percentage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Comparable restaurant sales (stores open 18 months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 (2)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Outback Steakhouse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Carrabba’s Italian Grill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Bonefish Grill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Fleming’s Prime Steakhouse &amp; Wine Bar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Combined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23495</wp:posOffset>
            </wp:positionV>
            <wp:extent cx="21951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95195" cy="17145"/>
                    </a:xfrm>
                    <a:prstGeom prst="rect">
                      <a:avLst/>
                    </a:prstGeom>
                    <a:noFill/>
                  </pic:spPr>
                </pic:pic>
              </a:graphicData>
            </a:graphic>
          </wp:anchor>
        </w:drawing>
      </w:r>
    </w:p>
    <w:p>
      <w:pPr>
        <w:spacing w:after="0" w:line="10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40"/>
        <w:spacing w:after="0"/>
        <w:tabs>
          <w:tab w:leader="none" w:pos="360" w:val="left"/>
        </w:tabs>
        <w:rPr>
          <w:sz w:val="20"/>
          <w:szCs w:val="20"/>
          <w:color w:val="auto"/>
        </w:rPr>
      </w:pPr>
      <w:r>
        <w:rPr>
          <w:rFonts w:ascii="Arial" w:cs="Arial" w:eastAsia="Arial" w:hAnsi="Arial"/>
          <w:sz w:val="16"/>
          <w:szCs w:val="16"/>
          <w:color w:val="auto"/>
        </w:rPr>
        <w:t>2.0 %</w:t>
      </w:r>
      <w:r>
        <w:rPr>
          <w:sz w:val="20"/>
          <w:szCs w:val="20"/>
          <w:color w:val="auto"/>
        </w:rPr>
        <w:tab/>
      </w:r>
      <w:r>
        <w:rPr>
          <w:rFonts w:ascii="Arial" w:cs="Arial" w:eastAsia="Arial" w:hAnsi="Arial"/>
          <w:sz w:val="14"/>
          <w:szCs w:val="14"/>
          <w:color w:val="auto"/>
        </w:rPr>
        <w:t>4.0 %</w:t>
      </w:r>
    </w:p>
    <w:p>
      <w:pPr>
        <w:spacing w:after="0" w:line="86" w:lineRule="exact"/>
        <w:rPr>
          <w:sz w:val="20"/>
          <w:szCs w:val="20"/>
          <w:color w:val="auto"/>
        </w:rPr>
      </w:pPr>
    </w:p>
    <w:p>
      <w:pPr>
        <w:jc w:val="right"/>
        <w:ind w:right="40"/>
        <w:spacing w:after="0"/>
        <w:tabs>
          <w:tab w:leader="none" w:pos="360" w:val="left"/>
        </w:tabs>
        <w:rPr>
          <w:sz w:val="20"/>
          <w:szCs w:val="20"/>
          <w:color w:val="auto"/>
        </w:rPr>
      </w:pPr>
      <w:r>
        <w:rPr>
          <w:rFonts w:ascii="Arial" w:cs="Arial" w:eastAsia="Arial" w:hAnsi="Arial"/>
          <w:sz w:val="16"/>
          <w:szCs w:val="16"/>
          <w:color w:val="auto"/>
        </w:rPr>
        <w:t>0.1 %</w:t>
      </w:r>
      <w:r>
        <w:rPr>
          <w:sz w:val="20"/>
          <w:szCs w:val="20"/>
          <w:color w:val="auto"/>
        </w:rPr>
        <w:tab/>
      </w:r>
      <w:r>
        <w:rPr>
          <w:rFonts w:ascii="Arial" w:cs="Arial" w:eastAsia="Arial" w:hAnsi="Arial"/>
          <w:sz w:val="14"/>
          <w:szCs w:val="14"/>
          <w:color w:val="auto"/>
        </w:rPr>
        <w:t>0.2 %</w:t>
      </w:r>
    </w:p>
    <w:p>
      <w:pPr>
        <w:spacing w:after="0" w:line="86" w:lineRule="exact"/>
        <w:rPr>
          <w:sz w:val="20"/>
          <w:szCs w:val="20"/>
          <w:color w:val="auto"/>
        </w:rPr>
      </w:pPr>
    </w:p>
    <w:p>
      <w:pPr>
        <w:jc w:val="right"/>
        <w:ind w:right="40"/>
        <w:spacing w:after="0"/>
        <w:tabs>
          <w:tab w:leader="none" w:pos="360" w:val="left"/>
        </w:tabs>
        <w:rPr>
          <w:sz w:val="20"/>
          <w:szCs w:val="20"/>
          <w:color w:val="auto"/>
        </w:rPr>
      </w:pPr>
      <w:r>
        <w:rPr>
          <w:rFonts w:ascii="Arial" w:cs="Arial" w:eastAsia="Arial" w:hAnsi="Arial"/>
          <w:sz w:val="16"/>
          <w:szCs w:val="16"/>
          <w:color w:val="auto"/>
        </w:rPr>
        <w:t>0.1 %</w:t>
      </w:r>
      <w:r>
        <w:rPr>
          <w:sz w:val="20"/>
          <w:szCs w:val="20"/>
          <w:color w:val="auto"/>
        </w:rPr>
        <w:tab/>
      </w:r>
      <w:r>
        <w:rPr>
          <w:rFonts w:ascii="Arial" w:cs="Arial" w:eastAsia="Arial" w:hAnsi="Arial"/>
          <w:sz w:val="14"/>
          <w:szCs w:val="14"/>
          <w:color w:val="auto"/>
        </w:rPr>
        <w:t>0.5 %</w:t>
      </w:r>
    </w:p>
    <w:p>
      <w:pPr>
        <w:spacing w:after="0" w:line="86" w:lineRule="exact"/>
        <w:rPr>
          <w:sz w:val="20"/>
          <w:szCs w:val="20"/>
          <w:color w:val="auto"/>
        </w:rPr>
      </w:pPr>
    </w:p>
    <w:p>
      <w:pPr>
        <w:jc w:val="right"/>
        <w:ind w:right="40"/>
        <w:spacing w:after="0"/>
        <w:tabs>
          <w:tab w:leader="none" w:pos="360" w:val="left"/>
        </w:tabs>
        <w:rPr>
          <w:sz w:val="20"/>
          <w:szCs w:val="20"/>
          <w:color w:val="auto"/>
        </w:rPr>
      </w:pPr>
      <w:r>
        <w:rPr>
          <w:rFonts w:ascii="Arial" w:cs="Arial" w:eastAsia="Arial" w:hAnsi="Arial"/>
          <w:sz w:val="16"/>
          <w:szCs w:val="16"/>
          <w:color w:val="auto"/>
        </w:rPr>
        <w:t>0.7 %</w:t>
      </w:r>
      <w:r>
        <w:rPr>
          <w:sz w:val="20"/>
          <w:szCs w:val="20"/>
          <w:color w:val="auto"/>
        </w:rPr>
        <w:tab/>
      </w:r>
      <w:r>
        <w:rPr>
          <w:rFonts w:ascii="Arial" w:cs="Arial" w:eastAsia="Arial" w:hAnsi="Arial"/>
          <w:sz w:val="14"/>
          <w:szCs w:val="14"/>
          <w:color w:val="auto"/>
        </w:rPr>
        <w:t>0.8 %</w:t>
      </w:r>
    </w:p>
    <w:p>
      <w:pPr>
        <w:spacing w:after="0" w:line="86" w:lineRule="exact"/>
        <w:rPr>
          <w:sz w:val="20"/>
          <w:szCs w:val="20"/>
          <w:color w:val="auto"/>
        </w:rPr>
      </w:pPr>
    </w:p>
    <w:p>
      <w:pPr>
        <w:jc w:val="right"/>
        <w:ind w:right="40"/>
        <w:spacing w:after="0"/>
        <w:tabs>
          <w:tab w:leader="none" w:pos="360" w:val="left"/>
        </w:tabs>
        <w:rPr>
          <w:sz w:val="20"/>
          <w:szCs w:val="20"/>
          <w:color w:val="auto"/>
        </w:rPr>
      </w:pPr>
      <w:r>
        <w:rPr>
          <w:rFonts w:ascii="Arial" w:cs="Arial" w:eastAsia="Arial" w:hAnsi="Arial"/>
          <w:sz w:val="16"/>
          <w:szCs w:val="16"/>
          <w:color w:val="auto"/>
        </w:rPr>
        <w:t>1.2 %</w:t>
      </w:r>
      <w:r>
        <w:rPr>
          <w:sz w:val="20"/>
          <w:szCs w:val="20"/>
          <w:color w:val="auto"/>
        </w:rPr>
        <w:tab/>
      </w:r>
      <w:r>
        <w:rPr>
          <w:rFonts w:ascii="Arial" w:cs="Arial" w:eastAsia="Arial" w:hAnsi="Arial"/>
          <w:sz w:val="14"/>
          <w:szCs w:val="14"/>
          <w:color w:val="auto"/>
        </w:rPr>
        <w:t>2.5 %</w:t>
      </w:r>
    </w:p>
    <w:p>
      <w:pPr>
        <w:spacing w:after="0" w:line="342" w:lineRule="exact"/>
        <w:rPr>
          <w:sz w:val="20"/>
          <w:szCs w:val="20"/>
          <w:color w:val="auto"/>
        </w:rPr>
      </w:pPr>
    </w:p>
    <w:p>
      <w:pPr>
        <w:sectPr>
          <w:pgSz w:w="11900" w:h="16838" w:orient="portrait"/>
          <w:cols w:equalWidth="0" w:num="2">
            <w:col w:w="7940" w:space="720"/>
            <w:col w:w="276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6120" w:type="dxa"/>
            <w:vAlign w:val="bottom"/>
          </w:tcPr>
          <w:p>
            <w:pPr>
              <w:ind w:left="380"/>
              <w:spacing w:after="0"/>
              <w:rPr>
                <w:sz w:val="20"/>
                <w:szCs w:val="20"/>
                <w:color w:val="auto"/>
              </w:rPr>
            </w:pPr>
            <w:r>
              <w:rPr>
                <w:rFonts w:ascii="Arial" w:cs="Arial" w:eastAsia="Arial" w:hAnsi="Arial"/>
                <w:sz w:val="16"/>
                <w:szCs w:val="16"/>
                <w:color w:val="auto"/>
              </w:rPr>
              <w:t>Outback Steakhouse - Brazil (3)</w:t>
            </w:r>
          </w:p>
        </w:tc>
        <w:tc>
          <w:tcPr>
            <w:tcW w:w="4160" w:type="dxa"/>
            <w:vAlign w:val="bottom"/>
          </w:tcPr>
          <w:p>
            <w:pPr>
              <w:jc w:val="right"/>
              <w:ind w:right="599"/>
              <w:spacing w:after="0"/>
              <w:rPr>
                <w:sz w:val="20"/>
                <w:szCs w:val="20"/>
                <w:color w:val="auto"/>
              </w:rPr>
            </w:pPr>
            <w:r>
              <w:rPr>
                <w:rFonts w:ascii="Arial" w:cs="Arial" w:eastAsia="Arial" w:hAnsi="Arial"/>
                <w:sz w:val="16"/>
                <w:szCs w:val="16"/>
                <w:color w:val="auto"/>
              </w:rPr>
              <w:t>5.8 %</w:t>
            </w: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6120" w:type="dxa"/>
            <w:vAlign w:val="bottom"/>
            <w:shd w:val="clear" w:color="auto" w:fill="CCEEFF"/>
          </w:tcPr>
          <w:p>
            <w:pPr>
              <w:spacing w:after="0"/>
              <w:rPr>
                <w:sz w:val="24"/>
                <w:szCs w:val="24"/>
                <w:color w:val="auto"/>
              </w:rPr>
            </w:pPr>
          </w:p>
        </w:tc>
        <w:tc>
          <w:tcPr>
            <w:tcW w:w="4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4"/>
        </w:trPr>
        <w:tc>
          <w:tcPr>
            <w:tcW w:w="6120" w:type="dxa"/>
            <w:vAlign w:val="bottom"/>
          </w:tcPr>
          <w:p>
            <w:pPr>
              <w:ind w:left="180"/>
              <w:spacing w:after="0"/>
              <w:rPr>
                <w:sz w:val="20"/>
                <w:szCs w:val="20"/>
                <w:color w:val="auto"/>
              </w:rPr>
            </w:pPr>
            <w:r>
              <w:rPr>
                <w:rFonts w:ascii="Arial" w:cs="Arial" w:eastAsia="Arial" w:hAnsi="Arial"/>
                <w:sz w:val="16"/>
                <w:szCs w:val="16"/>
                <w:color w:val="auto"/>
              </w:rPr>
              <w:t>Traffic:</w:t>
            </w:r>
          </w:p>
        </w:tc>
        <w:tc>
          <w:tcPr>
            <w:tcW w:w="4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612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4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4160" w:type="dxa"/>
            <w:vAlign w:val="bottom"/>
          </w:tcPr>
          <w:p>
            <w:pPr>
              <w:jc w:val="right"/>
              <w:ind w:right="579"/>
              <w:spacing w:after="0"/>
              <w:rPr>
                <w:sz w:val="20"/>
                <w:szCs w:val="20"/>
                <w:color w:val="auto"/>
              </w:rPr>
            </w:pPr>
            <w:r>
              <w:rPr>
                <w:rFonts w:ascii="Arial" w:cs="Arial" w:eastAsia="Arial" w:hAnsi="Arial"/>
                <w:sz w:val="16"/>
                <w:szCs w:val="16"/>
                <w:color w:val="auto"/>
              </w:rPr>
              <w:t>(0.7)%</w:t>
            </w:r>
          </w:p>
        </w:tc>
        <w:tc>
          <w:tcPr>
            <w:tcW w:w="114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33"/>
        </w:trPr>
        <w:tc>
          <w:tcPr>
            <w:tcW w:w="6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41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0.2 %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61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4160" w:type="dxa"/>
            <w:vAlign w:val="bottom"/>
          </w:tcPr>
          <w:p>
            <w:pPr>
              <w:jc w:val="right"/>
              <w:ind w:right="579"/>
              <w:spacing w:after="0"/>
              <w:rPr>
                <w:sz w:val="20"/>
                <w:szCs w:val="20"/>
                <w:color w:val="auto"/>
              </w:rPr>
            </w:pPr>
            <w:r>
              <w:rPr>
                <w:rFonts w:ascii="Arial" w:cs="Arial" w:eastAsia="Arial" w:hAnsi="Arial"/>
                <w:sz w:val="16"/>
                <w:szCs w:val="16"/>
                <w:color w:val="auto"/>
              </w:rPr>
              <w:t>(1.7)%</w:t>
            </w: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6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41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0.1 %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61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4160" w:type="dxa"/>
            <w:vAlign w:val="bottom"/>
          </w:tcPr>
          <w:p>
            <w:pPr>
              <w:jc w:val="right"/>
              <w:ind w:right="579"/>
              <w:spacing w:after="0"/>
              <w:rPr>
                <w:sz w:val="20"/>
                <w:szCs w:val="20"/>
                <w:color w:val="auto"/>
              </w:rPr>
            </w:pPr>
            <w:r>
              <w:rPr>
                <w:rFonts w:ascii="Arial" w:cs="Arial" w:eastAsia="Arial" w:hAnsi="Arial"/>
                <w:sz w:val="16"/>
                <w:szCs w:val="16"/>
                <w:color w:val="auto"/>
              </w:rPr>
              <w:t>(0.6)%</w:t>
            </w:r>
          </w:p>
        </w:tc>
        <w:tc>
          <w:tcPr>
            <w:tcW w:w="11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6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4"/>
        </w:trPr>
        <w:tc>
          <w:tcPr>
            <w:tcW w:w="6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47"/>
        </w:trPr>
        <w:tc>
          <w:tcPr>
            <w:tcW w:w="612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Outback Steakhouse - 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Average check per person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Outback Steakhouse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Carrabba’s Italian Grill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Bonefish Grill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Fleming’s Prime Steakhouse &amp; Wine Bar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Combined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br w:type="column"/>
      </w:r>
    </w:p>
    <w:p>
      <w:pPr>
        <w:ind w:left="60"/>
        <w:spacing w:after="0"/>
        <w:tabs>
          <w:tab w:leader="none" w:pos="1760" w:val="left"/>
        </w:tabs>
        <w:rPr>
          <w:sz w:val="20"/>
          <w:szCs w:val="20"/>
          <w:color w:val="auto"/>
        </w:rPr>
      </w:pPr>
      <w:r>
        <w:rPr>
          <w:rFonts w:ascii="Arial" w:cs="Arial" w:eastAsia="Arial" w:hAnsi="Arial"/>
          <w:sz w:val="16"/>
          <w:szCs w:val="16"/>
          <w:color w:val="auto"/>
        </w:rPr>
        <w:t>3.9 %</w:t>
      </w:r>
      <w:r>
        <w:rPr>
          <w:sz w:val="20"/>
          <w:szCs w:val="20"/>
          <w:color w:val="auto"/>
        </w:rPr>
        <w:tab/>
      </w:r>
      <w:r>
        <w:rPr>
          <w:rFonts w:ascii="Arial" w:cs="Arial" w:eastAsia="Arial" w:hAnsi="Arial"/>
          <w:sz w:val="15"/>
          <w:szCs w:val="15"/>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tabs>
          <w:tab w:leader="none" w:pos="1820" w:val="left"/>
        </w:tabs>
        <w:rPr>
          <w:sz w:val="20"/>
          <w:szCs w:val="20"/>
          <w:color w:val="auto"/>
        </w:rPr>
      </w:pPr>
      <w:r>
        <w:rPr>
          <w:rFonts w:ascii="Arial" w:cs="Arial" w:eastAsia="Arial" w:hAnsi="Arial"/>
          <w:sz w:val="16"/>
          <w:szCs w:val="16"/>
          <w:color w:val="auto"/>
        </w:rPr>
        <w:t>2.7 %</w:t>
      </w:r>
      <w:r>
        <w:rPr>
          <w:sz w:val="20"/>
          <w:szCs w:val="20"/>
          <w:color w:val="auto"/>
        </w:rPr>
        <w:tab/>
      </w:r>
      <w:r>
        <w:rPr>
          <w:rFonts w:ascii="Arial" w:cs="Arial" w:eastAsia="Arial" w:hAnsi="Arial"/>
          <w:sz w:val="14"/>
          <w:szCs w:val="14"/>
          <w:color w:val="auto"/>
        </w:rPr>
        <w:t>3.1 %</w:t>
      </w:r>
    </w:p>
    <w:p>
      <w:pPr>
        <w:spacing w:after="0" w:line="86"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(0.1)%</w:t>
      </w:r>
      <w:r>
        <w:rPr>
          <w:sz w:val="20"/>
          <w:szCs w:val="20"/>
          <w:color w:val="auto"/>
        </w:rPr>
        <w:tab/>
      </w:r>
      <w:r>
        <w:rPr>
          <w:rFonts w:ascii="Arial" w:cs="Arial" w:eastAsia="Arial" w:hAnsi="Arial"/>
          <w:sz w:val="14"/>
          <w:szCs w:val="14"/>
          <w:color w:val="auto"/>
        </w:rPr>
        <w:t>4.3 %</w:t>
      </w:r>
    </w:p>
    <w:p>
      <w:pPr>
        <w:spacing w:after="0" w:line="86" w:lineRule="exact"/>
        <w:rPr>
          <w:sz w:val="20"/>
          <w:szCs w:val="20"/>
          <w:color w:val="auto"/>
        </w:rPr>
      </w:pPr>
    </w:p>
    <w:p>
      <w:pPr>
        <w:ind w:left="60"/>
        <w:spacing w:after="0"/>
        <w:tabs>
          <w:tab w:leader="none" w:pos="1820" w:val="left"/>
        </w:tabs>
        <w:rPr>
          <w:sz w:val="20"/>
          <w:szCs w:val="20"/>
          <w:color w:val="auto"/>
        </w:rPr>
      </w:pPr>
      <w:r>
        <w:rPr>
          <w:rFonts w:ascii="Arial" w:cs="Arial" w:eastAsia="Arial" w:hAnsi="Arial"/>
          <w:sz w:val="16"/>
          <w:szCs w:val="16"/>
          <w:color w:val="auto"/>
        </w:rPr>
        <w:t>1.8 %</w:t>
      </w:r>
      <w:r>
        <w:rPr>
          <w:sz w:val="20"/>
          <w:szCs w:val="20"/>
          <w:color w:val="auto"/>
        </w:rPr>
        <w:tab/>
      </w:r>
      <w:r>
        <w:rPr>
          <w:rFonts w:ascii="Arial" w:cs="Arial" w:eastAsia="Arial" w:hAnsi="Arial"/>
          <w:sz w:val="14"/>
          <w:szCs w:val="14"/>
          <w:color w:val="auto"/>
        </w:rPr>
        <w:t>3.1 %</w:t>
      </w:r>
    </w:p>
    <w:p>
      <w:pPr>
        <w:spacing w:after="0" w:line="86" w:lineRule="exact"/>
        <w:rPr>
          <w:sz w:val="20"/>
          <w:szCs w:val="20"/>
          <w:color w:val="auto"/>
        </w:rPr>
      </w:pPr>
    </w:p>
    <w:p>
      <w:pPr>
        <w:ind w:left="60"/>
        <w:spacing w:after="0"/>
        <w:tabs>
          <w:tab w:leader="none" w:pos="1820" w:val="left"/>
        </w:tabs>
        <w:rPr>
          <w:sz w:val="20"/>
          <w:szCs w:val="20"/>
          <w:color w:val="auto"/>
        </w:rPr>
      </w:pPr>
      <w:r>
        <w:rPr>
          <w:rFonts w:ascii="Arial" w:cs="Arial" w:eastAsia="Arial" w:hAnsi="Arial"/>
          <w:sz w:val="16"/>
          <w:szCs w:val="16"/>
          <w:color w:val="auto"/>
        </w:rPr>
        <w:t>0.6 %</w:t>
      </w:r>
      <w:r>
        <w:rPr>
          <w:sz w:val="20"/>
          <w:szCs w:val="20"/>
          <w:color w:val="auto"/>
        </w:rPr>
        <w:tab/>
      </w:r>
      <w:r>
        <w:rPr>
          <w:rFonts w:ascii="Arial" w:cs="Arial" w:eastAsia="Arial" w:hAnsi="Arial"/>
          <w:sz w:val="14"/>
          <w:szCs w:val="14"/>
          <w:color w:val="auto"/>
        </w:rPr>
        <w:t>5.1 %</w:t>
      </w:r>
    </w:p>
    <w:p>
      <w:pPr>
        <w:spacing w:after="0" w:line="86" w:lineRule="exact"/>
        <w:rPr>
          <w:sz w:val="20"/>
          <w:szCs w:val="20"/>
          <w:color w:val="auto"/>
        </w:rPr>
      </w:pPr>
    </w:p>
    <w:p>
      <w:pPr>
        <w:ind w:left="60"/>
        <w:spacing w:after="0"/>
        <w:tabs>
          <w:tab w:leader="none" w:pos="1820" w:val="left"/>
        </w:tabs>
        <w:rPr>
          <w:sz w:val="20"/>
          <w:szCs w:val="20"/>
          <w:color w:val="auto"/>
        </w:rPr>
      </w:pPr>
      <w:r>
        <w:rPr>
          <w:rFonts w:ascii="Arial" w:cs="Arial" w:eastAsia="Arial" w:hAnsi="Arial"/>
          <w:sz w:val="16"/>
          <w:szCs w:val="16"/>
          <w:color w:val="auto"/>
        </w:rPr>
        <w:t>1.8 %</w:t>
      </w:r>
      <w:r>
        <w:rPr>
          <w:sz w:val="20"/>
          <w:szCs w:val="20"/>
          <w:color w:val="auto"/>
        </w:rPr>
        <w:tab/>
      </w:r>
      <w:r>
        <w:rPr>
          <w:rFonts w:ascii="Arial" w:cs="Arial" w:eastAsia="Arial" w:hAnsi="Arial"/>
          <w:sz w:val="14"/>
          <w:szCs w:val="14"/>
          <w:color w:val="auto"/>
        </w:rPr>
        <w:t>3.3 %</w:t>
      </w:r>
    </w:p>
    <w:p>
      <w:pPr>
        <w:spacing w:after="0" w:line="342" w:lineRule="exact"/>
        <w:rPr>
          <w:sz w:val="20"/>
          <w:szCs w:val="20"/>
          <w:color w:val="auto"/>
        </w:rPr>
      </w:pPr>
    </w:p>
    <w:p>
      <w:pPr>
        <w:sectPr>
          <w:pgSz w:w="11900" w:h="16838" w:orient="portrait"/>
          <w:cols w:equalWidth="0" w:num="2">
            <w:col w:w="8440" w:space="720"/>
            <w:col w:w="2260"/>
          </w:cols>
          <w:pgMar w:left="240" w:top="122" w:right="239" w:bottom="1440" w:gutter="0" w:footer="0" w:header="0"/>
          <w:type w:val="continuous"/>
        </w:sectPr>
      </w:pPr>
    </w:p>
    <w:tbl>
      <w:tblPr>
        <w:tblLayout w:type="fixed"/>
        <w:tblInd w:w="380" w:type="dxa"/>
        <w:tblCellMar>
          <w:top w:w="0" w:type="dxa"/>
          <w:left w:w="0" w:type="dxa"/>
          <w:bottom w:w="0" w:type="dxa"/>
          <w:right w:w="0" w:type="dxa"/>
        </w:tblCellMar>
      </w:tblPr>
      <w:tr>
        <w:trPr>
          <w:trHeight w:val="220"/>
        </w:trPr>
        <w:tc>
          <w:tcPr>
            <w:tcW w:w="5360" w:type="dxa"/>
            <w:vAlign w:val="bottom"/>
          </w:tcPr>
          <w:p>
            <w:pPr>
              <w:spacing w:after="0"/>
              <w:rPr>
                <w:sz w:val="20"/>
                <w:szCs w:val="20"/>
                <w:color w:val="auto"/>
              </w:rPr>
            </w:pPr>
            <w:r>
              <w:rPr>
                <w:rFonts w:ascii="Arial" w:cs="Arial" w:eastAsia="Arial" w:hAnsi="Arial"/>
                <w:sz w:val="16"/>
                <w:szCs w:val="16"/>
                <w:color w:val="auto"/>
              </w:rPr>
              <w:t>Outback Steakhouse - Brazil</w:t>
            </w:r>
          </w:p>
        </w:tc>
        <w:tc>
          <w:tcPr>
            <w:tcW w:w="4560" w:type="dxa"/>
            <w:vAlign w:val="bottom"/>
          </w:tcPr>
          <w:p>
            <w:pPr>
              <w:jc w:val="right"/>
              <w:ind w:right="619"/>
              <w:spacing w:after="0"/>
              <w:rPr>
                <w:sz w:val="20"/>
                <w:szCs w:val="20"/>
                <w:color w:val="auto"/>
              </w:rPr>
            </w:pPr>
            <w:r>
              <w:rPr>
                <w:rFonts w:ascii="Arial" w:cs="Arial" w:eastAsia="Arial" w:hAnsi="Arial"/>
                <w:sz w:val="16"/>
                <w:szCs w:val="16"/>
                <w:color w:val="auto"/>
              </w:rPr>
              <w:t>1.8 %</w:t>
            </w:r>
          </w:p>
        </w:tc>
        <w:tc>
          <w:tcPr>
            <w:tcW w:w="1080" w:type="dxa"/>
            <w:vAlign w:val="bottom"/>
          </w:tcPr>
          <w:p>
            <w:pPr>
              <w:jc w:val="right"/>
              <w:spacing w:after="0"/>
              <w:rPr>
                <w:sz w:val="20"/>
                <w:szCs w:val="20"/>
                <w:color w:val="auto"/>
              </w:rPr>
            </w:pPr>
            <w:r>
              <w:rPr>
                <w:rFonts w:ascii="Arial" w:cs="Arial" w:eastAsia="Arial" w:hAnsi="Arial"/>
                <w:sz w:val="16"/>
                <w:szCs w:val="16"/>
                <w:color w:val="auto"/>
              </w:rPr>
              <w:t>2.8 %</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4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2018, U.S. comparable restaurant sales and traffic compare the 52 weeks from January 1, 2018 through December 30, 2018 to the 52 weeks from January 2, 2017 through December 31, 2017.</w:t>
      </w: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Relocated restaurants closed more than 60 days are excluded from comparable restaurant sales until at least 18 months after reopening.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Excludes the effect of fluctuations in foreign currency rates. 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Average check per person increases (decreases) include the impact of menu pricing changes, product mix and discounts.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revenues (1)</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revenues</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and other revenues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franchise royalties, advertising fees and initial franchise fees.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1,277.8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1,295.6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40" w:type="dxa"/>
            <w:vAlign w:val="bottom"/>
          </w:tcPr>
          <w:p>
            <w:pPr>
              <w:ind w:left="280"/>
              <w:spacing w:after="0"/>
              <w:rPr>
                <w:sz w:val="20"/>
                <w:szCs w:val="20"/>
                <w:color w:val="auto"/>
              </w:rPr>
            </w:pPr>
            <w:r>
              <w:rPr>
                <w:rFonts w:ascii="Arial" w:cs="Arial" w:eastAsia="Arial" w:hAnsi="Arial"/>
                <w:sz w:val="16"/>
                <w:szCs w:val="16"/>
                <w:color w:val="auto"/>
              </w:rPr>
              <w:t>% of Restaurant sales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(0.5)%</w:t>
            </w:r>
          </w:p>
        </w:tc>
      </w:tr>
    </w:tbl>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Cost of sales, consisting of food and beverage costs, decreased as a percentage of Restaurant sales in 2019 as compared to 2018 primarily due to 0.6% from increases in average check per person and 0.4% from the impact of certain cost saving initiatives, partially offset by an increase as a percentage of Restaurant sales of 0.6% from commodity cost inflation.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 2020, we expect commodity costs to increase approximately 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Labor and other related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1,207.3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1,197.3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Labor and other related expenses include all direct and indirect labor costs incurred in operations, including distribution expense to Restaurant Managing Partners, costs related to field deferred compensation plans and other field incentive compensation expenses. Labor and other related expenses increased as a percentage of Restaurant sales in 2019 as compared to 2018 primarily due to 0.6% from wage rate increases, offset by decreases as a percentage of Restaurant sales of 0.4% from increases in average check per person and 0.2% from the impact of certain cost savings initiatives.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In 2020, we anticipate approximately 3.5% labor cost inflation.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982.1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967.1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Other restaurant operating expenses include certain unit-level operating costs such as operating supplies, rent, repairs and maintenance, advertising expenses, utilities, pre-opening costs and other occupancy costs. A substantial portion of these expenses is fixed or indirectly variable. Other restaurant operating expenses increased as a percentage of</w:t>
      </w:r>
    </w:p>
    <w:p>
      <w:pPr>
        <w:sectPr>
          <w:pgSz w:w="11900" w:h="16838" w:orient="portrait"/>
          <w:cols w:equalWidth="0" w:num="1">
            <w:col w:w="11420"/>
          </w:cols>
          <w:pgMar w:left="240" w:top="122"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Restaurant sales in 2019 as compared to 2018 primarily due to: (i) 0.5% from additional expense related to the rollout of delivery services, (ii) 0.4% from operating expense inflation and (iii) 0.3% from the impact of deferred gains on sale-leaseback transactions no longer recognized in 2019 as a result of adoption of the new lease accounting standard. These increases were partially offset by decreases as a percentage of Restaurant sales of 0.5% from the impact of certain cost savings initiatives and 0.3% from increases in average check per person.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196.8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7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Depreciation and amortization decreased in 2019 as compared to 2018 primarily due to: (i) disposal of assets related to the sale-leaseback of certain properties, (ii) store closures and domestic refranchising and (iii) the effect of foreign currency translation. These decreases were partially offset by additional depreciation expense related to restaurant openings, relocations and remodels.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changes in General and administrative expense for the period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tcPr>
          <w:p>
            <w:pPr>
              <w:jc w:val="right"/>
              <w:ind w:right="681"/>
              <w:spacing w:after="0"/>
              <w:rPr>
                <w:sz w:val="20"/>
                <w:szCs w:val="20"/>
                <w:color w:val="auto"/>
              </w:rPr>
            </w:pPr>
            <w:r>
              <w:rPr>
                <w:rFonts w:ascii="Arial" w:cs="Arial" w:eastAsia="Arial" w:hAnsi="Arial"/>
                <w:sz w:val="14"/>
                <w:szCs w:val="14"/>
                <w:b w:val="1"/>
                <w:bCs w:val="1"/>
                <w:color w:val="auto"/>
              </w:rPr>
              <w:t>FISCAL YEAR</w:t>
            </w:r>
          </w:p>
        </w:tc>
      </w:tr>
      <w:tr>
        <w:trPr>
          <w:trHeight w:val="222"/>
        </w:trPr>
        <w:tc>
          <w:tcPr>
            <w:tcW w:w="8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2019</w:t>
            </w:r>
          </w:p>
        </w:tc>
      </w:tr>
      <w:tr>
        <w:trPr>
          <w:trHeight w:val="237"/>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 2018</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282.7</w:t>
            </w:r>
          </w:p>
        </w:tc>
      </w:tr>
      <w:tr>
        <w:trPr>
          <w:trHeight w:val="237"/>
        </w:trPr>
        <w:tc>
          <w:tcPr>
            <w:tcW w:w="89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8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Incentive compensation</w:t>
            </w:r>
          </w:p>
        </w:tc>
        <w:tc>
          <w:tcPr>
            <w:tcW w:w="4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24"/>
        </w:trPr>
        <w:tc>
          <w:tcPr>
            <w:tcW w:w="8920" w:type="dxa"/>
            <w:vAlign w:val="bottom"/>
          </w:tcPr>
          <w:p>
            <w:pPr>
              <w:ind w:left="380"/>
              <w:spacing w:after="0"/>
              <w:rPr>
                <w:sz w:val="20"/>
                <w:szCs w:val="20"/>
                <w:color w:val="auto"/>
              </w:rPr>
            </w:pPr>
            <w:r>
              <w:rPr>
                <w:rFonts w:ascii="Arial" w:cs="Arial" w:eastAsia="Arial" w:hAnsi="Arial"/>
                <w:sz w:val="16"/>
                <w:szCs w:val="16"/>
                <w:color w:val="auto"/>
              </w:rPr>
              <w:t>Foreign currency exchange</w:t>
            </w: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8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Legal and professional fees</w:t>
            </w:r>
          </w:p>
        </w:tc>
        <w:tc>
          <w:tcPr>
            <w:tcW w:w="4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24"/>
        </w:trPr>
        <w:tc>
          <w:tcPr>
            <w:tcW w:w="8920" w:type="dxa"/>
            <w:vAlign w:val="bottom"/>
          </w:tcPr>
          <w:p>
            <w:pPr>
              <w:ind w:left="380"/>
              <w:spacing w:after="0"/>
              <w:rPr>
                <w:sz w:val="20"/>
                <w:szCs w:val="20"/>
                <w:color w:val="auto"/>
              </w:rPr>
            </w:pPr>
            <w:r>
              <w:rPr>
                <w:rFonts w:ascii="Arial" w:cs="Arial" w:eastAsia="Arial" w:hAnsi="Arial"/>
                <w:sz w:val="16"/>
                <w:szCs w:val="16"/>
                <w:color w:val="auto"/>
              </w:rPr>
              <w:t>Severance</w:t>
            </w:r>
          </w:p>
        </w:tc>
        <w:tc>
          <w:tcPr>
            <w:tcW w:w="440" w:type="dxa"/>
            <w:vAlign w:val="bottom"/>
          </w:tcPr>
          <w:p>
            <w:pPr>
              <w:spacing w:after="0"/>
              <w:rPr>
                <w:sz w:val="19"/>
                <w:szCs w:val="19"/>
                <w:color w:val="auto"/>
              </w:rPr>
            </w:pPr>
          </w:p>
        </w:tc>
        <w:tc>
          <w:tcPr>
            <w:tcW w:w="2060" w:type="dxa"/>
            <w:vAlign w:val="bottom"/>
          </w:tcPr>
          <w:p>
            <w:pPr>
              <w:jc w:val="right"/>
              <w:ind w:right="21"/>
              <w:spacing w:after="0"/>
              <w:rPr>
                <w:sz w:val="20"/>
                <w:szCs w:val="20"/>
                <w:color w:val="auto"/>
              </w:rPr>
            </w:pPr>
            <w:r>
              <w:rPr>
                <w:rFonts w:ascii="Arial" w:cs="Arial" w:eastAsia="Arial" w:hAnsi="Arial"/>
                <w:sz w:val="16"/>
                <w:szCs w:val="16"/>
                <w:color w:val="auto"/>
              </w:rPr>
              <w:t>1.8</w:t>
            </w:r>
          </w:p>
        </w:tc>
      </w:tr>
      <w:tr>
        <w:trPr>
          <w:trHeight w:val="33"/>
        </w:trPr>
        <w:tc>
          <w:tcPr>
            <w:tcW w:w="8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64"/>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r>
      <w:tr>
        <w:trPr>
          <w:trHeight w:val="250"/>
        </w:trPr>
        <w:tc>
          <w:tcPr>
            <w:tcW w:w="8920" w:type="dxa"/>
            <w:vAlign w:val="bottom"/>
          </w:tcPr>
          <w:p>
            <w:pPr>
              <w:ind w:left="40"/>
              <w:spacing w:after="0"/>
              <w:rPr>
                <w:sz w:val="20"/>
                <w:szCs w:val="20"/>
                <w:color w:val="auto"/>
              </w:rPr>
            </w:pPr>
            <w:r>
              <w:rPr>
                <w:rFonts w:ascii="Arial" w:cs="Arial" w:eastAsia="Arial" w:hAnsi="Arial"/>
                <w:sz w:val="16"/>
                <w:szCs w:val="16"/>
                <w:color w:val="auto"/>
              </w:rPr>
              <w:t>For fiscal year 2019</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275.2</w:t>
            </w:r>
          </w:p>
        </w:tc>
      </w:tr>
      <w:tr>
        <w:trPr>
          <w:trHeight w:val="20"/>
        </w:trPr>
        <w:tc>
          <w:tcPr>
            <w:tcW w:w="8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4"/>
                <w:szCs w:val="14"/>
                <w:b w:val="1"/>
                <w:bCs w:val="1"/>
                <w:color w:val="auto"/>
              </w:rPr>
              <w:t>FISCAL YEAR</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1080" w:type="dxa"/>
            <w:vAlign w:val="bottom"/>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33"/>
        </w:trPr>
        <w:tc>
          <w:tcPr>
            <w:tcW w:w="70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International Restructuring </w:t>
      </w:r>
      <w:r>
        <w:rPr>
          <w:rFonts w:ascii="Arial" w:cs="Arial" w:eastAsia="Arial" w:hAnsi="Arial"/>
          <w:sz w:val="18"/>
          <w:szCs w:val="18"/>
          <w:color w:val="auto"/>
        </w:rPr>
        <w:t>- We recognized asset impairment and closure charges of $2.0 million and $13.9 million during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related to restructuring of certain international markets, including Puerto Rico and China, within the international segment.</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Express Concept Restructuring </w:t>
      </w:r>
      <w:r>
        <w:rPr>
          <w:rFonts w:ascii="Arial" w:cs="Arial" w:eastAsia="Arial" w:hAnsi="Arial"/>
          <w:sz w:val="20"/>
          <w:szCs w:val="20"/>
          <w:color w:val="auto"/>
        </w:rPr>
        <w:t>- In 2018, we recognized asset impairment charges of $7.4 million related to the restructuring of our Express</w:t>
      </w:r>
      <w:r>
        <w:rPr>
          <w:rFonts w:ascii="Arial" w:cs="Arial" w:eastAsia="Arial" w:hAnsi="Arial"/>
          <w:sz w:val="20"/>
          <w:szCs w:val="20"/>
          <w:i w:val="1"/>
          <w:iCs w:val="1"/>
          <w:color w:val="auto"/>
        </w:rPr>
        <w:t xml:space="preserve"> </w:t>
      </w:r>
      <w:r>
        <w:rPr>
          <w:rFonts w:ascii="Arial" w:cs="Arial" w:eastAsia="Arial" w:hAnsi="Arial"/>
          <w:sz w:val="20"/>
          <w:szCs w:val="20"/>
          <w:color w:val="auto"/>
        </w:rPr>
        <w:t>concept, within the U.S. segment. As a part of the restructuring, three Express locations closed during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Refranchising </w:t>
      </w:r>
      <w:r>
        <w:rPr>
          <w:rFonts w:ascii="Arial" w:cs="Arial" w:eastAsia="Arial" w:hAnsi="Arial"/>
          <w:sz w:val="20"/>
          <w:szCs w:val="20"/>
          <w:color w:val="auto"/>
        </w:rPr>
        <w:t>- During 2019, we completed the sale of 18 of our U.S. Company-owned Carrabba’s Italian Grill restaurants to an existing</w:t>
      </w:r>
      <w:r>
        <w:rPr>
          <w:rFonts w:ascii="Arial" w:cs="Arial" w:eastAsia="Arial" w:hAnsi="Arial"/>
          <w:sz w:val="20"/>
          <w:szCs w:val="20"/>
          <w:i w:val="1"/>
          <w:iCs w:val="1"/>
          <w:color w:val="auto"/>
        </w:rPr>
        <w:t xml:space="preserve"> </w:t>
      </w:r>
      <w:r>
        <w:rPr>
          <w:rFonts w:ascii="Arial" w:cs="Arial" w:eastAsia="Arial" w:hAnsi="Arial"/>
          <w:sz w:val="20"/>
          <w:szCs w:val="20"/>
          <w:color w:val="auto"/>
        </w:rPr>
        <w:t>franchisee. In connection with the sale of these restaurants, we recognized asset impairment charges of $5.5 million in 2018, within the U.S. segment.</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impairment and closing charges for the periods presented primarily resulted from approved store closure initiatives, locations identified for remodel, relocation or closure and certain other assets.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continue to pursue refranchising opportunities in select markets as we look to further optimize our restaurant portfolio. As a result of these transactions, we may record future net gains or losses, impairment charges and transaction related expenses.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 of Total revenues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increase in Income from operations during 2019 as compared to 2018 was primarily due to: (i) higher comparable restaurant sales, (ii) the impact of certain cost saving initiatives and (iii) lower impairment charges and restaurant closing costs. These increases were partially offset by: (i) labor, commodity and operating expense inflation, (ii) additional expense related to the rollout of delivery services and (iii) the impact of deferred gain amortization no longer recognized upon adoption of the new lease standard.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FISCAL YEAR</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080" w:type="dxa"/>
            <w:vAlign w:val="bottom"/>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4.4</w:t>
            </w:r>
          </w:p>
        </w:tc>
      </w:tr>
      <w:tr>
        <w:trPr>
          <w:trHeight w:val="33"/>
        </w:trPr>
        <w:tc>
          <w:tcPr>
            <w:tcW w:w="70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Interest expense, net during 2019 as compared to 2018 was primarily due to a higher fixed rate on the notional amount of our derivative instruments and higher average interest rates and borrowings outstanding, partially offset from the derecognition of certain lease-related debt obligations due to adoption of the new lease accounting standard.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(benefit)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24"/>
        </w:trPr>
        <w:tc>
          <w:tcPr>
            <w:tcW w:w="8040" w:type="dxa"/>
            <w:vAlign w:val="bottom"/>
            <w:gridSpan w:val="2"/>
            <w:shd w:val="clear" w:color="auto" w:fill="CCEEFF"/>
          </w:tcPr>
          <w:p>
            <w:pPr>
              <w:jc w:val="right"/>
              <w:ind w:right="6308"/>
              <w:spacing w:after="0"/>
              <w:rPr>
                <w:sz w:val="20"/>
                <w:szCs w:val="20"/>
                <w:color w:val="auto"/>
              </w:rPr>
            </w:pPr>
            <w:r>
              <w:rPr>
                <w:rFonts w:ascii="Arial" w:cs="Arial" w:eastAsia="Arial" w:hAnsi="Arial"/>
                <w:sz w:val="16"/>
                <w:szCs w:val="16"/>
                <w:color w:val="auto"/>
                <w:w w:val="93"/>
              </w:rPr>
              <w:t>Effective income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33"/>
        </w:trPr>
        <w:tc>
          <w:tcPr>
            <w:tcW w:w="69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net increase in the effective income tax rate in 2019 as compared to 2018 was primarily due to employment-related credits being a lower percentage of net income in 2019, excess tax benefits from equity-based compensation arrangements recorded in 2018 and an increase in the foreign tax rate differential in 2019. These increases were partially offset by a decrease in valuation allowances recorded against deferred income tax assets in 2019.</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effective income tax rate for 2019 was lower than the blended federal and state statutory rate of approximately 26%, primarily due to the benefit of tax credits for FICA taxes on certain employees’ tips. The effective income tax rate for 2018 was lower than the blended federal and state statutory rate of approximately 26%, primarily due to the benefit of tax credits for FICA taxes on certain employees’ tips and excess tax benefits from equity-based compensation arrangements.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consider our restaurant concepts and international markets as operating segments, which reflects how we manage our business, review operating performance and allocate resources. Resources are allocated and performance is assessed by our Chief Executive Officer, whom we have determined to be our Chief Operating Decision Maker. We aggregate our operating segments into two reportable segments, U.S. and international. The U.S. segment includes all restaurants operating in the U.S. while restaurants operating outside the U.S. are included in the international segment.</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excludes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Refer to Note 21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of the Notes to Consolidated Financial Statements for a reconciliation of segment income from operations to the consolidated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88"/>
              <w:spacing w:after="0"/>
              <w:rPr>
                <w:sz w:val="20"/>
                <w:szCs w:val="20"/>
                <w:color w:val="auto"/>
              </w:rPr>
            </w:pPr>
            <w:r>
              <w:rPr>
                <w:rFonts w:ascii="Arial" w:cs="Arial" w:eastAsia="Arial" w:hAnsi="Arial"/>
                <w:sz w:val="16"/>
                <w:szCs w:val="16"/>
                <w:color w:val="auto"/>
              </w:rPr>
              <w:t>3,634,668</w:t>
            </w:r>
          </w:p>
        </w:tc>
        <w:tc>
          <w:tcPr>
            <w:tcW w:w="7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3,634,198</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53,250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53,041</w:t>
            </w:r>
          </w:p>
        </w:tc>
        <w:tc>
          <w:tcPr>
            <w:tcW w:w="0" w:type="dxa"/>
            <w:vAlign w:val="bottom"/>
          </w:tcPr>
          <w:p>
            <w:pPr>
              <w:spacing w:after="0"/>
              <w:rPr>
                <w:sz w:val="1"/>
                <w:szCs w:val="1"/>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88"/>
              <w:spacing w:after="0"/>
              <w:rPr>
                <w:sz w:val="20"/>
                <w:szCs w:val="20"/>
                <w:color w:val="auto"/>
              </w:rPr>
            </w:pPr>
            <w:r>
              <w:rPr>
                <w:rFonts w:ascii="Arial" w:cs="Arial" w:eastAsia="Arial" w:hAnsi="Arial"/>
                <w:sz w:val="16"/>
                <w:szCs w:val="16"/>
                <w:color w:val="auto"/>
              </w:rPr>
              <w:t>3,687,918</w:t>
            </w:r>
          </w:p>
        </w:tc>
        <w:tc>
          <w:tcPr>
            <w:tcW w:w="7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3,687,239</w:t>
            </w:r>
          </w:p>
        </w:tc>
        <w:tc>
          <w:tcPr>
            <w:tcW w:w="0" w:type="dxa"/>
            <w:vAlign w:val="bottom"/>
          </w:tcPr>
          <w:p>
            <w:pPr>
              <w:spacing w:after="0"/>
              <w:rPr>
                <w:sz w:val="1"/>
                <w:szCs w:val="1"/>
                <w:color w:val="auto"/>
              </w:rPr>
            </w:pPr>
          </w:p>
        </w:tc>
      </w:tr>
      <w:tr>
        <w:trPr>
          <w:trHeight w:val="230"/>
        </w:trPr>
        <w:tc>
          <w:tcPr>
            <w:tcW w:w="80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Restaurant-level operating margin</w:t>
            </w: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88"/>
              <w:spacing w:after="0"/>
              <w:rPr>
                <w:sz w:val="20"/>
                <w:szCs w:val="20"/>
                <w:color w:val="auto"/>
              </w:rPr>
            </w:pPr>
            <w:r>
              <w:rPr>
                <w:rFonts w:ascii="Arial" w:cs="Arial" w:eastAsia="Arial" w:hAnsi="Arial"/>
                <w:sz w:val="16"/>
                <w:szCs w:val="16"/>
                <w:color w:val="auto"/>
              </w:rPr>
              <w:t>311,666</w:t>
            </w:r>
          </w:p>
        </w:tc>
        <w:tc>
          <w:tcPr>
            <w:tcW w:w="7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288,959</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Operating income margin</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423"/>
        </w:trPr>
        <w:tc>
          <w:tcPr>
            <w:tcW w:w="8040" w:type="dxa"/>
            <w:vAlign w:val="bottom"/>
          </w:tcPr>
          <w:p>
            <w:pPr>
              <w:spacing w:after="0"/>
              <w:rPr>
                <w:sz w:val="20"/>
                <w:szCs w:val="20"/>
                <w:color w:val="auto"/>
              </w:rPr>
            </w:pPr>
            <w:r>
              <w:rPr>
                <w:rFonts w:ascii="Arial" w:cs="Arial" w:eastAsia="Arial" w:hAnsi="Arial"/>
                <w:sz w:val="20"/>
                <w:szCs w:val="20"/>
                <w:i w:val="1"/>
                <w:iCs w:val="1"/>
                <w:color w:val="auto"/>
              </w:rPr>
              <w:t>Restaurant sales</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40" w:type="dxa"/>
            <w:vAlign w:val="bottom"/>
          </w:tcPr>
          <w:p>
            <w:pPr>
              <w:spacing w:after="0"/>
              <w:rPr>
                <w:sz w:val="20"/>
                <w:szCs w:val="20"/>
                <w:color w:val="auto"/>
              </w:rPr>
            </w:pPr>
            <w:r>
              <w:rPr>
                <w:rFonts w:ascii="Arial" w:cs="Arial" w:eastAsia="Arial" w:hAnsi="Arial"/>
                <w:sz w:val="20"/>
                <w:szCs w:val="20"/>
                <w:color w:val="auto"/>
                <w:w w:val="93"/>
              </w:rPr>
              <w:t>Following is a summary of the change in U.S. segment Restaurant sales for the period indicated:</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22"/>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 2018</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3,634.2</w:t>
            </w: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 (1)</w:t>
            </w:r>
          </w:p>
        </w:tc>
        <w:tc>
          <w:tcPr>
            <w:tcW w:w="4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Restaurant openings (1)</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4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70"/>
        </w:trPr>
        <w:tc>
          <w:tcPr>
            <w:tcW w:w="80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Restaurant closures</w:t>
            </w:r>
          </w:p>
        </w:tc>
        <w:tc>
          <w:tcPr>
            <w:tcW w:w="40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44"/>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 fiscal year 2019</w:t>
            </w:r>
          </w:p>
        </w:tc>
        <w:tc>
          <w:tcPr>
            <w:tcW w:w="4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3,634.6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7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U.S. Restaurant sales in 2019 were flat as compared to 2018 primarily due to higher comparable restaurant sales and sales from 12 new restaurants not included in our comparable restaurant sales base, offset by domestic refranchising and the closing of 22 restaurants since December 31, 2017.</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increase in U.S. Income from operations generated in 2019 as compared to 2018 was primarily due to: (i) higher comparable restaurant sales, (ii) the impact of certain cost savings initiatives and (iii) lower impairment charges and restaurant closing costs. These increases were partially offset by: (i) labor, commodity and operating expense inflation, (ii) additional expense related to the rollout of delivery services and (iii) the impact of deferred gain amortization no longer recognized upon adoption of the new lease standard.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r>
      <w:tr>
        <w:trPr>
          <w:trHeight w:val="264"/>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440,346</w:t>
            </w:r>
          </w:p>
        </w:tc>
        <w:tc>
          <w:tcPr>
            <w:tcW w:w="100" w:type="dxa"/>
            <w:vAlign w:val="bottom"/>
          </w:tcPr>
          <w:p>
            <w:pPr>
              <w:spacing w:after="0"/>
              <w:rPr>
                <w:sz w:val="20"/>
                <w:szCs w:val="20"/>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426,673</w:t>
            </w:r>
          </w:p>
        </w:tc>
      </w:tr>
      <w:tr>
        <w:trPr>
          <w:trHeight w:val="33"/>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11,125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12,501</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451,471</w:t>
            </w:r>
          </w:p>
        </w:tc>
        <w:tc>
          <w:tcPr>
            <w:tcW w:w="100" w:type="dxa"/>
            <w:vAlign w:val="bottom"/>
          </w:tcPr>
          <w:p>
            <w:pPr>
              <w:spacing w:after="0"/>
              <w:rPr>
                <w:sz w:val="19"/>
                <w:szCs w:val="19"/>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439,174</w:t>
            </w:r>
          </w:p>
        </w:tc>
      </w:tr>
      <w:tr>
        <w:trPr>
          <w:trHeight w:val="33"/>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Restaurant-level operating margin</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44,428</w:t>
            </w:r>
          </w:p>
        </w:tc>
        <w:tc>
          <w:tcPr>
            <w:tcW w:w="100" w:type="dxa"/>
            <w:vAlign w:val="bottom"/>
          </w:tcPr>
          <w:p>
            <w:pPr>
              <w:spacing w:after="0"/>
              <w:rPr>
                <w:sz w:val="20"/>
                <w:szCs w:val="20"/>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22,001</w:t>
            </w:r>
          </w:p>
        </w:tc>
      </w:tr>
      <w:tr>
        <w:trPr>
          <w:trHeight w:val="33"/>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 margin</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8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 for the period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tcPr>
          <w:p>
            <w:pPr>
              <w:jc w:val="right"/>
              <w:ind w:right="681"/>
              <w:spacing w:after="0"/>
              <w:rPr>
                <w:sz w:val="20"/>
                <w:szCs w:val="20"/>
                <w:color w:val="auto"/>
              </w:rPr>
            </w:pPr>
            <w:r>
              <w:rPr>
                <w:rFonts w:ascii="Arial" w:cs="Arial" w:eastAsia="Arial" w:hAnsi="Arial"/>
                <w:sz w:val="14"/>
                <w:szCs w:val="14"/>
                <w:b w:val="1"/>
                <w:bCs w:val="1"/>
                <w:color w:val="auto"/>
              </w:rPr>
              <w:t>FISCAL YEAR</w:t>
            </w:r>
          </w:p>
        </w:tc>
      </w:tr>
      <w:tr>
        <w:trPr>
          <w:trHeight w:val="222"/>
        </w:trPr>
        <w:tc>
          <w:tcPr>
            <w:tcW w:w="8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2019</w:t>
            </w:r>
          </w:p>
        </w:tc>
      </w:tr>
      <w:tr>
        <w:trPr>
          <w:trHeight w:val="237"/>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 2018</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426.7</w:t>
            </w:r>
          </w:p>
        </w:tc>
      </w:tr>
      <w:tr>
        <w:trPr>
          <w:trHeight w:val="237"/>
        </w:trPr>
        <w:tc>
          <w:tcPr>
            <w:tcW w:w="89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8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openings</w:t>
            </w:r>
          </w:p>
        </w:tc>
        <w:tc>
          <w:tcPr>
            <w:tcW w:w="4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36.3</w:t>
            </w:r>
          </w:p>
        </w:tc>
      </w:tr>
      <w:tr>
        <w:trPr>
          <w:trHeight w:val="224"/>
        </w:trPr>
        <w:tc>
          <w:tcPr>
            <w:tcW w:w="8920" w:type="dxa"/>
            <w:vAlign w:val="bottom"/>
          </w:tcPr>
          <w:p>
            <w:pPr>
              <w:ind w:left="380"/>
              <w:spacing w:after="0"/>
              <w:rPr>
                <w:sz w:val="20"/>
                <w:szCs w:val="20"/>
                <w:color w:val="auto"/>
              </w:rPr>
            </w:pPr>
            <w:r>
              <w:rPr>
                <w:rFonts w:ascii="Arial" w:cs="Arial" w:eastAsia="Arial" w:hAnsi="Arial"/>
                <w:sz w:val="16"/>
                <w:szCs w:val="16"/>
                <w:color w:val="auto"/>
              </w:rPr>
              <w:t>Comparable restaurant sales</w:t>
            </w:r>
          </w:p>
        </w:tc>
        <w:tc>
          <w:tcPr>
            <w:tcW w:w="440" w:type="dxa"/>
            <w:vAlign w:val="bottom"/>
          </w:tcPr>
          <w:p>
            <w:pPr>
              <w:spacing w:after="0"/>
              <w:rPr>
                <w:sz w:val="19"/>
                <w:szCs w:val="19"/>
                <w:color w:val="auto"/>
              </w:rPr>
            </w:pPr>
          </w:p>
        </w:tc>
        <w:tc>
          <w:tcPr>
            <w:tcW w:w="2060" w:type="dxa"/>
            <w:vAlign w:val="bottom"/>
          </w:tcPr>
          <w:p>
            <w:pPr>
              <w:jc w:val="right"/>
              <w:ind w:right="21"/>
              <w:spacing w:after="0"/>
              <w:rPr>
                <w:sz w:val="20"/>
                <w:szCs w:val="20"/>
                <w:color w:val="auto"/>
              </w:rPr>
            </w:pPr>
            <w:r>
              <w:rPr>
                <w:rFonts w:ascii="Arial" w:cs="Arial" w:eastAsia="Arial" w:hAnsi="Arial"/>
                <w:sz w:val="16"/>
                <w:szCs w:val="16"/>
                <w:color w:val="auto"/>
              </w:rPr>
              <w:t>19.7</w:t>
            </w:r>
          </w:p>
        </w:tc>
      </w:tr>
      <w:tr>
        <w:trPr>
          <w:trHeight w:val="33"/>
        </w:trPr>
        <w:tc>
          <w:tcPr>
            <w:tcW w:w="8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4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70"/>
        </w:trPr>
        <w:tc>
          <w:tcPr>
            <w:tcW w:w="89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Restaurant closures</w:t>
            </w:r>
          </w:p>
        </w:tc>
        <w:tc>
          <w:tcPr>
            <w:tcW w:w="44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 2019</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440.3</w:t>
            </w:r>
          </w:p>
        </w:tc>
      </w:tr>
      <w:tr>
        <w:trPr>
          <w:trHeight w:val="20"/>
        </w:trPr>
        <w:tc>
          <w:tcPr>
            <w:tcW w:w="8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international Restaurant sales in 2019 as compared to 2018 was primarily due to sales from 28 new restaurants not included in our comparable restaurant sales base and higher comparable restaurant sales. The increase in international Restaurant sales was partially offset by the effect of foreign currency translation of the Brazilian Real relative to the U.S. dollar and the closing of 18 restaurants since December 31, 2017.</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international Income from operations in 2019 as compared to 2018 was primarily due to: (i) lower impairment and restaurant closing costs, (ii) the impact of certain cost savings initiatives, (iii) higher comparable restaurant sales, (iv) improved operating performance by our Abbraccio concept and (v) lower General and administrative expense, primarily from lower severance costs. These increases were partially offset by labor, operating and commodity expense inflation.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to the results provided in accordance with U.S. GAAP, we provide certain non-GAAP measures, which present operating results on an adjusted basis. These are supplemental measures of performance that are not required</w:t>
      </w:r>
    </w:p>
    <w:p>
      <w:pPr>
        <w:sectPr>
          <w:pgSz w:w="11900" w:h="16838" w:orient="portrait"/>
          <w:cols w:equalWidth="0" w:num="1">
            <w:col w:w="11420"/>
          </w:cols>
          <w:pgMar w:left="240" w:top="122" w:right="2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or presented in accordance with U.S. GAAP and include the following: (i) system-wide sales, (ii) Adjusted restaurant-level operating margins, (iii) Adjusted income from operations and the corresponding margins, (iv) Adjusted net income and (v) Adjusted diluted earnings per share.</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establish employee incentive plans.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These non-GAAP financial measures are not intended to replace U.S.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necessarily involves the application of judgment, and the treatment of any items not directly addressed by, or changes to, our guidelines will be considered by our disclosure committee. Refer to the reconciliations of non-GAAP measures for descriptions of the actual adjustments made in the current period and the corresponding prior period.</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 names,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3 -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of the Notes to Consolidated Financial Statements.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summary of sales of franchised restaurants,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vMerge w:val="restart"/>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7"/>
        </w:trPr>
        <w:tc>
          <w:tcPr>
            <w:tcW w:w="8120" w:type="dxa"/>
            <w:vAlign w:val="bottom"/>
            <w:tcBorders>
              <w:bottom w:val="single" w:sz="8" w:color="CCEEFF"/>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Outback Steakhouse</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060" w:type="dxa"/>
            <w:vAlign w:val="bottom"/>
          </w:tcPr>
          <w:p>
            <w:pPr>
              <w:spacing w:after="0"/>
              <w:rPr>
                <w:sz w:val="19"/>
                <w:szCs w:val="19"/>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40"/>
        </w:trPr>
        <w:tc>
          <w:tcPr>
            <w:tcW w:w="8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Steakhouse-South Korea</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19"/>
                <w:szCs w:val="19"/>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40"/>
        </w:trPr>
        <w:tc>
          <w:tcPr>
            <w:tcW w:w="8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1"/>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franchise sales (2)</w:t>
            </w:r>
          </w:p>
        </w:tc>
        <w:tc>
          <w:tcPr>
            <w:tcW w:w="1060" w:type="dxa"/>
            <w:vAlign w:val="bottom"/>
            <w:tcBorders>
              <w:top w:val="single" w:sz="8" w:color="auto"/>
            </w:tcBorders>
          </w:tcPr>
          <w:p>
            <w:pPr>
              <w:jc w:val="right"/>
              <w:ind w:right="88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873</w:t>
            </w: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33"/>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2019, we sold 18 Carrabba’s Italian Grill restaurants,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Income.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Adjusted restaurant-level operating margin - </w:t>
      </w:r>
      <w:r>
        <w:rPr>
          <w:rFonts w:ascii="Arial" w:cs="Arial" w:eastAsia="Arial" w:hAnsi="Arial"/>
          <w:sz w:val="19"/>
          <w:szCs w:val="19"/>
          <w:color w:val="auto"/>
        </w:rPr>
        <w:t>Restaurant-level operating margin is calculated as Restaurant sales after deduction of the main</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restaurant-level operating costs, which includes Cost of sales, Labor and other related and Other restaurant operating expense. Adjusted restaurant-level operating margin is Restaurant-level operating margin adjusted for certain items, as noted below. The following tables show the percentages of certain operating cost financial statement line items in relation to Restaurant sales: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4"/>
                <w:szCs w:val="14"/>
                <w:b w:val="1"/>
                <w:bCs w:val="1"/>
                <w:color w:val="auto"/>
              </w:rPr>
              <w:t>FISCAL YEAR</w:t>
            </w:r>
          </w:p>
        </w:tc>
        <w:tc>
          <w:tcPr>
            <w:tcW w:w="12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16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U.S. GAAP</w:t>
            </w: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ADJUSTED (1)</w:t>
            </w:r>
          </w:p>
        </w:tc>
        <w:tc>
          <w:tcPr>
            <w:tcW w:w="16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U.S. GAAP</w:t>
            </w:r>
          </w:p>
        </w:tc>
        <w:tc>
          <w:tcPr>
            <w:tcW w:w="1240" w:type="dxa"/>
            <w:vAlign w:val="bottom"/>
          </w:tcPr>
          <w:p>
            <w:pPr>
              <w:jc w:val="right"/>
              <w:ind w:right="140"/>
              <w:spacing w:after="0"/>
              <w:rPr>
                <w:sz w:val="20"/>
                <w:szCs w:val="20"/>
                <w:color w:val="auto"/>
              </w:rPr>
            </w:pPr>
            <w:r>
              <w:rPr>
                <w:rFonts w:ascii="Arial" w:cs="Arial" w:eastAsia="Arial" w:hAnsi="Arial"/>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97"/>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37"/>
        </w:trPr>
        <w:tc>
          <w:tcPr>
            <w:tcW w:w="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40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33"/>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97"/>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193"/>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_________________</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ind w:left="660" w:hanging="652"/>
        <w:spacing w:after="0" w:line="290"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Includes unfavorable (favorable) adjustments recorded in Other restaurant operating expense (unless otherwise noted below) for the following activities, as described in the </w:t>
      </w:r>
      <w:r>
        <w:rPr>
          <w:rFonts w:ascii="Arial" w:cs="Arial" w:eastAsia="Arial" w:hAnsi="Arial"/>
          <w:sz w:val="15"/>
          <w:szCs w:val="15"/>
          <w:i w:val="1"/>
          <w:iCs w:val="1"/>
          <w:color w:val="auto"/>
        </w:rPr>
        <w:t>Adjusted income from operations, Adjusted net income and Adjusted diluted earnings per share</w:t>
      </w:r>
      <w:r>
        <w:rPr>
          <w:rFonts w:ascii="Arial" w:cs="Arial" w:eastAsia="Arial" w:hAnsi="Arial"/>
          <w:sz w:val="15"/>
          <w:szCs w:val="15"/>
          <w:color w:val="auto"/>
        </w:rPr>
        <w:t xml:space="preserve"> table below for the periods indicated:</w:t>
      </w:r>
    </w:p>
    <w:p>
      <w:pPr>
        <w:spacing w:after="0" w:line="72" w:lineRule="exact"/>
        <w:rPr>
          <w:sz w:val="20"/>
          <w:szCs w:val="20"/>
          <w:color w:val="auto"/>
        </w:rPr>
      </w:pPr>
    </w:p>
    <w:tbl>
      <w:tblPr>
        <w:tblLayout w:type="fixed"/>
        <w:tblInd w:w="670" w:type="dxa"/>
        <w:tblCellMar>
          <w:top w:w="0" w:type="dxa"/>
          <w:left w:w="0" w:type="dxa"/>
          <w:bottom w:w="0" w:type="dxa"/>
          <w:right w:w="0" w:type="dxa"/>
        </w:tblCellMar>
      </w:tblPr>
      <w:tr>
        <w:trPr>
          <w:trHeight w:val="277"/>
        </w:trPr>
        <w:tc>
          <w:tcPr>
            <w:tcW w:w="7120" w:type="dxa"/>
            <w:vAlign w:val="bottom"/>
            <w:tcBorders>
              <w:top w:val="single" w:sz="8" w:color="auto"/>
              <w:left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900" w:type="dxa"/>
            <w:vAlign w:val="bottom"/>
            <w:tcBorders>
              <w:top w:val="single" w:sz="8" w:color="auto"/>
              <w:bottom w:val="single" w:sz="8" w:color="auto"/>
              <w:right w:val="single" w:sz="8" w:color="auto"/>
            </w:tcBorders>
          </w:tcPr>
          <w:p>
            <w:pPr>
              <w:spacing w:after="0"/>
              <w:rPr>
                <w:sz w:val="24"/>
                <w:szCs w:val="24"/>
                <w:color w:val="auto"/>
              </w:rPr>
            </w:pPr>
          </w:p>
        </w:tc>
      </w:tr>
      <w:tr>
        <w:trPr>
          <w:trHeight w:val="264"/>
        </w:trPr>
        <w:tc>
          <w:tcPr>
            <w:tcW w:w="712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r>
      <w:tr>
        <w:trPr>
          <w:trHeight w:val="237"/>
        </w:trPr>
        <w:tc>
          <w:tcPr>
            <w:tcW w:w="71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Legal and other matters (1)</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37"/>
        </w:trPr>
        <w:tc>
          <w:tcPr>
            <w:tcW w:w="71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Restaurant and asset impairments and closing costs</w:t>
            </w:r>
          </w:p>
        </w:tc>
        <w:tc>
          <w:tcPr>
            <w:tcW w:w="3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3.4</w:t>
            </w:r>
          </w:p>
        </w:tc>
      </w:tr>
      <w:tr>
        <w:trPr>
          <w:trHeight w:val="33"/>
        </w:trPr>
        <w:tc>
          <w:tcPr>
            <w:tcW w:w="712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r>
      <w:tr>
        <w:trPr>
          <w:trHeight w:val="264"/>
        </w:trPr>
        <w:tc>
          <w:tcPr>
            <w:tcW w:w="71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relocations and related costs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right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0.7</w:t>
            </w:r>
          </w:p>
        </w:tc>
      </w:tr>
      <w:tr>
        <w:trPr>
          <w:trHeight w:val="224"/>
        </w:trPr>
        <w:tc>
          <w:tcPr>
            <w:tcW w:w="7120" w:type="dxa"/>
            <w:vAlign w:val="bottom"/>
            <w:tcBorders>
              <w:left w:val="single" w:sz="8" w:color="auto"/>
            </w:tcBorders>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4.1</w:t>
            </w:r>
          </w:p>
        </w:tc>
      </w:tr>
      <w:tr>
        <w:trPr>
          <w:trHeight w:val="73"/>
        </w:trPr>
        <w:tc>
          <w:tcPr>
            <w:tcW w:w="7120" w:type="dxa"/>
            <w:vAlign w:val="bottom"/>
            <w:tcBorders>
              <w:left w:val="single" w:sz="8" w:color="auto"/>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r>
    </w:tbl>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adjustments of $2.7 million and $1.9 million recorded in Cost of sales and Other restaurant operating expense, respectively.</w:t>
      </w:r>
    </w:p>
    <w:p>
      <w:pPr>
        <w:spacing w:after="0" w:line="39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Adjusted income from operations, Adjusted net income and Adjusted diluted earnings per share - </w:t>
      </w:r>
      <w:r>
        <w:rPr>
          <w:rFonts w:ascii="Arial" w:cs="Arial" w:eastAsia="Arial" w:hAnsi="Arial"/>
          <w:sz w:val="20"/>
          <w:szCs w:val="20"/>
          <w:color w:val="auto"/>
        </w:rPr>
        <w:t>The following table reconciles Adjusted</w:t>
      </w:r>
      <w:r>
        <w:rPr>
          <w:rFonts w:ascii="Arial" w:cs="Arial" w:eastAsia="Arial" w:hAnsi="Arial"/>
          <w:sz w:val="20"/>
          <w:szCs w:val="20"/>
          <w:i w:val="1"/>
          <w:iCs w:val="1"/>
          <w:color w:val="auto"/>
        </w:rPr>
        <w:t xml:space="preserve"> </w:t>
      </w:r>
      <w:r>
        <w:rPr>
          <w:rFonts w:ascii="Arial" w:cs="Arial" w:eastAsia="Arial" w:hAnsi="Arial"/>
          <w:sz w:val="20"/>
          <w:szCs w:val="20"/>
          <w:color w:val="auto"/>
        </w:rPr>
        <w:t>income from operations and the corresponding margins, Adjusted net income and Adjusted diluted earnings per share to their respective most comparable U.S. GAAP measures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191,090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145,253</w:t>
            </w:r>
          </w:p>
        </w:tc>
        <w:tc>
          <w:tcPr>
            <w:tcW w:w="0" w:type="dxa"/>
            <w:vAlign w:val="bottom"/>
          </w:tcPr>
          <w:p>
            <w:pPr>
              <w:spacing w:after="0"/>
              <w:rPr>
                <w:sz w:val="1"/>
                <w:szCs w:val="1"/>
                <w:color w:val="auto"/>
              </w:rPr>
            </w:pPr>
          </w:p>
        </w:tc>
      </w:tr>
      <w:tr>
        <w:trPr>
          <w:trHeight w:val="237"/>
        </w:trPr>
        <w:tc>
          <w:tcPr>
            <w:tcW w:w="8280" w:type="dxa"/>
            <w:vAlign w:val="bottom"/>
          </w:tcPr>
          <w:p>
            <w:pPr>
              <w:ind w:left="180"/>
              <w:spacing w:after="0"/>
              <w:rPr>
                <w:sz w:val="20"/>
                <w:szCs w:val="20"/>
                <w:color w:val="auto"/>
              </w:rPr>
            </w:pPr>
            <w:r>
              <w:rPr>
                <w:rFonts w:ascii="Arial" w:cs="Arial" w:eastAsia="Arial" w:hAnsi="Arial"/>
                <w:sz w:val="16"/>
                <w:szCs w:val="16"/>
                <w:i w:val="1"/>
                <w:iCs w:val="1"/>
                <w:color w:val="auto"/>
              </w:rPr>
              <w:t>Operating income margin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80" w:type="dxa"/>
            <w:vAlign w:val="bottom"/>
          </w:tcPr>
          <w:p>
            <w:pPr>
              <w:ind w:left="180"/>
              <w:spacing w:after="0"/>
              <w:rPr>
                <w:sz w:val="20"/>
                <w:szCs w:val="20"/>
                <w:color w:val="auto"/>
              </w:rPr>
            </w:pPr>
            <w:r>
              <w:rPr>
                <w:rFonts w:ascii="Arial" w:cs="Arial" w:eastAsia="Arial" w:hAnsi="Arial"/>
                <w:sz w:val="16"/>
                <w:szCs w:val="16"/>
                <w:color w:val="auto"/>
              </w:rPr>
              <w:t>Severance (1)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5,511</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Restaurant and asset impairments and closing costs (2)</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29,542</w:t>
            </w:r>
          </w:p>
        </w:tc>
        <w:tc>
          <w:tcPr>
            <w:tcW w:w="0" w:type="dxa"/>
            <w:vAlign w:val="bottom"/>
          </w:tcPr>
          <w:p>
            <w:pPr>
              <w:spacing w:after="0"/>
              <w:rPr>
                <w:sz w:val="1"/>
                <w:szCs w:val="1"/>
                <w:color w:val="auto"/>
              </w:rPr>
            </w:pPr>
          </w:p>
        </w:tc>
      </w:tr>
      <w:tr>
        <w:trPr>
          <w:trHeight w:val="237"/>
        </w:trPr>
        <w:tc>
          <w:tcPr>
            <w:tcW w:w="8280" w:type="dxa"/>
            <w:vAlign w:val="bottom"/>
          </w:tcPr>
          <w:p>
            <w:pPr>
              <w:ind w:left="180"/>
              <w:spacing w:after="0"/>
              <w:rPr>
                <w:sz w:val="20"/>
                <w:szCs w:val="20"/>
                <w:color w:val="auto"/>
              </w:rPr>
            </w:pPr>
            <w:r>
              <w:rPr>
                <w:rFonts w:ascii="Arial" w:cs="Arial" w:eastAsia="Arial" w:hAnsi="Arial"/>
                <w:sz w:val="16"/>
                <w:szCs w:val="16"/>
                <w:color w:val="auto"/>
              </w:rPr>
              <w:t>Restaurant relocations and related costs (3)</w:t>
            </w: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3,208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8,647</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Legal and other matters (4)</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(2,996)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70"/>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income from operations adjustments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9,273</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42,750</w:t>
            </w:r>
          </w:p>
        </w:tc>
        <w:tc>
          <w:tcPr>
            <w:tcW w:w="0" w:type="dxa"/>
            <w:vAlign w:val="bottom"/>
          </w:tcPr>
          <w:p>
            <w:pPr>
              <w:spacing w:after="0"/>
              <w:rPr>
                <w:sz w:val="1"/>
                <w:szCs w:val="1"/>
                <w:color w:val="auto"/>
              </w:rPr>
            </w:pPr>
          </w:p>
        </w:tc>
      </w:tr>
      <w:tr>
        <w:trPr>
          <w:trHeight w:val="25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income from operations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200,363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188,003</w:t>
            </w:r>
          </w:p>
        </w:tc>
        <w:tc>
          <w:tcPr>
            <w:tcW w:w="0" w:type="dxa"/>
            <w:vAlign w:val="bottom"/>
          </w:tcPr>
          <w:p>
            <w:pPr>
              <w:spacing w:after="0"/>
              <w:rPr>
                <w:sz w:val="1"/>
                <w:szCs w:val="1"/>
                <w:color w:val="auto"/>
              </w:rPr>
            </w:pPr>
          </w:p>
        </w:tc>
      </w:tr>
      <w:tr>
        <w:trPr>
          <w:trHeight w:val="224"/>
        </w:trPr>
        <w:tc>
          <w:tcPr>
            <w:tcW w:w="8280" w:type="dxa"/>
            <w:vAlign w:val="bottom"/>
          </w:tcPr>
          <w:p>
            <w:pPr>
              <w:ind w:left="180"/>
              <w:spacing w:after="0"/>
              <w:rPr>
                <w:sz w:val="20"/>
                <w:szCs w:val="20"/>
                <w:color w:val="auto"/>
              </w:rPr>
            </w:pPr>
            <w:r>
              <w:rPr>
                <w:rFonts w:ascii="Arial" w:cs="Arial" w:eastAsia="Arial" w:hAnsi="Arial"/>
                <w:sz w:val="16"/>
                <w:szCs w:val="16"/>
                <w:i w:val="1"/>
                <w:iCs w:val="1"/>
                <w:color w:val="auto"/>
              </w:rPr>
              <w:t>Adjusted operating income margin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130,573</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107,098</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from operations adjustments</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9,273</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42,750</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before income taxes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9,273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42,750</w:t>
            </w:r>
          </w:p>
        </w:tc>
        <w:tc>
          <w:tcPr>
            <w:tcW w:w="0" w:type="dxa"/>
            <w:vAlign w:val="bottom"/>
          </w:tcPr>
          <w:p>
            <w:pPr>
              <w:spacing w:after="0"/>
              <w:rPr>
                <w:sz w:val="1"/>
                <w:szCs w:val="1"/>
                <w:color w:val="auto"/>
              </w:rPr>
            </w:pPr>
          </w:p>
        </w:tc>
      </w:tr>
      <w:tr>
        <w:trPr>
          <w:trHeight w:val="270"/>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Adjustment to provision for income taxes (5)</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(1,263)</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(8,944)</w:t>
            </w:r>
          </w:p>
        </w:tc>
        <w:tc>
          <w:tcPr>
            <w:tcW w:w="0" w:type="dxa"/>
            <w:vAlign w:val="bottom"/>
          </w:tcPr>
          <w:p>
            <w:pPr>
              <w:spacing w:after="0"/>
              <w:rPr>
                <w:sz w:val="1"/>
                <w:szCs w:val="1"/>
                <w:color w:val="auto"/>
              </w:rPr>
            </w:pPr>
          </w:p>
        </w:tc>
      </w:tr>
      <w:tr>
        <w:trPr>
          <w:trHeight w:val="25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adjustments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8,010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33,806</w:t>
            </w:r>
          </w:p>
        </w:tc>
        <w:tc>
          <w:tcPr>
            <w:tcW w:w="0" w:type="dxa"/>
            <w:vAlign w:val="bottom"/>
          </w:tcPr>
          <w:p>
            <w:pPr>
              <w:spacing w:after="0"/>
              <w:rPr>
                <w:sz w:val="1"/>
                <w:szCs w:val="1"/>
                <w:color w:val="auto"/>
              </w:rPr>
            </w:pPr>
          </w:p>
        </w:tc>
      </w:tr>
      <w:tr>
        <w:trPr>
          <w:trHeight w:val="290"/>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138,583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140,904</w:t>
            </w:r>
          </w:p>
        </w:tc>
        <w:tc>
          <w:tcPr>
            <w:tcW w:w="0" w:type="dxa"/>
            <w:vAlign w:val="bottom"/>
          </w:tcPr>
          <w:p>
            <w:pPr>
              <w:spacing w:after="0"/>
              <w:rPr>
                <w:sz w:val="1"/>
                <w:szCs w:val="1"/>
                <w:color w:val="auto"/>
              </w:rPr>
            </w:pPr>
          </w:p>
        </w:tc>
      </w:tr>
      <w:tr>
        <w:trPr>
          <w:trHeight w:val="284"/>
        </w:trPr>
        <w:tc>
          <w:tcPr>
            <w:tcW w:w="8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earnings per share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89,777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94,075</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Relates to severance expense incurred as a result of restructuring activities.</w:t>
      </w:r>
    </w:p>
    <w:p>
      <w:pPr>
        <w:spacing w:after="0" w:line="8"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6"/>
          <w:szCs w:val="16"/>
          <w:color w:val="auto"/>
        </w:rPr>
        <w:t>Represents asset impairment charges and related costs primarily related to: (i) approved closure and restructuring initiatives, (ii) the restructuring of certain international markets, (iii) the restructuring of our Express concept in 2018 and (iv) reclassification of assets to held for sale in connection with refranchising certain restaurants in 2018. Also includes gains on the sale of certain surplus properties of $3.8 million in 2019.</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asset impairment charges and accelerated depreciation incurred in connection with our relocation program.</w:t>
      </w:r>
    </w:p>
    <w:p>
      <w:pPr>
        <w:spacing w:after="0" w:line="1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 includes the recognition of certain value-added tax credits in Brazil of $4.6 million related to prior years offset by fees and expenses related to certain legal matters in 2019.</w:t>
      </w: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income tax effect of the adjustments for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liquidity sources consist of cash flow from operations, cash and cash equivalents and credit capacity under our credit facilities. We expect to use cash primarily for general operating expenses, lease payments, share repurchases and dividend payments, payments on our debt, remodeling or relocating older restaurants, obligations related to our deferred compensation plans and investments in technology.</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believe that our expected liquidity sources are adequate to fund debt service requirements, lease obligations, capital expenditures and working capital obligations during the 12 months following this filing and beyond. However, our</w:t>
      </w:r>
    </w:p>
    <w:p>
      <w:pPr>
        <w:sectPr>
          <w:pgSz w:w="11900" w:h="16838" w:orient="portrait"/>
          <w:cols w:equalWidth="0" w:num="1">
            <w:col w:w="11420"/>
          </w:cols>
          <w:pgMar w:left="240" w:top="122" w:right="2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ability to continue to meet these requirements and obligations will depend on, among other things, our ability to achieve anticipated levels of revenue and cash flow and our ability to manage costs and working capital successfully.</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As of December 29, 2019, we had $67.1 million in cash and cash equivalents, of which $21.1 million was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foreign affiliates. The international jurisdictions in which we have significant cash do not have any known restrictions that would prohibit repatriation.</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As of December 29, 2019, we had aggregate accumulated foreign earnings of approximately $84.4 million. This amount primarily consists of historical earnings from 2017 and prior that were previously taxed in the U.S. under the 2017 Tax Cuts and Jobs Act and post-2017 foreign earnings, which we may repatriate to the U.S. without additional material U.S. federal income taxes. These amounts are no longer considered indefinitely reinvested in our foreign subsidiaries. See Note 19 -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of the Notes to Consolidated Financial Statements for further information regarding our indefinite reinvestment assertion.</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Closure Initiatives </w:t>
      </w:r>
      <w:r>
        <w:rPr>
          <w:rFonts w:ascii="Arial" w:cs="Arial" w:eastAsia="Arial" w:hAnsi="Arial"/>
          <w:sz w:val="19"/>
          <w:szCs w:val="19"/>
          <w:color w:val="auto"/>
        </w:rPr>
        <w:t>- Total aggregate future undiscounted cash expenditures of $11.3 million to $13.8 million related to lease liabilities for</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closure initiatives are expected to occur over the remaining lease terms with the final term ending in January 2029.</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approximately $175 million to $190 million in 2020. The amount of</w:t>
      </w:r>
      <w:r>
        <w:rPr>
          <w:rFonts w:ascii="Arial" w:cs="Arial" w:eastAsia="Arial" w:hAnsi="Arial"/>
          <w:sz w:val="20"/>
          <w:szCs w:val="20"/>
          <w:i w:val="1"/>
          <w:iCs w:val="1"/>
          <w:color w:val="auto"/>
        </w:rPr>
        <w:t xml:space="preserve"> </w:t>
      </w:r>
      <w:r>
        <w:rPr>
          <w:rFonts w:ascii="Arial" w:cs="Arial" w:eastAsia="Arial" w:hAnsi="Arial"/>
          <w:sz w:val="20"/>
          <w:szCs w:val="20"/>
          <w:color w:val="auto"/>
        </w:rPr>
        <w:t>actual capital expenditures may be affected by general economic, financial, competitive, legislative and regulatory factors, among other things, including restrictions imposed by our borrowing arrangements.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Credit Facilities </w:t>
      </w:r>
      <w:r>
        <w:rPr>
          <w:rFonts w:ascii="Arial" w:cs="Arial" w:eastAsia="Arial" w:hAnsi="Arial"/>
          <w:sz w:val="19"/>
          <w:szCs w:val="19"/>
          <w:color w:val="auto"/>
        </w:rPr>
        <w:t>- As of December 29, 2019, we had $1.0 billion of outstanding borrowings under our Senior Secured Credit Facility. We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continue to evaluate whether we will make further payments of our outstanding debt ahead of scheduled maturities. See Note 13 - </w:t>
      </w:r>
      <w:r>
        <w:rPr>
          <w:rFonts w:ascii="Arial" w:cs="Arial" w:eastAsia="Arial" w:hAnsi="Arial"/>
          <w:sz w:val="19"/>
          <w:szCs w:val="19"/>
          <w:i w:val="1"/>
          <w:iCs w:val="1"/>
          <w:color w:val="auto"/>
        </w:rPr>
        <w:t>Long-term</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Debt, Net </w:t>
      </w:r>
      <w:r>
        <w:rPr>
          <w:rFonts w:ascii="Arial" w:cs="Arial" w:eastAsia="Arial" w:hAnsi="Arial"/>
          <w:sz w:val="19"/>
          <w:szCs w:val="19"/>
          <w:color w:val="auto"/>
        </w:rPr>
        <w:t>of the Notes to Consolidated Financial Statements for further information. Following is a summary of our outstanding credit facilities</w:t>
      </w:r>
      <w:r>
        <w:rPr>
          <w:rFonts w:ascii="Arial" w:cs="Arial" w:eastAsia="Arial" w:hAnsi="Arial"/>
          <w:sz w:val="19"/>
          <w:szCs w:val="19"/>
          <w:i w:val="1"/>
          <w:iCs w:val="1"/>
          <w:color w:val="auto"/>
        </w:rPr>
        <w:t xml:space="preserve"> </w:t>
      </w:r>
      <w:r>
        <w:rPr>
          <w:rFonts w:ascii="Arial" w:cs="Arial" w:eastAsia="Arial" w:hAnsi="Arial"/>
          <w:sz w:val="19"/>
          <w:szCs w:val="19"/>
          <w:color w:val="auto"/>
        </w:rPr>
        <w:t>as of the dates indicated and principal payments and debt issuance during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5"/>
          </w:tcPr>
          <w:p>
            <w:pPr>
              <w:ind w:left="280"/>
              <w:spacing w:after="0"/>
              <w:rPr>
                <w:sz w:val="20"/>
                <w:szCs w:val="20"/>
                <w:color w:val="auto"/>
              </w:rPr>
            </w:pPr>
            <w:r>
              <w:rPr>
                <w:rFonts w:ascii="Arial" w:cs="Arial" w:eastAsia="Arial" w:hAnsi="Arial"/>
                <w:sz w:val="14"/>
                <w:szCs w:val="14"/>
                <w:b w:val="1"/>
                <w:bCs w:val="1"/>
                <w:color w:val="auto"/>
              </w:rPr>
              <w:t>SENIOR SECURED CREDIT FACILITY</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28"/>
        </w:trPr>
        <w:tc>
          <w:tcPr>
            <w:tcW w:w="60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ind w:right="221"/>
              <w:spacing w:after="0"/>
              <w:rPr>
                <w:sz w:val="20"/>
                <w:szCs w:val="20"/>
                <w:color w:val="auto"/>
              </w:rPr>
            </w:pPr>
            <w:r>
              <w:rPr>
                <w:rFonts w:ascii="Arial" w:cs="Arial" w:eastAsia="Arial" w:hAnsi="Arial"/>
                <w:sz w:val="14"/>
                <w:szCs w:val="14"/>
                <w:b w:val="1"/>
                <w:bCs w:val="1"/>
                <w:color w:val="auto"/>
              </w:rPr>
              <w:t>TOTAL CREDIT</w:t>
            </w:r>
          </w:p>
        </w:tc>
      </w:tr>
      <w:tr>
        <w:trPr>
          <w:trHeight w:val="205"/>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 LOAN A</w:t>
            </w: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REVOLVING FACILITY</w:t>
            </w:r>
          </w:p>
        </w:tc>
        <w:tc>
          <w:tcPr>
            <w:tcW w:w="200" w:type="dxa"/>
            <w:vAlign w:val="bottom"/>
          </w:tcPr>
          <w:p>
            <w:pPr>
              <w:spacing w:after="0"/>
              <w:rPr>
                <w:sz w:val="17"/>
                <w:szCs w:val="17"/>
                <w:color w:val="auto"/>
              </w:rPr>
            </w:pPr>
          </w:p>
        </w:tc>
        <w:tc>
          <w:tcPr>
            <w:tcW w:w="1480" w:type="dxa"/>
            <w:vAlign w:val="bottom"/>
          </w:tcPr>
          <w:p>
            <w:pPr>
              <w:jc w:val="right"/>
              <w:ind w:right="361"/>
              <w:spacing w:after="0"/>
              <w:rPr>
                <w:sz w:val="20"/>
                <w:szCs w:val="20"/>
                <w:color w:val="auto"/>
              </w:rPr>
            </w:pPr>
            <w:r>
              <w:rPr>
                <w:rFonts w:ascii="Arial" w:cs="Arial" w:eastAsia="Arial" w:hAnsi="Arial"/>
                <w:sz w:val="14"/>
                <w:szCs w:val="14"/>
                <w:b w:val="1"/>
                <w:bCs w:val="1"/>
                <w:color w:val="auto"/>
              </w:rPr>
              <w:t>FACILITIES</w:t>
            </w:r>
          </w:p>
        </w:tc>
      </w:tr>
      <w:tr>
        <w:trPr>
          <w:trHeight w:val="237"/>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1,100,000</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2018 new debt</w:t>
            </w:r>
          </w:p>
        </w:tc>
        <w:tc>
          <w:tcPr>
            <w:tcW w:w="22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478,000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478,000</w:t>
            </w:r>
          </w:p>
        </w:tc>
      </w:tr>
      <w:tr>
        <w:trPr>
          <w:trHeight w:val="3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 payments</w:t>
            </w:r>
          </w:p>
        </w:tc>
        <w:tc>
          <w:tcPr>
            <w:tcW w:w="2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(478,500)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(503,500)</w:t>
            </w:r>
          </w:p>
        </w:tc>
      </w:tr>
      <w:tr>
        <w:trPr>
          <w:trHeight w:val="270"/>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as of December 30, 2018</w:t>
            </w:r>
          </w:p>
        </w:tc>
        <w:tc>
          <w:tcPr>
            <w:tcW w:w="2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475,000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599,500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1,074,500</w:t>
            </w:r>
          </w:p>
        </w:tc>
      </w:tr>
      <w:tr>
        <w:trPr>
          <w:trHeight w:val="23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2019 new debt</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670,800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670,800</w:t>
            </w:r>
          </w:p>
        </w:tc>
      </w:tr>
      <w:tr>
        <w:trPr>
          <w:trHeight w:val="270"/>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2019 payments</w:t>
            </w:r>
          </w:p>
        </w:tc>
        <w:tc>
          <w:tcPr>
            <w:tcW w:w="2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(25,000)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(671,300)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(696,300)</w:t>
            </w: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as of December 29, 2019 (1)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599,000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1,049,000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Weighted-average interest rate, as of December 29, 2019</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Principal maturity date</w:t>
            </w:r>
          </w:p>
        </w:tc>
        <w:tc>
          <w:tcPr>
            <w:tcW w:w="220" w:type="dxa"/>
            <w:vAlign w:val="bottom"/>
          </w:tcPr>
          <w:p>
            <w:pPr>
              <w:spacing w:after="0"/>
              <w:rPr>
                <w:sz w:val="20"/>
                <w:szCs w:val="20"/>
                <w:color w:val="auto"/>
              </w:rPr>
            </w:pPr>
          </w:p>
        </w:tc>
        <w:tc>
          <w:tcPr>
            <w:tcW w:w="1620" w:type="dxa"/>
            <w:vAlign w:val="bottom"/>
            <w:gridSpan w:val="2"/>
          </w:tcPr>
          <w:p>
            <w:pPr>
              <w:ind w:left="300"/>
              <w:spacing w:after="0"/>
              <w:rPr>
                <w:sz w:val="20"/>
                <w:szCs w:val="20"/>
                <w:color w:val="auto"/>
              </w:rPr>
            </w:pPr>
            <w:r>
              <w:rPr>
                <w:rFonts w:ascii="Arial" w:cs="Arial" w:eastAsia="Arial" w:hAnsi="Arial"/>
                <w:sz w:val="16"/>
                <w:szCs w:val="16"/>
                <w:color w:val="auto"/>
              </w:rPr>
              <w:t>November 2022</w:t>
            </w:r>
          </w:p>
        </w:tc>
        <w:tc>
          <w:tcPr>
            <w:tcW w:w="320" w:type="dxa"/>
            <w:vAlign w:val="bottom"/>
          </w:tcPr>
          <w:p>
            <w:pPr>
              <w:spacing w:after="0"/>
              <w:rPr>
                <w:sz w:val="20"/>
                <w:szCs w:val="20"/>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color w:val="auto"/>
              </w:rPr>
              <w:t>November 2022</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6"/>
        </w:trPr>
        <w:tc>
          <w:tcPr>
            <w:tcW w:w="6040" w:type="dxa"/>
            <w:vAlign w:val="bottom"/>
          </w:tcPr>
          <w:p>
            <w:pPr>
              <w:spacing w:after="0"/>
              <w:rPr>
                <w:sz w:val="20"/>
                <w:szCs w:val="20"/>
                <w:color w:val="auto"/>
              </w:rPr>
            </w:pPr>
            <w:r>
              <w:rPr>
                <w:rFonts w:ascii="Arial" w:cs="Arial" w:eastAsia="Arial" w:hAnsi="Arial"/>
                <w:sz w:val="16"/>
                <w:szCs w:val="16"/>
                <w:color w:val="auto"/>
              </w:rPr>
              <w:t>________________</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Subsequent to December 29, 2019, we made payments of $65.0 million, net of borrowings, on our revolving credit facility.</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Credit Agreement - </w:t>
      </w:r>
      <w:r>
        <w:rPr>
          <w:rFonts w:ascii="Arial" w:cs="Arial" w:eastAsia="Arial" w:hAnsi="Arial"/>
          <w:sz w:val="20"/>
          <w:szCs w:val="20"/>
          <w:color w:val="auto"/>
        </w:rPr>
        <w:t>On November 30, 2017, we and OSI, as co-borrowers, entered into a credit agreement (the “Credit Agreement”) with a</w:t>
      </w:r>
      <w:r>
        <w:rPr>
          <w:rFonts w:ascii="Arial" w:cs="Arial" w:eastAsia="Arial" w:hAnsi="Arial"/>
          <w:sz w:val="20"/>
          <w:szCs w:val="20"/>
          <w:i w:val="1"/>
          <w:iCs w:val="1"/>
          <w:color w:val="auto"/>
        </w:rPr>
        <w:t xml:space="preserve"> </w:t>
      </w:r>
      <w:r>
        <w:rPr>
          <w:rFonts w:ascii="Arial" w:cs="Arial" w:eastAsia="Arial" w:hAnsi="Arial"/>
          <w:sz w:val="20"/>
          <w:szCs w:val="20"/>
          <w:color w:val="auto"/>
        </w:rPr>
        <w:t>syndicate of institutional lenders, providing for senior secured financing of up to $1.5 billion, consisting of a $500.0 million Term loan A and a $1.0 billion revolving credit facility (the “Senior Secured Credit Facility”), including letter of credit and swing line loan sub-facilities. As of December 29, 2019, we had $380.8 million in available unused borrowing capacity under our revolving credit facility, net of letters of credit of $20.2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Credit Agreement contains mandatory prepayment requirements of 50% of our annual excess cash flow, as defined in the Credit Agreement. The amount outstanding required to be prepaid may vary based on our leverage ratio and year end results. Other than the required minimum amortization premiums of $25.0 million, we do not anticipate any other payments will be required through December 27, 2020.</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Debt Covenants </w:t>
      </w:r>
      <w:r>
        <w:rPr>
          <w:rFonts w:ascii="Arial" w:cs="Arial" w:eastAsia="Arial" w:hAnsi="Arial"/>
          <w:sz w:val="18"/>
          <w:szCs w:val="18"/>
          <w:color w:val="auto"/>
        </w:rPr>
        <w:t>- Our Credit Agreement contains various financial and non-financial covenants. A violation of these covenants could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negatively impact our liquidity by restricting our ability to borrow under the revolving credit facility and cause an acceleration of the amounts due under the credit facilities. See Note 13 - </w:t>
      </w:r>
      <w:r>
        <w:rPr>
          <w:rFonts w:ascii="Arial" w:cs="Arial" w:eastAsia="Arial" w:hAnsi="Arial"/>
          <w:sz w:val="18"/>
          <w:szCs w:val="18"/>
          <w:i w:val="1"/>
          <w:iCs w:val="1"/>
          <w:color w:val="auto"/>
        </w:rPr>
        <w:t>Long-term Debt, Net</w:t>
      </w:r>
      <w:r>
        <w:rPr>
          <w:rFonts w:ascii="Arial" w:cs="Arial" w:eastAsia="Arial" w:hAnsi="Arial"/>
          <w:sz w:val="18"/>
          <w:szCs w:val="18"/>
          <w:color w:val="auto"/>
        </w:rPr>
        <w:t xml:space="preserve"> of the Notes to Consolidated Financial Statements for further information.</w:t>
      </w:r>
    </w:p>
    <w:p>
      <w:pPr>
        <w:spacing w:after="0" w:line="152" w:lineRule="exact"/>
        <w:rPr>
          <w:sz w:val="20"/>
          <w:szCs w:val="20"/>
          <w:color w:val="auto"/>
        </w:rPr>
      </w:pPr>
    </w:p>
    <w:p>
      <w:pPr>
        <w:ind w:right="2240"/>
        <w:spacing w:after="0" w:line="287" w:lineRule="auto"/>
        <w:rPr>
          <w:sz w:val="20"/>
          <w:szCs w:val="20"/>
          <w:color w:val="auto"/>
        </w:rPr>
      </w:pPr>
      <w:r>
        <w:rPr>
          <w:rFonts w:ascii="Arial" w:cs="Arial" w:eastAsia="Arial" w:hAnsi="Arial"/>
          <w:sz w:val="19"/>
          <w:szCs w:val="19"/>
          <w:color w:val="auto"/>
        </w:rPr>
        <w:t>As of December 29, 2019 and December 30, 2018, we were in compliance with our debt covenants. We believe that we will remain in compliance with our debt covenants during the next 12 months and beyond.</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We have variable-to-fixed interest rate swap agreements with 12 counterparties to hedge a portion of</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the cash flows of our variable rate debt. The swap agreements have an aggregate notional amount of $550.0 million </w:t>
      </w:r>
      <w:r>
        <w:rPr>
          <w:rFonts w:ascii="Arial" w:cs="Arial" w:eastAsia="Arial" w:hAnsi="Arial"/>
          <w:sz w:val="20"/>
          <w:szCs w:val="20"/>
          <w:color w:val="000000"/>
        </w:rPr>
        <w:t>and mature on</w:t>
      </w:r>
      <w:r>
        <w:rPr>
          <w:rFonts w:ascii="Arial" w:cs="Arial" w:eastAsia="Arial" w:hAnsi="Arial"/>
          <w:sz w:val="20"/>
          <w:szCs w:val="20"/>
          <w:color w:val="252525"/>
        </w:rPr>
        <w:t xml:space="preserve"> </w:t>
      </w:r>
      <w:r>
        <w:rPr>
          <w:rFonts w:ascii="Arial" w:cs="Arial" w:eastAsia="Arial" w:hAnsi="Arial"/>
          <w:sz w:val="20"/>
          <w:szCs w:val="20"/>
          <w:color w:val="000000"/>
        </w:rPr>
        <w:t xml:space="preserve">November 30, 2022. We pay a weighted-average fixed rate of 3.04% on the notional amount and receive payments from the counterparties based on the one-month LIBOR rate. See Note 16 - </w:t>
      </w:r>
      <w:r>
        <w:rPr>
          <w:rFonts w:ascii="Arial" w:cs="Arial" w:eastAsia="Arial" w:hAnsi="Arial"/>
          <w:sz w:val="20"/>
          <w:szCs w:val="20"/>
          <w:i w:val="1"/>
          <w:iCs w:val="1"/>
          <w:color w:val="000000"/>
        </w:rPr>
        <w:t>Derivative Instruments and Hedging Activities</w:t>
      </w:r>
      <w:r>
        <w:rPr>
          <w:rFonts w:ascii="Arial" w:cs="Arial" w:eastAsia="Arial" w:hAnsi="Arial"/>
          <w:sz w:val="20"/>
          <w:szCs w:val="20"/>
          <w:color w:val="000000"/>
        </w:rPr>
        <w:t xml:space="preserve"> of the Notes to Consolidated Financial Statements for further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 summary of our cash flows provided by (used in) operating, investing and financing activities for the periods indicated: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financing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decrease in cash, cash equivalents and restricted cash</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01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r>
      <w:tr>
        <w:trPr>
          <w:trHeight w:val="224"/>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317,603</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288,074</w:t>
            </w:r>
          </w:p>
        </w:tc>
      </w:tr>
      <w:tr>
        <w:trPr>
          <w:trHeight w:val="270"/>
        </w:trPr>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(131,291)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(177,296)</w:t>
            </w:r>
          </w:p>
        </w:tc>
      </w:tr>
      <w:tr>
        <w:trPr>
          <w:trHeight w:val="270"/>
        </w:trPr>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(189,359)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(164,352)</w:t>
            </w:r>
          </w:p>
        </w:tc>
      </w:tr>
      <w:tr>
        <w:trPr>
          <w:trHeight w:val="257"/>
        </w:trPr>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(4,146)</w:t>
            </w:r>
          </w:p>
        </w:tc>
      </w:tr>
      <w:tr>
        <w:trPr>
          <w:trHeight w:val="40"/>
        </w:trPr>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4"/>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(4,678)</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(57,720)</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22" w:right="239" w:bottom="1440" w:gutter="0" w:footer="0" w:header="0"/>
          <w:type w:val="continuous"/>
        </w:sectPr>
      </w:pPr>
    </w:p>
    <w:p>
      <w:pPr>
        <w:spacing w:after="0" w:line="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Operating activities - </w:t>
      </w:r>
      <w:r>
        <w:rPr>
          <w:rFonts w:ascii="Arial" w:cs="Arial" w:eastAsia="Arial" w:hAnsi="Arial"/>
          <w:sz w:val="20"/>
          <w:szCs w:val="20"/>
          <w:color w:val="auto"/>
        </w:rPr>
        <w:t>Net cash provided by operating activities increased during 2019 as compared to 2018 primarily due to: (i) the timing of</w:t>
      </w:r>
      <w:r>
        <w:rPr>
          <w:rFonts w:ascii="Arial" w:cs="Arial" w:eastAsia="Arial" w:hAnsi="Arial"/>
          <w:sz w:val="20"/>
          <w:szCs w:val="20"/>
          <w:i w:val="1"/>
          <w:iCs w:val="1"/>
          <w:color w:val="auto"/>
        </w:rPr>
        <w:t xml:space="preserve"> </w:t>
      </w:r>
      <w:r>
        <w:rPr>
          <w:rFonts w:ascii="Arial" w:cs="Arial" w:eastAsia="Arial" w:hAnsi="Arial"/>
          <w:sz w:val="20"/>
          <w:szCs w:val="20"/>
          <w:color w:val="auto"/>
        </w:rPr>
        <w:t>collections of receivables, (ii) the timing of payments and (iii) lower purchases of inventory. Net cash provided by operating activities was partially offset by higher income tax and interest payments.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Investing activities - </w:t>
      </w:r>
      <w:r>
        <w:rPr>
          <w:rFonts w:ascii="Arial" w:cs="Arial" w:eastAsia="Arial" w:hAnsi="Arial"/>
          <w:sz w:val="20"/>
          <w:szCs w:val="20"/>
          <w:color w:val="auto"/>
        </w:rPr>
        <w:t>Net cash used in investing activities during 2019 primarily consisted of capital expenditures, partially offset by proceeds</w:t>
      </w:r>
      <w:r>
        <w:rPr>
          <w:rFonts w:ascii="Arial" w:cs="Arial" w:eastAsia="Arial" w:hAnsi="Arial"/>
          <w:sz w:val="20"/>
          <w:szCs w:val="20"/>
          <w:i w:val="1"/>
          <w:iCs w:val="1"/>
          <w:color w:val="auto"/>
        </w:rPr>
        <w:t xml:space="preserve"> </w:t>
      </w:r>
      <w:r>
        <w:rPr>
          <w:rFonts w:ascii="Arial" w:cs="Arial" w:eastAsia="Arial" w:hAnsi="Arial"/>
          <w:sz w:val="20"/>
          <w:szCs w:val="20"/>
          <w:color w:val="auto"/>
        </w:rPr>
        <w:t>from the disposal of property, fixtures and equipment and proceeds from sale-leaseback transactions.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cash used in investing activities during 2018 primarily consisted of capital expenditures, partially offset by proceeds from sale-leaseback transactions and proceeds from the disposal of property, fixtures and equipment.</w:t>
      </w:r>
    </w:p>
    <w:p>
      <w:pPr>
        <w:spacing w:after="0" w:line="19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Financing activities - </w:t>
      </w:r>
      <w:r>
        <w:rPr>
          <w:rFonts w:ascii="Arial" w:cs="Arial" w:eastAsia="Arial" w:hAnsi="Arial"/>
          <w:sz w:val="18"/>
          <w:szCs w:val="18"/>
          <w:color w:val="auto"/>
        </w:rPr>
        <w:t>Net cash used in financing activities during 2019 primarily consisted of the following: (i) the repurchase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(ii) payment of cash dividends on our common stock, (iii) the net repayment of long-term debt and (iv) partner equity plan payments.</w:t>
      </w:r>
    </w:p>
    <w:p>
      <w:pPr>
        <w:spacing w:after="0" w:line="14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Net cash used in financing activities during 2018 primarily consisted of the following: (i) the repurchase of common stock, (ii) payment of cash dividends on our common stock, (iii) the net repayment of long-term debt and (iv) partner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equity plan payments. Net cash used in financing activities was partially offset by net proceeds from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 (deficit) as of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400" w:type="dxa"/>
            <w:vAlign w:val="bottom"/>
          </w:tcPr>
          <w:p>
            <w:pPr>
              <w:jc w:val="right"/>
              <w:ind w:right="203"/>
              <w:spacing w:after="0"/>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340,468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335,483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962,021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791,039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Working capital (deficit)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(455,556)</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jc w:val="right"/>
              <w:ind w:right="6661"/>
              <w:spacing w:after="0"/>
              <w:rPr>
                <w:sz w:val="20"/>
                <w:szCs w:val="20"/>
                <w:color w:val="auto"/>
              </w:rPr>
            </w:pPr>
            <w:r>
              <w:rPr>
                <w:rFonts w:ascii="Arial" w:cs="Arial" w:eastAsia="Arial" w:hAnsi="Arial"/>
                <w:sz w:val="16"/>
                <w:szCs w:val="16"/>
                <w:color w:val="auto"/>
                <w:w w:val="89"/>
              </w:rPr>
              <w:t>_________________</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fiscal year 2019, net working capital (deficit) was negatively impacted by the recognition of approximately $170 million of current lease liabilities as a result of the adoption of the new lease accounting standard.</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Working capital (deficit) includes: (i) Unearned revenue primarily from unredeemed gift cards of $369.3 million and $342.7 million as of December 29, 2019 and December 30, 2018, respectively and (ii) current operating lease liabilities of $171.9 million as of December 29, 2019, with the corresponding operating right-of-use assets recorded as non-current on our Consolidated Balance Sheet.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used to service debt obligations and make capital expenditures.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Deferred Compensation Programs - </w:t>
      </w:r>
      <w:r>
        <w:rPr>
          <w:rFonts w:ascii="Arial" w:cs="Arial" w:eastAsia="Arial" w:hAnsi="Arial"/>
          <w:sz w:val="18"/>
          <w:szCs w:val="18"/>
          <w:color w:val="auto"/>
        </w:rPr>
        <w:t>Certain Restaurant Managing Partners and Chef Partners in the U.S. (“U.S. Partners”)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programs that are subject to the rules of Section 409A of the Internal Revenue Code. The deferred compensation obligation due under these plans was $49.0 million and $69.6 million as of December 29, 2019 and December 30, 2018, respectively. We invest in various corporate-owned life insurance policies, which are held within an irrevocable grantor or “rabbi” trust account for settlement of our obligations under these deferred compensation plans. The rabbi trust is funded through our voluntary contributions. The unfunded obligation was $9.1 million and $26.3 million as of December 29, 2019 and December 30, 2018, respectively.</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use working capital to fund the deferred compensation plans and currently expect annual cash funding of $9.0 million to $11.0 million in 2020.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Other Compensation Programs </w:t>
      </w:r>
      <w:r>
        <w:rPr>
          <w:rFonts w:ascii="Arial" w:cs="Arial" w:eastAsia="Arial" w:hAnsi="Arial"/>
          <w:sz w:val="20"/>
          <w:szCs w:val="20"/>
          <w:color w:val="auto"/>
        </w:rPr>
        <w:t>- Certain U.S. Partners participate in a non-qualified long-term compensation program that we fund as the</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 for each participant becomes due.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w:t>
      </w:r>
      <w:r>
        <w:rPr>
          <w:rFonts w:ascii="Arial" w:cs="Arial" w:eastAsia="Arial" w:hAnsi="Arial"/>
          <w:sz w:val="20"/>
          <w:szCs w:val="20"/>
          <w:color w:val="auto"/>
        </w:rPr>
        <w:t>- In 2019 and 2018, we declared and paid quarterly cash dividends of $0.10 and $0.09 per share, respectively.</w:t>
      </w:r>
    </w:p>
    <w:p>
      <w:pPr>
        <w:spacing w:after="0" w:line="22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 February 2020, our Board declared a quarterly cash dividend of $0.20 per share, payable on March 13, 2020. Future dividend payments are dependent on our earnings, financial condition, capital expenditure requirements, surplus and other factors that our Board considers relevant.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Share Repurchases </w:t>
      </w:r>
      <w:r>
        <w:rPr>
          <w:rFonts w:ascii="Arial" w:cs="Arial" w:eastAsia="Arial" w:hAnsi="Arial"/>
          <w:sz w:val="19"/>
          <w:szCs w:val="19"/>
          <w:color w:val="auto"/>
        </w:rPr>
        <w:t>- Following is a summary of our share repurchase programs as of December 29, 2019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 REPURCHASE</w:t>
            </w: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BOARD APPROVAL</w:t>
            </w:r>
          </w:p>
        </w:tc>
        <w:tc>
          <w:tcPr>
            <w:tcW w:w="240" w:type="dxa"/>
            <w:vAlign w:val="bottom"/>
          </w:tcPr>
          <w:p>
            <w:pPr>
              <w:spacing w:after="0"/>
              <w:rPr>
                <w:sz w:val="14"/>
                <w:szCs w:val="14"/>
                <w:color w:val="auto"/>
              </w:rPr>
            </w:pPr>
          </w:p>
        </w:tc>
        <w:tc>
          <w:tcPr>
            <w:tcW w:w="15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AUTHORIZED</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REPURCHASED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CANCELED</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205"/>
        </w:trPr>
        <w:tc>
          <w:tcPr>
            <w:tcW w:w="23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PROGRAM</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12, 2014</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August 3, 2015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69,999</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30,001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12, 2016</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139,892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July 2016</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26, 2016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247,731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52,269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April 21, 2017</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195,000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16, 2018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113,967</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36,033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February 12, 2019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106,992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43,008</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tcBorders>
            <w:gridSpan w:val="2"/>
          </w:tcPr>
          <w:p>
            <w:pPr>
              <w:ind w:left="40"/>
              <w:spacing w:after="0"/>
              <w:rPr>
                <w:sz w:val="20"/>
                <w:szCs w:val="20"/>
                <w:color w:val="auto"/>
              </w:rPr>
            </w:pPr>
            <w:r>
              <w:rPr>
                <w:rFonts w:ascii="Arial" w:cs="Arial" w:eastAsia="Arial" w:hAnsi="Arial"/>
                <w:sz w:val="16"/>
                <w:szCs w:val="16"/>
                <w:color w:val="auto"/>
                <w:w w:val="99"/>
              </w:rPr>
              <w:t>Total share repurchase programs</w:t>
            </w:r>
          </w:p>
        </w:tc>
        <w:tc>
          <w:tcPr>
            <w:tcW w:w="17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5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973,581</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our dividends and share repurchases for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SHARE REPURCHASES</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460" w:type="dxa"/>
            <w:vAlign w:val="bottom"/>
          </w:tcPr>
          <w:p>
            <w:pPr>
              <w:spacing w:after="0"/>
              <w:rPr>
                <w:sz w:val="17"/>
                <w:szCs w:val="17"/>
                <w:color w:val="auto"/>
              </w:rPr>
            </w:pPr>
          </w:p>
        </w:tc>
        <w:tc>
          <w:tcPr>
            <w:tcW w:w="1340" w:type="dxa"/>
            <w:vAlign w:val="bottom"/>
          </w:tcPr>
          <w:p>
            <w:pPr>
              <w:jc w:val="right"/>
              <w:ind w:right="74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2019</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35,734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106,992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142,726</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Fiscal year 2018</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33,312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113,967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147,279</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2017</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272,736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303,724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Fiscal year 2016</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31,379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309,887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341,266</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2015</w:t>
            </w:r>
          </w:p>
        </w:tc>
        <w:tc>
          <w:tcPr>
            <w:tcW w:w="2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29,332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169,999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199,331</w:t>
            </w:r>
          </w:p>
        </w:tc>
        <w:tc>
          <w:tcPr>
            <w:tcW w:w="0" w:type="dxa"/>
            <w:vAlign w:val="bottom"/>
          </w:tcPr>
          <w:p>
            <w:pPr>
              <w:spacing w:after="0"/>
              <w:rPr>
                <w:sz w:val="1"/>
                <w:szCs w:val="1"/>
                <w:color w:val="auto"/>
              </w:rPr>
            </w:pPr>
          </w:p>
        </w:tc>
      </w:tr>
      <w:tr>
        <w:trPr>
          <w:trHeight w:val="250"/>
        </w:trPr>
        <w:tc>
          <w:tcPr>
            <w:tcW w:w="57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160,745</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973,581</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1,134,326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Excludes share repurchases for the settlement of taxes related to equity awards of $180, $447 and $770 for fiscal years 2017, 2016 and 2015, respectively.</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ability to pay dividends and make share repurchases is dependent on our ability to obtain funds from our subsidiaries, have access to our revolving credit facility and the existence of surplus. Based on our Credit Agreement, restricted dividend payments can be made on an unlimited basis provided we are compliant with our debt covenants.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OTHER MATERIAL COMMITMENTS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Our operating lease obligations, debt obligations, contractual obligations and commitments as of December 29, 2019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PAYMENTS DUE BY PERIOD</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2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22"/>
                <w:szCs w:val="22"/>
                <w:color w:val="auto"/>
              </w:rPr>
            </w:pPr>
          </w:p>
        </w:tc>
        <w:tc>
          <w:tcPr>
            <w:tcW w:w="1020" w:type="dxa"/>
            <w:vAlign w:val="bottom"/>
          </w:tcPr>
          <w:p>
            <w:pPr>
              <w:jc w:val="right"/>
              <w:ind w:right="461"/>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441"/>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76"/>
        </w:trPr>
        <w:tc>
          <w:tcPr>
            <w:tcW w:w="468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23"/>
                <w:szCs w:val="23"/>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23"/>
                <w:szCs w:val="23"/>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23"/>
                <w:szCs w:val="23"/>
                <w:color w:val="auto"/>
              </w:rPr>
            </w:pPr>
          </w:p>
        </w:tc>
        <w:tc>
          <w:tcPr>
            <w:tcW w:w="1100" w:type="dxa"/>
            <w:vAlign w:val="bottom"/>
          </w:tcPr>
          <w:p>
            <w:pPr>
              <w:jc w:val="right"/>
              <w:ind w:right="241"/>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Recorded Contractual Obligations</w:t>
            </w: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40" w:type="dxa"/>
            <w:vAlign w:val="bottom"/>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Operating leases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2,643,642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179,168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381,854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364,911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1,717,709</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Long-term debt (2)</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1,048,891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1,022,429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Deferred compensation and other partner obligations (3)</w:t>
            </w:r>
          </w:p>
        </w:tc>
        <w:tc>
          <w:tcPr>
            <w:tcW w:w="2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70,270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22,440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30,201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9,466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8,163</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recorded contractual obligations (4)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23,640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12,851</w:t>
            </w:r>
          </w:p>
        </w:tc>
        <w:tc>
          <w:tcPr>
            <w:tcW w:w="0" w:type="dxa"/>
            <w:vAlign w:val="bottom"/>
          </w:tcPr>
          <w:p>
            <w:pPr>
              <w:spacing w:after="0"/>
              <w:rPr>
                <w:sz w:val="1"/>
                <w:szCs w:val="1"/>
                <w:color w:val="auto"/>
              </w:rPr>
            </w:pPr>
          </w:p>
        </w:tc>
      </w:tr>
      <w:tr>
        <w:trPr>
          <w:trHeight w:val="237"/>
        </w:trPr>
        <w:tc>
          <w:tcPr>
            <w:tcW w:w="4680" w:type="dxa"/>
            <w:vAlign w:val="bottom"/>
            <w:gridSpan w:val="2"/>
          </w:tcPr>
          <w:p>
            <w:pPr>
              <w:ind w:left="40"/>
              <w:spacing w:after="0"/>
              <w:rPr>
                <w:sz w:val="20"/>
                <w:szCs w:val="20"/>
                <w:color w:val="auto"/>
              </w:rPr>
            </w:pPr>
            <w:r>
              <w:rPr>
                <w:rFonts w:ascii="Arial" w:cs="Arial" w:eastAsia="Arial" w:hAnsi="Arial"/>
                <w:sz w:val="16"/>
                <w:szCs w:val="16"/>
                <w:b w:val="1"/>
                <w:bCs w:val="1"/>
                <w:color w:val="auto"/>
              </w:rPr>
              <w:t>Unrecorded Contractual Obligations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(5)</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128,150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44,764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Purchase obligations (6)</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312,033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217,668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55,858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35,540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2,967</w:t>
            </w:r>
          </w:p>
        </w:tc>
        <w:tc>
          <w:tcPr>
            <w:tcW w:w="0" w:type="dxa"/>
            <w:vAlign w:val="bottom"/>
          </w:tcPr>
          <w:p>
            <w:pPr>
              <w:spacing w:after="0"/>
              <w:rPr>
                <w:sz w:val="1"/>
                <w:szCs w:val="1"/>
                <w:color w:val="auto"/>
              </w:rPr>
            </w:pPr>
          </w:p>
        </w:tc>
      </w:tr>
      <w:tr>
        <w:trPr>
          <w:trHeight w:val="255"/>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shd w:val="clear" w:color="auto" w:fill="CCEEFF"/>
              </w:rPr>
              <w:t>Total contractual obligations</w:t>
            </w:r>
          </w:p>
        </w:tc>
        <w:tc>
          <w:tcPr>
            <w:tcW w:w="2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4,226,626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495,061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1,577,995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411,880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1,741,690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Amounts represent undiscounted future minimum rental commitments under non-cancelable operating leases. Includes $1.0 billion related to lease renewal options that are reasonably certain of exercise.</w:t>
      </w: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finance lease obligations. Amount is net of unamortized debt issuance costs and discount of $2.7 million.</w:t>
      </w:r>
    </w:p>
    <w:p>
      <w:pPr>
        <w:spacing w:after="0" w:line="5"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deferred compensation obligations, deposits and other accrued obligations due to our restaurant partners. Timing and amounts of payments may vary significantly based on employee turnover, return of deposits and changes to buyout values.</w:t>
      </w:r>
    </w:p>
    <w:p>
      <w:pPr>
        <w:ind w:left="66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other long-term liabilities, primarily consisting of non-partner deferred compensation obligations. Unrecognized tax benefits are excluded from this table since it is not possible to estimate when these future payments will occur.</w:t>
      </w:r>
    </w:p>
    <w:p>
      <w:pPr>
        <w:ind w:left="66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Projected future interest payments on long-term debt are based on interest rates in effect as of December 29, 2019 and assume only scheduled principal payments. Estimated interest expense includes the impact of our variable-to-fixed interest rate swap agreements.</w:t>
      </w:r>
    </w:p>
    <w:p>
      <w:pPr>
        <w:jc w:val="both"/>
        <w:ind w:left="660" w:hanging="652"/>
        <w:spacing w:after="0" w:line="25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Purchase obligations include agreements to purchase goods or services that are enforceable, legally binding and specify all significant terms, including fixed or minimum quantities to be purchased; fixed, minimum or variable price provisions; and the approximate timing of the transaction. We have purchase obligations with various vendors that consist primarily of inventory, advertising, restaurant-level service contracts and technology.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The preparation of these accompanying consolidated financial statements requires us to make estimates and judgments that affect the reported amounts of assets, liabilities, revenues and expenses, and related disclosure of contingent assets and liabilities during the reporting period.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consider an accounting estimate to be critical if it requires assumptions to be made and changes in these assumptions could have a material impact on our consolidated financial condition or results of operations.</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Impairment or Disposal of Long-Lived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value may not be recoverable. The evaluation is performed at the lowest level of identifiable cash flows independent of other assets. For long-lived assets deployed at our restaurants, we review for impairment at the individual restaurant level.</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When evaluating for impairment, the total future undiscounted cash flows expected to be generated by the assets are compared to the carrying amount. If the total future undiscounted cash flows expected to be generated by the assets are less than the carrying amount, this may be an indicator of impairment. An impairment loss is recognized in earnings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when the asset’s carrying value exceeds its estimated fair value. Fair value is generally estimated using a discounted cash flow model. The key estimates and assumptions used in this model are future cash flow estimates, with material changes generally driven by changes in expected use, and the discount rate.</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Goodwill and Indefinite-Lived Intangible Assets - </w:t>
      </w:r>
      <w:r>
        <w:rPr>
          <w:rFonts w:ascii="Arial" w:cs="Arial" w:eastAsia="Arial" w:hAnsi="Arial"/>
          <w:sz w:val="19"/>
          <w:szCs w:val="19"/>
          <w:color w:val="auto"/>
        </w:rPr>
        <w:t>Goodwill and indefinite-lived intangible assets are tested for impairment annually in the</w:t>
      </w:r>
      <w:r>
        <w:rPr>
          <w:rFonts w:ascii="Arial" w:cs="Arial" w:eastAsia="Arial" w:hAnsi="Arial"/>
          <w:sz w:val="19"/>
          <w:szCs w:val="19"/>
          <w:i w:val="1"/>
          <w:iCs w:val="1"/>
          <w:color w:val="auto"/>
        </w:rPr>
        <w:t xml:space="preserve"> </w:t>
      </w:r>
      <w:r>
        <w:rPr>
          <w:rFonts w:ascii="Arial" w:cs="Arial" w:eastAsia="Arial" w:hAnsi="Arial"/>
          <w:sz w:val="19"/>
          <w:szCs w:val="19"/>
          <w:color w:val="auto"/>
        </w:rPr>
        <w:t>second fiscal quarter, or whenever events or changes in circumstances indicate that the carrying amount may not be recoverable.</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may elect to perform a qualitative assessment to determine whether it is more likely than not that a reporting unit is impaired. In considering the qualitative approach, we evaluate factors including, but not limited to, macro-economic conditions, market and industry conditions, commodity cost fluctuations, competitive environment, share price performance, results of prior impairment tests, operational stability and the overall financial performance of the reporting units.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If the qualitative assessment is not performed or if we determine that it is not more likely than not that the fair value of the reporting unit exceeds the carrying value, the fair value of the reporting unit is calculated. Fair value of a reporting unit is the price a willing buyer would pay for the reporting unit and is estimated by utilizing a weighted average of the income approach, using a discounted cash flow model, and the market approach including the guideline public company method and guideline transaction method. The key estimates and assumptions used in these models are future cash flow estimates, which are heavily influenced by revenue growth rates, operating margins and capital expenditures. The fair value of the trade name is determined through a relief from royalty method.</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carrying value of the reporting unit is compared to its estimated fair value, with any excess of carrying value over fair value deemed to be an indicator of impairment.</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carrying value of goodwill as of December 29, 2019 was $288.4 million, which related to our U.S. and international reporting units. We performed our annual impairment test in the second quarter of 2019 by utilizing the qualitative approach and determined that there were no events or circumstances to indicate that it was more likely than not that the fair value of our reporting units was less than their carrying values.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Sales declines at our restaurants, unplanned increases in commodity or labor costs, deterioration in overall economic conditions and challenges in the restaurant industry may result in future impairment charges. It is possible that changes in circumstances or changes in our judgments, assumptions and estimates could result in an impairment charge of a portion or all of our goodwill or other intangible assets.</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Leases - </w:t>
      </w:r>
      <w:r>
        <w:rPr>
          <w:rFonts w:ascii="Arial" w:cs="Arial" w:eastAsia="Arial" w:hAnsi="Arial"/>
          <w:sz w:val="20"/>
          <w:szCs w:val="20"/>
          <w:color w:val="auto"/>
        </w:rPr>
        <w:t>On December 31, 2018, we adopted Accounting Standards Update (“ASU”) No. 2016-02: Leases (Topic 842) (“ASU No. 2016-02”)</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its applicable amendments (the “new lease standard”), as described in detail within Note 2 -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xml:space="preserve"> of the Notes to Consolidated Financial Statements. Upon adoption, we recognized right-of-use assets of $1.3 billion and corresponding lease liabilities of $1.5 billion.</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use judgment to determine the reasonably certain lease term, which in turn, impacts the applicable incremental borrowing rate (“IBR”) used to calculate the initial lease liability for each portfolio of leases. We determined the present value of the lease liabilities by using a country specific IBR and applying a single rate to the respective portfolio of leases based on term, regardless of the underlying asset type.</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reasonably certain lease term used in the evaluation of existing leases at transition and new leases after adoption of the new lease standard includes renewal option periods only in instances in which the exercise of the renewal option is reasonably certain because failure to exercise such an option would result in an economic penalty. Such an economic penalty would typically result from having to abandon a building or equipment with remaining economic value upon vacating a property.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use our estimated IBR, which is derived from information available at the lease commencement date, in determining the present value of lease payments. We give consideration to market data as well as publicly available data for instruments with similar characteristics when calculating our IBR.</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At the inception of each lease, we evaluate the property and the lease to determine whether the lease is an operating lease or a financing lease. This lease accounting evaluation may require significant judgment in determining the fair value and useful life of the leased property and the appropriate reasonably certain lease term. These judgments may produce materially different amounts of rent expense in a given reporting period than would be reported if different assumed lease terms were used.</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Insurance Reserves - </w:t>
      </w:r>
      <w:r>
        <w:rPr>
          <w:rFonts w:ascii="Arial" w:cs="Arial" w:eastAsia="Arial" w:hAnsi="Arial"/>
          <w:sz w:val="20"/>
          <w:szCs w:val="20"/>
          <w:color w:val="auto"/>
        </w:rPr>
        <w:t>We carry insurance programs with specific retention levels or high per-claim deductibles for a significant portion of</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losses under our workers’ compensation, general or liquor liability, health, property and management liability insurance programs. For some programs, we maintain stop-loss coverage to limit the exposure relating to certain risks.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record a liability for all unresolved claims and for an estimate of incurred but not reported claims at the anticipated cost that falls below our specified retention levels or per-claim deductible amounts. Our liability for insurance claims was $54.3 million and $55.8 million as of December 29, 2019 and December 30, 2018, respectively. In establishing our reserves, we consider certain actuarial assumptions and judgments regarding economic conditions, the frequency and severity of claims and claim development history and settlement practices. Reserves recorded for workers’ compensation and general or liquor liability claims are discounted using the average of the one-year and five-year risk-free rate of monetary assets that have comparable maturities.</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actual results are not consistent with our estimates or assumptions, we may be exposed to losses or gains that could be material. A 50 basis point change in the discount rate in our insurance claim liabilities as of December 29, 2019, would have affected net earnings by $0.8 million in 2019.</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Stock-Based Compensation - </w:t>
      </w:r>
      <w:r>
        <w:rPr>
          <w:rFonts w:ascii="Arial" w:cs="Arial" w:eastAsia="Arial" w:hAnsi="Arial"/>
          <w:sz w:val="20"/>
          <w:szCs w:val="20"/>
          <w:color w:val="auto"/>
        </w:rPr>
        <w:t>We have a stock-based compensation plan that permits the grant of stock options, stock appreciation rights,</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restricted stock units, performance awards and other stock-based awards to our management and other key employees. We account for our stock-based employee compensation using a fair value-based method of accounting.</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use the Black-Scholes option pricing model to estimate the weighted-average grant date fair value of stock options granted. Expected volatility is based on historical volatility of our stock. The expected term of options granted represents the period of time that options granted are expected to be outstanding. Expected term is estimated based on historical exercise experience of our stock options. Dividend yield is the level of dividends expected to be paid on our common stock over the expected term of our options. The risk-free rate for periods within the expected life of the option is based on the U.S. Treasury yield curve in effect as of the grant date. Forfeitures of share-based compensation awards are recognized as they occur.</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Estimates and assumptions are based upon information currently available, including historical experience and current business and economic conditions. A simultaneous 10% change in our volatility, forfeiture rate, weighted-average risk-free interest rate, dividend rate and term of grant in our stock option pricing model for 2019 would not have a material effect on net income.</w:t>
      </w:r>
    </w:p>
    <w:p>
      <w:pPr>
        <w:spacing w:after="0" w:line="20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Our performance-based share units (“PSUs”) require assumptions regarding the likelihood of achieving certain Company performance criteria set forth in the award agreements. Assumptions used in our assessment are consistent with our internal forecasts and operating plans</w:t>
      </w:r>
      <w:r>
        <w:rPr>
          <w:rFonts w:ascii="Arial" w:cs="Arial" w:eastAsia="Arial" w:hAnsi="Arial"/>
          <w:sz w:val="16"/>
          <w:szCs w:val="16"/>
          <w:i w:val="1"/>
          <w:iCs w:val="1"/>
          <w:color w:val="auto"/>
        </w:rPr>
        <w:t>.</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we assumed that the PSU performance conditions for stock-based awards were not met, stock-based compensation expense would have decreased by $10.5 million for 2019, including reversal of expense recorded in prior years. If we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assumed that all granted PSU share awards met or will meet their maximum threshold, expense would have increased by $1.7 million for 2019.</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i w:val="1"/>
          <w:iCs w:val="1"/>
          <w:color w:val="auto"/>
        </w:rPr>
        <w:t xml:space="preserve">Income Taxes - </w:t>
      </w:r>
      <w:r>
        <w:rPr>
          <w:rFonts w:ascii="Arial" w:cs="Arial" w:eastAsia="Arial" w:hAnsi="Arial"/>
          <w:sz w:val="19"/>
          <w:szCs w:val="19"/>
          <w:color w:val="auto"/>
        </w:rPr>
        <w:t>Deferred tax assets and liabilities are recognized based on the differences between the financial statement carrying amounts of</w:t>
      </w:r>
      <w:r>
        <w:rPr>
          <w:rFonts w:ascii="Arial" w:cs="Arial" w:eastAsia="Arial" w:hAnsi="Arial"/>
          <w:sz w:val="19"/>
          <w:szCs w:val="19"/>
          <w:i w:val="1"/>
          <w:iCs w:val="1"/>
          <w:color w:val="auto"/>
        </w:rPr>
        <w:t xml:space="preserve"> </w:t>
      </w:r>
      <w:r>
        <w:rPr>
          <w:rFonts w:ascii="Arial" w:cs="Arial" w:eastAsia="Arial" w:hAnsi="Arial"/>
          <w:sz w:val="19"/>
          <w:szCs w:val="19"/>
          <w:color w:val="auto"/>
        </w:rPr>
        <w:t>assets and liabilities and their respective tax basis. Deferred tax assets and liabilities are measured using the tax rates, based on certain judgments regarding enacted tax laws and published guidance, in effect in the years in which we expect those temporary differences to reverse. As of December 29, 2019, tax loss carryforwards and credit carryforwards that do not have a valuation allowance are expected to be recoverable within the applicable statutory expiration periods. We currently expect to utilize general business tax credit carryforwards within a four to six year period. However, our ability to utilize these tax credits could be adversely impacted by, among other items, a future “ownership change” as defined under Section 382 of the Internal Revenue Code. A valuation allowance is established against the deferred tax assets when it is more likely than not that some portion or all of the deferred taxes may not be realized. Changes in assumptions regarding our level and composition of earnings, tax laws or the deferred tax valuation allowance and the results of tax audits, may materially impact the effective income tax rate.</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income tax returns, like those of most companies, are periodically audited by U.S. and foreign tax authorities. In determining taxable income, income or loss before taxes is adjusted for differences between local tax laws and generally accepted accounting principles. A tax benefit from an uncertain position is recognized only if it is more likely than not that the position is sustainable based on its technical merits. For uncertain tax positions that do not meet this threshold, we recognize a liability. The liability for unrecognized tax benefits requires significant management judgment regarding exposures about our various tax positions. These assumptions and probabilities are reviewed and updated based upon new information. An unfavorable tax settlement generally requires the use of cash and an increase in the amount of income tax expense we recognize.</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We sell gift cards to customers in our restaurants, through our websites and through select third parties. A liability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initially established for the value of the gift card when sold. We recognize revenue from gift cards when the card is redeemed by the customer. There is uncertainty when calculating gift card breakage, the amount of gift cards which will not be redeemed, because management is required to make assumptions and to apply judgment regarding the effects of future events. We recognize gift card breakage revenue using estimates based on historical redemption patterns. If actual redemptions vary from the estimated breakage, gift card breakage revenue may differ from the amount recorded. We periodically update our estimates used for breakage and apply that rate to gift card redemptions. A change in our breakage rate estimates by 50 basis points would have resulted in an adjustment in our breakage revenue of $2.0 million for 2019.</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For a description of recently issued Financial Accounting Standards that we adopted in 2019 and, that are applicable to us and likely to have material effect on our consolidated financial statements, but have not yet been adopted, see Note 2 - </w:t>
      </w:r>
      <w:r>
        <w:rPr>
          <w:rFonts w:ascii="Arial" w:cs="Arial" w:eastAsia="Arial" w:hAnsi="Arial"/>
          <w:sz w:val="20"/>
          <w:szCs w:val="20"/>
          <w:i w:val="1"/>
          <w:iCs w:val="1"/>
          <w:color w:val="auto"/>
        </w:rPr>
        <w:t>Summary of Significant Accounting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Policies </w:t>
      </w:r>
      <w:r>
        <w:rPr>
          <w:rFonts w:ascii="Arial" w:cs="Arial" w:eastAsia="Arial" w:hAnsi="Arial"/>
          <w:sz w:val="20"/>
          <w:szCs w:val="20"/>
          <w:color w:val="auto"/>
        </w:rPr>
        <w:t>of the Notes to Consolidated Financial Statements of this Report.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BLOOMIN’ BRANDS,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exposed to market risk from changes in interest rates on debt, changes in foreign currency exchange rates and changes in commodity prices.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are exposed to market risk from fluctuations in interest rates, which could affect our consolidated balance sheet, earnings and cash flows. Stockholders’ equity can be adversely affected by changing interest rates, as after-tax changes in the fair value of interest rate swaps designated as cash flow hedges are reflected as increases and decreases to a component of stockholders’ equity.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We manage our exposure to market risk through regular operating and financing activities and when deemed appropriate, through the use of derivative financial instruments. We use derivative financial instruments as risk management tools and not for speculative purposes. See Note 16 -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xml:space="preserve"> of the Notes to Consolidated Financial Statements for further information.</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As of December 29, 2019, our interest rate risk was primarily from variable interest rate changes on our Senior Secured Credit Facility. To manage the risk of fluctuations in variable interest rate debt, we have interest rate swaps for an aggregate notional amount of </w:t>
      </w:r>
      <w:r>
        <w:rPr>
          <w:rFonts w:ascii="Arial" w:cs="Arial" w:eastAsia="Arial" w:hAnsi="Arial"/>
          <w:sz w:val="20"/>
          <w:szCs w:val="20"/>
          <w:color w:val="252525"/>
        </w:rPr>
        <w:t>$550.0 million</w:t>
      </w:r>
      <w:r>
        <w:rPr>
          <w:rFonts w:ascii="Arial" w:cs="Arial" w:eastAsia="Arial" w:hAnsi="Arial"/>
          <w:sz w:val="20"/>
          <w:szCs w:val="20"/>
          <w:color w:val="auto"/>
        </w:rPr>
        <w:t xml:space="preserve"> that </w:t>
      </w:r>
      <w:r>
        <w:rPr>
          <w:rFonts w:ascii="Arial" w:cs="Arial" w:eastAsia="Arial" w:hAnsi="Arial"/>
          <w:sz w:val="20"/>
          <w:szCs w:val="20"/>
          <w:color w:val="252525"/>
        </w:rPr>
        <w:t>mature on November 30, 2022.</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utilize valuation models to estimate the effects of changing interest rates. The following table summarizes the changes to fair value and interest expense under a shock scenario. This analysis assumes that interest rates change suddenly, as an interest rate “shock” and continue to increase or decrease at a consistent level above or below the LIBOR curve.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DECEMBER 29, 2019</w:t>
            </w:r>
          </w:p>
        </w:tc>
      </w:tr>
      <w:tr>
        <w:trPr>
          <w:trHeight w:val="264"/>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22"/>
                <w:szCs w:val="22"/>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22"/>
                <w:szCs w:val="22"/>
                <w:color w:val="auto"/>
              </w:rPr>
            </w:pPr>
          </w:p>
        </w:tc>
        <w:tc>
          <w:tcPr>
            <w:tcW w:w="1320" w:type="dxa"/>
            <w:vAlign w:val="bottom"/>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0" w:type="dxa"/>
            <w:vAlign w:val="bottom"/>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fair value (1):</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15,210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(15,746)</w:t>
            </w: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Change in annual interest expense (2):</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rate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4,896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(4,896)</w:t>
            </w:r>
          </w:p>
        </w:tc>
      </w:tr>
      <w:tr>
        <w:trPr>
          <w:trHeight w:val="193"/>
        </w:trPr>
        <w:tc>
          <w:tcPr>
            <w:tcW w:w="20" w:type="dxa"/>
            <w:vAlign w:val="bottom"/>
          </w:tcPr>
          <w:p>
            <w:pPr>
              <w:spacing w:after="0"/>
              <w:rPr>
                <w:sz w:val="16"/>
                <w:szCs w:val="16"/>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________________</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r>
    </w:tbl>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potential change from a hypothetical 100 basis point increase (decrease) in short-term interest rates.</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potential change from a hypothetical 100 basis point increase (decrease) in short-term interest rates based on the LIBOR curve. The curve ranges from our interest rate of 151 basis points to 168 basis points.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w:t>
      </w:r>
    </w:p>
    <w:p>
      <w:pPr>
        <w:spacing w:after="0" w:line="205"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For 2019, 10.9% of our revenue was generated in foreign currencies. A 10% change in average foreign currency rates against the U.S. dollar would have increased or decreased our Total revenues and Net income for our foreign entities by $49.0 million and $3.4 million,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Pricing Risk</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Many of the ingredients used in the products sold in our restaurants are commodities that are subject to unpredictable price volatility. Although we attempt to minimize the effect of price volatility by negotiating fixed price contracts for the supply of key ingredients, there are no established fixed price markets for certain commodities such as produce and wild fish, and we are subject to prevailing market conditions when purchasing those types of commodities. Other commodities are purchased based upon negotiated price ranges established with vendors with reference to the fluctuating market prices. The related agreements may contain contractual features that limit the price paid by establishing certain price floors and caps. Extreme changes in commodity prices or long-term changes could affect our financial results adversely. We expect that in most cases increased commodity prices could be passed through to our customers through increases in menu prices. However, if there is a time lag between the increasing commodity prices and our ability to increase menu prices, or if we believe the commodity price increase to be short in duration and we choose not to pass on the cost increases, our short-term financial results could be negatively affected. Additionally, from time to time, competitive circumstances could limit menu price flexibility, and in those cases, margins would be negatively impacted by increased commodity prices.</w:t>
      </w:r>
    </w:p>
    <w:p>
      <w:pPr>
        <w:spacing w:after="0" w:line="20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Historically, we have utilized derivative instruments to mitigate some of our overall exposure to material increases in natural gas prices. As of December 29, 2019 and December 30, 2018, no derivatives were included in our consolidated financial statements.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In addition to the market risks identified above, we are subject to business risk as our U.S. beef supply is highly dependent upon a limited number of vendors. If these vendors were unable to fulfill their obligations under their contracts, we could encounter supply shortages and incur higher costs to secure adequate supplies. See Note 20 -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for further details.</w:t>
      </w:r>
    </w:p>
    <w:p>
      <w:pPr>
        <w:spacing w:after="0" w:line="2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market risk discussion contains forward-looking statements. Actual results may differ materially from the discussion based upon general market conditions and changes in U.S. and global financial markets.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BLOOMIN’ BRANDS,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FINANCIAL INFORMATION</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gridSpan w:val="3"/>
          </w:tcPr>
          <w:p>
            <w:pPr>
              <w:ind w:left="240"/>
              <w:spacing w:after="0"/>
              <w:rPr>
                <w:sz w:val="20"/>
                <w:szCs w:val="20"/>
                <w:color w:val="auto"/>
              </w:rPr>
            </w:pPr>
            <w:r>
              <w:rPr>
                <w:rFonts w:ascii="Arial" w:cs="Arial" w:eastAsia="Arial" w:hAnsi="Arial"/>
                <w:sz w:val="16"/>
                <w:szCs w:val="16"/>
                <w:b w:val="1"/>
                <w:bCs w:val="1"/>
                <w:color w:val="auto"/>
              </w:rPr>
              <w:t>PAGE NO.</w:t>
            </w:r>
          </w:p>
        </w:tc>
      </w:tr>
      <w:tr>
        <w:trPr>
          <w:trHeight w:val="33"/>
        </w:trPr>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5980" w:type="dxa"/>
            <w:vAlign w:val="bottom"/>
            <w:gridSpan w:val="7"/>
          </w:tcPr>
          <w:p>
            <w:pPr>
              <w:spacing w:after="0"/>
              <w:rPr>
                <w:rFonts w:ascii="Arial" w:cs="Arial" w:eastAsia="Arial" w:hAnsi="Arial"/>
                <w:sz w:val="20"/>
                <w:szCs w:val="20"/>
                <w:color w:val="0000EE"/>
                <w:w w:val="90"/>
              </w:rPr>
            </w:pPr>
            <w:hyperlink w:anchor="page58">
              <w:r>
                <w:rPr>
                  <w:rFonts w:ascii="Arial" w:cs="Arial" w:eastAsia="Arial" w:hAnsi="Arial"/>
                  <w:sz w:val="20"/>
                  <w:szCs w:val="20"/>
                  <w:color w:val="0000EE"/>
                  <w:w w:val="90"/>
                </w:rPr>
                <w:t>Management’s Annual Report on Internal Control over Financial Reporting</w:t>
              </w:r>
            </w:hyperlink>
          </w:p>
        </w:tc>
        <w:tc>
          <w:tcPr>
            <w:tcW w:w="4160" w:type="dxa"/>
            <w:vAlign w:val="bottom"/>
            <w:gridSpan w:val="2"/>
          </w:tcPr>
          <w:p>
            <w:pPr>
              <w:spacing w:after="0"/>
              <w:rPr>
                <w:sz w:val="24"/>
                <w:szCs w:val="24"/>
                <w:color w:val="auto"/>
              </w:rPr>
            </w:pPr>
          </w:p>
        </w:tc>
        <w:tc>
          <w:tcPr>
            <w:tcW w:w="1240" w:type="dxa"/>
            <w:vAlign w:val="bottom"/>
            <w:gridSpan w:val="3"/>
          </w:tcPr>
          <w:p>
            <w:pPr>
              <w:jc w:val="right"/>
              <w:ind w:right="20"/>
              <w:spacing w:after="0"/>
              <w:rPr>
                <w:rFonts w:ascii="Arial" w:cs="Arial" w:eastAsia="Arial" w:hAnsi="Arial"/>
                <w:sz w:val="20"/>
                <w:szCs w:val="20"/>
                <w:color w:val="0000EE"/>
              </w:rPr>
            </w:pPr>
            <w:hyperlink w:anchor="page58">
              <w:r>
                <w:rPr>
                  <w:rFonts w:ascii="Arial" w:cs="Arial" w:eastAsia="Arial" w:hAnsi="Arial"/>
                  <w:sz w:val="20"/>
                  <w:szCs w:val="20"/>
                  <w:color w:val="0000EE"/>
                </w:rPr>
                <w:t>57</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4640" w:type="dxa"/>
            <w:vAlign w:val="bottom"/>
            <w:gridSpan w:val="4"/>
          </w:tcPr>
          <w:p>
            <w:pPr>
              <w:spacing w:after="0"/>
              <w:rPr>
                <w:rFonts w:ascii="Arial" w:cs="Arial" w:eastAsia="Arial" w:hAnsi="Arial"/>
                <w:sz w:val="20"/>
                <w:szCs w:val="20"/>
                <w:color w:val="0000EE"/>
                <w:w w:val="90"/>
              </w:rPr>
            </w:pPr>
            <w:hyperlink w:anchor="page59">
              <w:r>
                <w:rPr>
                  <w:rFonts w:ascii="Arial" w:cs="Arial" w:eastAsia="Arial" w:hAnsi="Arial"/>
                  <w:sz w:val="20"/>
                  <w:szCs w:val="20"/>
                  <w:color w:val="0000EE"/>
                  <w:w w:val="90"/>
                </w:rPr>
                <w:t>Report of Independent Registered Public Accounting Firm</w:t>
              </w:r>
            </w:hyperlink>
          </w:p>
        </w:tc>
        <w:tc>
          <w:tcPr>
            <w:tcW w:w="1340" w:type="dxa"/>
            <w:vAlign w:val="bottom"/>
            <w:gridSpan w:val="3"/>
          </w:tcPr>
          <w:p>
            <w:pPr>
              <w:spacing w:after="0"/>
              <w:rPr>
                <w:sz w:val="24"/>
                <w:szCs w:val="24"/>
                <w:color w:val="auto"/>
              </w:rPr>
            </w:pPr>
          </w:p>
        </w:tc>
        <w:tc>
          <w:tcPr>
            <w:tcW w:w="4160" w:type="dxa"/>
            <w:vAlign w:val="bottom"/>
            <w:gridSpan w:val="2"/>
          </w:tcPr>
          <w:p>
            <w:pPr>
              <w:spacing w:after="0"/>
              <w:rPr>
                <w:sz w:val="24"/>
                <w:szCs w:val="24"/>
                <w:color w:val="auto"/>
              </w:rPr>
            </w:pPr>
          </w:p>
        </w:tc>
        <w:tc>
          <w:tcPr>
            <w:tcW w:w="1240" w:type="dxa"/>
            <w:vAlign w:val="bottom"/>
            <w:gridSpan w:val="3"/>
          </w:tcPr>
          <w:p>
            <w:pPr>
              <w:jc w:val="right"/>
              <w:ind w:right="20"/>
              <w:spacing w:after="0"/>
              <w:rPr>
                <w:rFonts w:ascii="Arial" w:cs="Arial" w:eastAsia="Arial" w:hAnsi="Arial"/>
                <w:sz w:val="20"/>
                <w:szCs w:val="20"/>
                <w:color w:val="0000EE"/>
              </w:rPr>
            </w:pPr>
            <w:hyperlink w:anchor="page59">
              <w:r>
                <w:rPr>
                  <w:rFonts w:ascii="Arial" w:cs="Arial" w:eastAsia="Arial" w:hAnsi="Arial"/>
                  <w:sz w:val="20"/>
                  <w:szCs w:val="20"/>
                  <w:color w:val="0000EE"/>
                </w:rPr>
                <w:t>58</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140" w:type="dxa"/>
            <w:vAlign w:val="bottom"/>
            <w:gridSpan w:val="9"/>
          </w:tcPr>
          <w:p>
            <w:pPr>
              <w:spacing w:after="0"/>
              <w:rPr>
                <w:rFonts w:ascii="Arial" w:cs="Arial" w:eastAsia="Arial" w:hAnsi="Arial"/>
                <w:sz w:val="20"/>
                <w:szCs w:val="20"/>
                <w:color w:val="0000EE"/>
              </w:rPr>
            </w:pPr>
            <w:hyperlink w:anchor="page62">
              <w:r>
                <w:rPr>
                  <w:rFonts w:ascii="Arial" w:cs="Arial" w:eastAsia="Arial" w:hAnsi="Arial"/>
                  <w:sz w:val="20"/>
                  <w:szCs w:val="20"/>
                  <w:color w:val="0000EE"/>
                </w:rPr>
                <w:t>Consolidated Balance Sheets — December 29, 2019 and December 30, 2018</w:t>
              </w:r>
            </w:hyperlink>
          </w:p>
        </w:tc>
        <w:tc>
          <w:tcPr>
            <w:tcW w:w="1240" w:type="dxa"/>
            <w:vAlign w:val="bottom"/>
            <w:gridSpan w:val="3"/>
          </w:tcPr>
          <w:p>
            <w:pPr>
              <w:jc w:val="right"/>
              <w:ind w:right="20"/>
              <w:spacing w:after="0"/>
              <w:rPr>
                <w:rFonts w:ascii="Arial" w:cs="Arial" w:eastAsia="Arial" w:hAnsi="Arial"/>
                <w:sz w:val="20"/>
                <w:szCs w:val="20"/>
                <w:color w:val="0000EE"/>
              </w:rPr>
            </w:pPr>
            <w:hyperlink w:anchor="page62">
              <w:r>
                <w:rPr>
                  <w:rFonts w:ascii="Arial" w:cs="Arial" w:eastAsia="Arial" w:hAnsi="Arial"/>
                  <w:sz w:val="20"/>
                  <w:szCs w:val="20"/>
                  <w:color w:val="0000EE"/>
                </w:rPr>
                <w:t>61</w:t>
              </w:r>
            </w:hyperlink>
          </w:p>
        </w:tc>
      </w:tr>
      <w:tr>
        <w:trPr>
          <w:trHeight w:val="588"/>
        </w:trPr>
        <w:tc>
          <w:tcPr>
            <w:tcW w:w="6080" w:type="dxa"/>
            <w:vAlign w:val="bottom"/>
            <w:tcBorders>
              <w:top w:val="single" w:sz="8" w:color="0000EE"/>
            </w:tcBorders>
            <w:gridSpan w:val="8"/>
          </w:tcPr>
          <w:p>
            <w:pPr>
              <w:spacing w:after="0"/>
              <w:rPr>
                <w:rFonts w:ascii="Arial" w:cs="Arial" w:eastAsia="Arial" w:hAnsi="Arial"/>
                <w:sz w:val="20"/>
                <w:szCs w:val="20"/>
                <w:color w:val="0000EE"/>
                <w:w w:val="96"/>
              </w:rPr>
            </w:pPr>
            <w:hyperlink w:anchor="page63">
              <w:r>
                <w:rPr>
                  <w:rFonts w:ascii="Arial" w:cs="Arial" w:eastAsia="Arial" w:hAnsi="Arial"/>
                  <w:sz w:val="20"/>
                  <w:szCs w:val="20"/>
                  <w:color w:val="0000EE"/>
                  <w:w w:val="96"/>
                </w:rPr>
                <w:t>Consolidated Statements of Operations and Comprehensive Income —</w:t>
              </w:r>
            </w:hyperlink>
          </w:p>
        </w:tc>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600" w:type="dxa"/>
            <w:vAlign w:val="bottom"/>
            <w:tcBorders>
              <w:top w:val="single" w:sz="8" w:color="0000EE"/>
            </w:tcBorders>
            <w:gridSpan w:val="6"/>
          </w:tcPr>
          <w:p>
            <w:pPr>
              <w:spacing w:after="0" w:line="209" w:lineRule="exact"/>
              <w:rPr>
                <w:rFonts w:ascii="Arial" w:cs="Arial" w:eastAsia="Arial" w:hAnsi="Arial"/>
                <w:sz w:val="20"/>
                <w:szCs w:val="20"/>
                <w:color w:val="0000EE"/>
              </w:rPr>
            </w:pPr>
            <w:hyperlink w:anchor="page63">
              <w:r>
                <w:rPr>
                  <w:rFonts w:ascii="Arial" w:cs="Arial" w:eastAsia="Arial" w:hAnsi="Arial"/>
                  <w:sz w:val="20"/>
                  <w:szCs w:val="20"/>
                  <w:color w:val="0000EE"/>
                </w:rPr>
                <w:t>For Fiscal Years 2019, 2018 and 2017</w:t>
              </w:r>
            </w:hyperlink>
          </w:p>
        </w:tc>
        <w:tc>
          <w:tcPr>
            <w:tcW w:w="4540" w:type="dxa"/>
            <w:vAlign w:val="bottom"/>
            <w:gridSpan w:val="3"/>
          </w:tcPr>
          <w:p>
            <w:pPr>
              <w:spacing w:after="0"/>
              <w:rPr>
                <w:sz w:val="18"/>
                <w:szCs w:val="18"/>
                <w:color w:val="auto"/>
              </w:rPr>
            </w:pPr>
          </w:p>
        </w:tc>
        <w:tc>
          <w:tcPr>
            <w:tcW w:w="1240" w:type="dxa"/>
            <w:vAlign w:val="bottom"/>
            <w:gridSpan w:val="3"/>
          </w:tcPr>
          <w:p>
            <w:pPr>
              <w:jc w:val="right"/>
              <w:ind w:right="20"/>
              <w:spacing w:after="0" w:line="209" w:lineRule="exact"/>
              <w:rPr>
                <w:rFonts w:ascii="Arial" w:cs="Arial" w:eastAsia="Arial" w:hAnsi="Arial"/>
                <w:sz w:val="20"/>
                <w:szCs w:val="20"/>
                <w:color w:val="0000EE"/>
              </w:rPr>
            </w:pPr>
            <w:hyperlink w:anchor="page63">
              <w:r>
                <w:rPr>
                  <w:rFonts w:ascii="Arial" w:cs="Arial" w:eastAsia="Arial" w:hAnsi="Arial"/>
                  <w:sz w:val="20"/>
                  <w:szCs w:val="20"/>
                  <w:color w:val="0000EE"/>
                </w:rPr>
                <w:t>62</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140" w:type="dxa"/>
            <w:vAlign w:val="bottom"/>
            <w:gridSpan w:val="9"/>
          </w:tcPr>
          <w:p>
            <w:pPr>
              <w:spacing w:after="0"/>
              <w:rPr>
                <w:rFonts w:ascii="Arial" w:cs="Arial" w:eastAsia="Arial" w:hAnsi="Arial"/>
                <w:sz w:val="20"/>
                <w:szCs w:val="20"/>
                <w:color w:val="0000EE"/>
              </w:rPr>
            </w:pPr>
            <w:hyperlink w:anchor="page64">
              <w:r>
                <w:rPr>
                  <w:rFonts w:ascii="Arial" w:cs="Arial" w:eastAsia="Arial" w:hAnsi="Arial"/>
                  <w:sz w:val="20"/>
                  <w:szCs w:val="20"/>
                  <w:color w:val="0000EE"/>
                </w:rPr>
                <w:t>Consolidated Statements of Changes in Stockholders’ Equity —</w:t>
              </w:r>
            </w:hyperlink>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080" w:type="dxa"/>
            <w:vAlign w:val="bottom"/>
            <w:tcBorders>
              <w:top w:val="single" w:sz="8" w:color="0000EE"/>
            </w:tcBorders>
            <w:gridSpan w:val="5"/>
          </w:tcPr>
          <w:p>
            <w:pPr>
              <w:spacing w:after="0" w:line="209" w:lineRule="exact"/>
              <w:rPr>
                <w:rFonts w:ascii="Arial" w:cs="Arial" w:eastAsia="Arial" w:hAnsi="Arial"/>
                <w:sz w:val="20"/>
                <w:szCs w:val="20"/>
                <w:color w:val="0000EE"/>
              </w:rPr>
            </w:pPr>
            <w:hyperlink w:anchor="page64">
              <w:r>
                <w:rPr>
                  <w:rFonts w:ascii="Arial" w:cs="Arial" w:eastAsia="Arial" w:hAnsi="Arial"/>
                  <w:sz w:val="20"/>
                  <w:szCs w:val="20"/>
                  <w:color w:val="0000EE"/>
                </w:rPr>
                <w:t>For Fiscal Years 2019, 2018 and 2017</w:t>
              </w:r>
            </w:hyperlink>
          </w:p>
        </w:tc>
        <w:tc>
          <w:tcPr>
            <w:tcW w:w="5060" w:type="dxa"/>
            <w:vAlign w:val="bottom"/>
            <w:gridSpan w:val="4"/>
          </w:tcPr>
          <w:p>
            <w:pPr>
              <w:spacing w:after="0"/>
              <w:rPr>
                <w:sz w:val="18"/>
                <w:szCs w:val="18"/>
                <w:color w:val="auto"/>
              </w:rPr>
            </w:pPr>
          </w:p>
        </w:tc>
        <w:tc>
          <w:tcPr>
            <w:tcW w:w="1240" w:type="dxa"/>
            <w:vAlign w:val="bottom"/>
            <w:gridSpan w:val="3"/>
          </w:tcPr>
          <w:p>
            <w:pPr>
              <w:jc w:val="right"/>
              <w:ind w:right="20"/>
              <w:spacing w:after="0" w:line="209" w:lineRule="exact"/>
              <w:rPr>
                <w:rFonts w:ascii="Arial" w:cs="Arial" w:eastAsia="Arial" w:hAnsi="Arial"/>
                <w:sz w:val="20"/>
                <w:szCs w:val="20"/>
                <w:color w:val="0000EE"/>
              </w:rPr>
            </w:pPr>
            <w:hyperlink w:anchor="page64">
              <w:r>
                <w:rPr>
                  <w:rFonts w:ascii="Arial" w:cs="Arial" w:eastAsia="Arial" w:hAnsi="Arial"/>
                  <w:sz w:val="20"/>
                  <w:szCs w:val="20"/>
                  <w:color w:val="0000EE"/>
                </w:rPr>
                <w:t>63</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140" w:type="dxa"/>
            <w:vAlign w:val="bottom"/>
            <w:gridSpan w:val="9"/>
          </w:tcPr>
          <w:p>
            <w:pPr>
              <w:spacing w:after="0"/>
              <w:rPr>
                <w:rFonts w:ascii="Arial" w:cs="Arial" w:eastAsia="Arial" w:hAnsi="Arial"/>
                <w:sz w:val="20"/>
                <w:szCs w:val="20"/>
                <w:color w:val="0000EE"/>
              </w:rPr>
            </w:pPr>
            <w:hyperlink w:anchor="page66">
              <w:r>
                <w:rPr>
                  <w:rFonts w:ascii="Arial" w:cs="Arial" w:eastAsia="Arial" w:hAnsi="Arial"/>
                  <w:sz w:val="20"/>
                  <w:szCs w:val="20"/>
                  <w:color w:val="0000EE"/>
                </w:rPr>
                <w:t>Consolidated Statements of Cash Flows —</w:t>
              </w:r>
            </w:hyperlink>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3440" w:type="dxa"/>
            <w:vAlign w:val="bottom"/>
            <w:tcBorders>
              <w:top w:val="single" w:sz="8" w:color="0000EE"/>
            </w:tcBorders>
            <w:gridSpan w:val="2"/>
          </w:tcPr>
          <w:p>
            <w:pPr>
              <w:spacing w:after="0" w:line="209" w:lineRule="exact"/>
              <w:rPr>
                <w:rFonts w:ascii="Arial" w:cs="Arial" w:eastAsia="Arial" w:hAnsi="Arial"/>
                <w:sz w:val="20"/>
                <w:szCs w:val="20"/>
                <w:color w:val="0000EE"/>
              </w:rPr>
            </w:pPr>
            <w:hyperlink w:anchor="page66">
              <w:r>
                <w:rPr>
                  <w:rFonts w:ascii="Arial" w:cs="Arial" w:eastAsia="Arial" w:hAnsi="Arial"/>
                  <w:sz w:val="20"/>
                  <w:szCs w:val="20"/>
                  <w:color w:val="0000EE"/>
                </w:rPr>
                <w:t>For Fiscal Years 2019, 2018 and 2017</w:t>
              </w:r>
            </w:hyperlink>
          </w:p>
        </w:tc>
        <w:tc>
          <w:tcPr>
            <w:tcW w:w="6700" w:type="dxa"/>
            <w:vAlign w:val="bottom"/>
            <w:gridSpan w:val="7"/>
          </w:tcPr>
          <w:p>
            <w:pPr>
              <w:spacing w:after="0"/>
              <w:rPr>
                <w:sz w:val="18"/>
                <w:szCs w:val="18"/>
                <w:color w:val="auto"/>
              </w:rPr>
            </w:pPr>
          </w:p>
        </w:tc>
        <w:tc>
          <w:tcPr>
            <w:tcW w:w="1240" w:type="dxa"/>
            <w:vAlign w:val="bottom"/>
            <w:gridSpan w:val="3"/>
          </w:tcPr>
          <w:p>
            <w:pPr>
              <w:jc w:val="right"/>
              <w:ind w:right="20"/>
              <w:spacing w:after="0" w:line="209" w:lineRule="exact"/>
              <w:rPr>
                <w:rFonts w:ascii="Arial" w:cs="Arial" w:eastAsia="Arial" w:hAnsi="Arial"/>
                <w:sz w:val="20"/>
                <w:szCs w:val="20"/>
                <w:color w:val="0000EE"/>
              </w:rPr>
            </w:pPr>
            <w:hyperlink w:anchor="page66">
              <w:r>
                <w:rPr>
                  <w:rFonts w:ascii="Arial" w:cs="Arial" w:eastAsia="Arial" w:hAnsi="Arial"/>
                  <w:sz w:val="20"/>
                  <w:szCs w:val="20"/>
                  <w:color w:val="0000EE"/>
                </w:rPr>
                <w:t>65</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3460" w:type="dxa"/>
            <w:vAlign w:val="bottom"/>
            <w:gridSpan w:val="3"/>
          </w:tcPr>
          <w:p>
            <w:pPr>
              <w:spacing w:after="0"/>
              <w:rPr>
                <w:rFonts w:ascii="Arial" w:cs="Arial" w:eastAsia="Arial" w:hAnsi="Arial"/>
                <w:sz w:val="20"/>
                <w:szCs w:val="20"/>
                <w:color w:val="0000EE"/>
                <w:w w:val="88"/>
              </w:rPr>
            </w:pPr>
            <w:hyperlink w:anchor="page68">
              <w:r>
                <w:rPr>
                  <w:rFonts w:ascii="Arial" w:cs="Arial" w:eastAsia="Arial" w:hAnsi="Arial"/>
                  <w:sz w:val="20"/>
                  <w:szCs w:val="20"/>
                  <w:color w:val="0000EE"/>
                  <w:w w:val="88"/>
                </w:rPr>
                <w:t>Notes to Consolidated Financial Statements</w:t>
              </w:r>
            </w:hyperlink>
          </w:p>
        </w:tc>
        <w:tc>
          <w:tcPr>
            <w:tcW w:w="6680" w:type="dxa"/>
            <w:vAlign w:val="bottom"/>
            <w:gridSpan w:val="6"/>
          </w:tcPr>
          <w:p>
            <w:pPr>
              <w:spacing w:after="0"/>
              <w:rPr>
                <w:sz w:val="24"/>
                <w:szCs w:val="24"/>
                <w:color w:val="auto"/>
              </w:rPr>
            </w:pPr>
          </w:p>
        </w:tc>
        <w:tc>
          <w:tcPr>
            <w:tcW w:w="1240" w:type="dxa"/>
            <w:vAlign w:val="bottom"/>
            <w:gridSpan w:val="3"/>
          </w:tcPr>
          <w:p>
            <w:pPr>
              <w:jc w:val="right"/>
              <w:ind w:right="20"/>
              <w:spacing w:after="0"/>
              <w:rPr>
                <w:rFonts w:ascii="Arial" w:cs="Arial" w:eastAsia="Arial" w:hAnsi="Arial"/>
                <w:sz w:val="20"/>
                <w:szCs w:val="20"/>
                <w:color w:val="0000EE"/>
              </w:rPr>
            </w:pPr>
            <w:hyperlink w:anchor="page68">
              <w:r>
                <w:rPr>
                  <w:rFonts w:ascii="Arial" w:cs="Arial" w:eastAsia="Arial" w:hAnsi="Arial"/>
                  <w:sz w:val="20"/>
                  <w:szCs w:val="20"/>
                  <w:color w:val="0000EE"/>
                </w:rPr>
                <w:t>67</w:t>
              </w:r>
            </w:hyperlink>
          </w:p>
        </w:tc>
      </w:tr>
      <w:tr>
        <w:trPr>
          <w:trHeight w:val="696"/>
        </w:trPr>
        <w:tc>
          <w:tcPr>
            <w:tcW w:w="3460" w:type="dxa"/>
            <w:vAlign w:val="bottom"/>
            <w:tcBorders>
              <w:top w:val="single" w:sz="8" w:color="0000EE"/>
            </w:tcBorders>
            <w:gridSpan w:val="3"/>
          </w:tcPr>
          <w:p>
            <w:pPr>
              <w:spacing w:after="0"/>
              <w:rPr>
                <w:sz w:val="24"/>
                <w:szCs w:val="24"/>
                <w:color w:val="auto"/>
              </w:rPr>
            </w:pPr>
          </w:p>
        </w:tc>
        <w:tc>
          <w:tcPr>
            <w:tcW w:w="2520" w:type="dxa"/>
            <w:vAlign w:val="bottom"/>
            <w:gridSpan w:val="4"/>
          </w:tcPr>
          <w:p>
            <w:pPr>
              <w:jc w:val="right"/>
              <w:ind w:right="2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3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 13a-15(f). The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firstLine="8"/>
        <w:spacing w:after="0" w:line="276" w:lineRule="auto"/>
        <w:tabs>
          <w:tab w:leader="none" w:pos="3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Under the supervision and with the participation of management, including our Chief Executive Officer and Chief Financial Officer, we carried out an evaluation of the effectiveness of our internal control over financial reporting as of December 29, 2019 using the criteria described in </w:t>
      </w:r>
      <w:r>
        <w:rPr>
          <w:rFonts w:ascii="Arial" w:cs="Arial" w:eastAsia="Arial" w:hAnsi="Arial"/>
          <w:sz w:val="20"/>
          <w:szCs w:val="20"/>
          <w:i w:val="1"/>
          <w:iCs w:val="1"/>
          <w:color w:val="auto"/>
        </w:rPr>
        <w:t xml:space="preserve">Internal Control—Integrated Framework </w:t>
      </w:r>
      <w:r>
        <w:rPr>
          <w:rFonts w:ascii="Arial" w:cs="Arial" w:eastAsia="Arial" w:hAnsi="Arial"/>
          <w:sz w:val="20"/>
          <w:szCs w:val="20"/>
          <w:color w:val="auto"/>
        </w:rPr>
        <w:t>issued by the Committee of Sponsoring Organizations of the Treadway Commission (2013</w:t>
      </w:r>
      <w:r>
        <w:rPr>
          <w:rFonts w:ascii="Arial" w:cs="Arial" w:eastAsia="Arial" w:hAnsi="Arial"/>
          <w:sz w:val="20"/>
          <w:szCs w:val="20"/>
          <w:i w:val="1"/>
          <w:iCs w:val="1"/>
          <w:color w:val="auto"/>
        </w:rPr>
        <w:t xml:space="preserve"> </w:t>
      </w:r>
      <w:r>
        <w:rPr>
          <w:rFonts w:ascii="Arial" w:cs="Arial" w:eastAsia="Arial" w:hAnsi="Arial"/>
          <w:sz w:val="20"/>
          <w:szCs w:val="20"/>
          <w:color w:val="auto"/>
        </w:rPr>
        <w:t>Framework) (“COSO”). Based upon our evaluation, management concluded that our internal control over financial reporting was effective as of December 29, 2019.</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effectiveness of our internal control over financial reporting as of December 29, 2019 has been audited by PricewaterhouseCoopers LLP, an independent registered public accounting firm, as stated in their report which is included herein.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Bloomin’ Brands,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We have audited the accompanying consolidated balance sheets of Bloomin’ Brands, Inc. and its subsidiaries (the “Company”) as of December 29, 2019 and December 30, 2018, and the related consolidated statements of operations and comprehensive income, of changes in stockholders’ equity and of cash flows for each of the three years in the period ended December 29, 2019, including the related notes (collectively referred to as the “consolidated financial statements”). We also have audited the Company’s internal control over financial reporting as of December 29, 2019,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(2013) issued by the Committee of Sponsoring Organizations of the Treadway Commission (COSO).</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29, 2019 and December 30, 2018, and the results of its operations and its cash flows for each of the three years in the period ended December 29, 2019 in conformity with accounting principles generally accepted in the United States of America. Also in our opinion, the Company maintained, in all material respects, effective internal control over financial reporting as of December 29, 2019,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in Accounting Principle</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discussed in Note 2 to the consolidated financial statements, the Company changed the manner in which it accounts for leases in 2019. This matter is also discussed below as a critical audit matter.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Adoption of the Leases Accounting Standard - Estimation of the Lease Liability Lease Term</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described above as a change in accounting principle and in Notes 2 and 17 to the consolidated financial statements, the Company adopted the new leases accounting standard effective December 31, 2018. Upon adoption, the Company recognized right-of-use (ROU) assets of $1.3 billion and corresponding lease liabilities of $1.5 billion. As disclosed by management, the Company uses judgment to determine the reasonably certain lease term, which in turn, impacts the applicable incremental borrowing rate (IBR) used to calculate the initial lease liability for each portfolio of leases. Management determined the present value of the lease liabilities by using a country specific IBR and applying a single rate to the respective portfolio of leases based on term, regardless of the underlying asset type. The reasonably certain lease term used in the evaluation of existing leases at transition and new leases after adoption of the new lease standard includes renewal option periods only in instances in which the exercise of the renewal option is reasonably certain because failure to exercise such an option would result in an economic penalty. Management gives consideration to market data as well as publicly available data for instruments with similar characteristics when calculating the IBR.</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principal considerations for our determination that performing procedures relating to the adoption of the leases accounting standard - estimation of the lease liability lease term is a critical audit matter are there was significant judgment by management when determining the lease term, which is utilized to determine the applicable IBR used to calculate the lease liability for the respective portfolio of leases, which in turn led to significant auditor judgment and subjectivity in performing procedures to evaluate management’s conclusions related to the lease term and applicable IBR. Also, there was significant audit effort in performing procedures due to the large volume of contracts that management evaluated under the new accounting standard and the significance of the ROU asset and lease liability balance recorded at the adoption date.</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relating to the adoption of the leases accounting standard and management’s review of the reasonably certain lease term in determining the appropriate IBR to apply. These procedures also included, among others, evaluating the reasonableness of assumptions used by management, including the lease term and applicable IBR. Evaluating the reasonableness of management’s assumption relating to the terms of the leases involved evaluating a sample of contracts and assessing any extension or termination clauses, evaluating whether the lease terms determined by management were consistent with management’s plans or past experience, and whether management’s evaluation of the certainty related to extending or terminating the lease is consistent with evidence obtained in other areas of the audit. Evaluating the reasonableness of management’s assumption relating to the IBR involved evaluating the consistency with the rates of interest on similar debt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Insurance Reserves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As described in Notes 2 and 20 to the consolidated financial statements, the Company’s consolidated insurance reserve balance was $54.3 million as of December 29, 2019. The Company carries insurance programs with specific retention levels or high per-claim deductibles for a significant 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management considers certain actuarial assumptions and judgments regarding economic conditions, the frequency and severity of claims, claim development history and settlement practices. Reserves recorded for workers’ compensation and general liability claims are discounted using the average of the one-year and five-year risk-free rate of monetary assets that have comparable maturities.</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insurance reserves is a critical audit matter are there was significant judgment by management when developing the estimated reserves, which in turn led to significant auditor judgment, subjectivity, and effort in performing procedures relating to certain actuarial assumptions and judgments used to estimate incurred but not reported claims, including claim development history, economic conditions, and discount rate. In addition, the audit effort involved the use of professionals with specialized skill and knowledge to assist in performing these procedures and evaluating the audit evidence obtained.</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insurance reserves. These procedures also included, among others, evaluating management’s process for developing the insurance reserves including actuarial assumptions and judgments regarding economic conditions, the frequency and severity of claims, and settlement practices and testing the claim development history. Evaluating the assumptions related to estimated claims involved evaluating whether the assumptions used were reasonable considering claim history, economic conditions, and consistency with evidence obtained in other areas of the audit. Professionals with specialized skill and knowledge were used to assist in testing the appropriateness of management’s actuarial methods in determining the insurance reserves and evaluating the reasonableness of assumptions related to economic conditions and discount rate.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1998.</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40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205"/>
        </w:trPr>
        <w:tc>
          <w:tcPr>
            <w:tcW w:w="8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71,823</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86,861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72,812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186,462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190,848</w:t>
            </w:r>
          </w:p>
        </w:tc>
        <w:tc>
          <w:tcPr>
            <w:tcW w:w="0" w:type="dxa"/>
            <w:vAlign w:val="bottom"/>
          </w:tcPr>
          <w:p>
            <w:pPr>
              <w:spacing w:after="0"/>
              <w:rPr>
                <w:sz w:val="1"/>
                <w:szCs w:val="1"/>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340,468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335,483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fixtures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1,036,077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1,115,929</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1,266,548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288,439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295,427</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470,615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503,972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73,426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92,990</w:t>
            </w: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117,110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120,973</w:t>
            </w: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3,592,683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2,464,774</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174,877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174,488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391,451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246,653</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369,282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342,708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26,411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27,190</w:t>
            </w:r>
          </w:p>
        </w:tc>
        <w:tc>
          <w:tcPr>
            <w:tcW w:w="0" w:type="dxa"/>
            <w:vAlign w:val="bottom"/>
          </w:tcPr>
          <w:p>
            <w:pPr>
              <w:spacing w:after="0"/>
              <w:rPr>
                <w:sz w:val="1"/>
                <w:szCs w:val="1"/>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962,021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791,039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1,279,051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Deferred rent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167,027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14,790</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1,022,293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1,067,585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portion of deferred gain on sale-leaseback transactions,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177,983</w:t>
            </w: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138,060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191,533</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3,415,202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2,409,957</w:t>
            </w:r>
          </w:p>
        </w:tc>
        <w:tc>
          <w:tcPr>
            <w:tcW w:w="0" w:type="dxa"/>
            <w:vAlign w:val="bottom"/>
          </w:tcPr>
          <w:p>
            <w:pPr>
              <w:spacing w:after="0"/>
              <w:rPr>
                <w:sz w:val="1"/>
                <w:szCs w:val="1"/>
                <w:color w:val="auto"/>
              </w:rPr>
            </w:pP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Commitments and contingencies (Note 20)</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Bloomin’ Brands stockholders’ equity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1"/>
              </w:rPr>
              <w:t>Preferred stock, $0.01 par value, 25,000,000 shares authorized; no shares issued and outstanding as of December 29,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2019 and December 30, 2018</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100" w:type="dxa"/>
            <w:vAlign w:val="bottom"/>
          </w:tcPr>
          <w:p>
            <w:pPr>
              <w:ind w:left="380"/>
              <w:spacing w:after="0"/>
              <w:rPr>
                <w:sz w:val="20"/>
                <w:szCs w:val="20"/>
                <w:color w:val="auto"/>
              </w:rPr>
            </w:pPr>
            <w:r>
              <w:rPr>
                <w:rFonts w:ascii="Arial" w:cs="Arial" w:eastAsia="Arial" w:hAnsi="Arial"/>
                <w:sz w:val="16"/>
                <w:szCs w:val="16"/>
                <w:color w:val="auto"/>
                <w:w w:val="96"/>
              </w:rPr>
              <w:t>Common stock, $0.01 par value, 475,000,000 shares authorized; 86,945,869 and 91,271,825 shares issued and</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00" w:type="dxa"/>
            <w:vAlign w:val="bottom"/>
          </w:tcPr>
          <w:p>
            <w:pPr>
              <w:ind w:left="380"/>
              <w:spacing w:after="0"/>
              <w:rPr>
                <w:sz w:val="20"/>
                <w:szCs w:val="20"/>
                <w:color w:val="auto"/>
              </w:rPr>
            </w:pPr>
            <w:r>
              <w:rPr>
                <w:rFonts w:ascii="Arial" w:cs="Arial" w:eastAsia="Arial" w:hAnsi="Arial"/>
                <w:sz w:val="16"/>
                <w:szCs w:val="16"/>
                <w:color w:val="auto"/>
              </w:rPr>
              <w:t>outstanding as of December 29, 2019 and December 30, 2018, respectively</w:t>
            </w:r>
          </w:p>
        </w:tc>
        <w:tc>
          <w:tcPr>
            <w:tcW w:w="180" w:type="dxa"/>
            <w:vAlign w:val="bottom"/>
          </w:tcPr>
          <w:p>
            <w:pPr>
              <w:spacing w:after="0"/>
              <w:rPr>
                <w:sz w:val="17"/>
                <w:szCs w:val="17"/>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1,094,338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1,107,582</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(755,089)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(920,010)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(142,755)</w:t>
            </w:r>
          </w:p>
        </w:tc>
        <w:tc>
          <w:tcPr>
            <w:tcW w:w="0" w:type="dxa"/>
            <w:vAlign w:val="bottom"/>
          </w:tcPr>
          <w:p>
            <w:pPr>
              <w:spacing w:after="0"/>
              <w:rPr>
                <w:sz w:val="1"/>
                <w:szCs w:val="1"/>
                <w:color w:val="auto"/>
              </w:rPr>
            </w:pPr>
          </w:p>
        </w:tc>
      </w:tr>
      <w:tr>
        <w:trPr>
          <w:trHeight w:val="224"/>
        </w:trPr>
        <w:tc>
          <w:tcPr>
            <w:tcW w:w="8100" w:type="dxa"/>
            <w:vAlign w:val="bottom"/>
          </w:tcPr>
          <w:p>
            <w:pPr>
              <w:ind w:left="720"/>
              <w:spacing w:after="0"/>
              <w:rPr>
                <w:sz w:val="20"/>
                <w:szCs w:val="20"/>
                <w:color w:val="auto"/>
              </w:rPr>
            </w:pPr>
            <w:r>
              <w:rPr>
                <w:rFonts w:ascii="Arial" w:cs="Arial" w:eastAsia="Arial" w:hAnsi="Arial"/>
                <w:sz w:val="16"/>
                <w:szCs w:val="16"/>
                <w:color w:val="auto"/>
              </w:rPr>
              <w:t>Total Bloomin’ Brands stockholders’ equity</w:t>
            </w:r>
          </w:p>
        </w:tc>
        <w:tc>
          <w:tcPr>
            <w:tcW w:w="18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170,342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45,730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9,087</w:t>
            </w: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177,481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54,817</w:t>
            </w: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3,592,683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2,464,774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00"/>
          </w:cols>
          <w:pgMar w:left="240" w:top="122"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22" w:right="25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4,075,014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4,060,871</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4,164,063</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64,375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65,542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59,073</w:t>
            </w:r>
          </w:p>
        </w:tc>
      </w:tr>
      <w:tr>
        <w:trPr>
          <w:trHeight w:val="270"/>
        </w:trPr>
        <w:tc>
          <w:tcPr>
            <w:tcW w:w="64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4,139,389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4,126,413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4,223,136</w:t>
            </w: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1,277,824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1,295,588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1,317,110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1,207,289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1,197,297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1,219,593</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982,051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967,099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996,180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196,811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201,593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192,282</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275,239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282,720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306,956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9,085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36,863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52,329</w:t>
            </w:r>
          </w:p>
        </w:tc>
      </w:tr>
      <w:tr>
        <w:trPr>
          <w:trHeight w:val="270"/>
        </w:trPr>
        <w:tc>
          <w:tcPr>
            <w:tcW w:w="64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3,948,299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3,981,160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4,084,450</w:t>
            </w: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191,090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145,253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138,686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Loss on extinguishment and modification of debt</w:t>
            </w:r>
          </w:p>
        </w:tc>
        <w:tc>
          <w:tcPr>
            <w:tcW w:w="4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(1,069)</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14,912</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(49,257)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(44,937)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(41,392)</w:t>
            </w: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(benefit) for income taxes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141,690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100,305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111,137</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7,573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7,529</w:t>
            </w: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134,117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109,538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103,608</w:t>
            </w:r>
          </w:p>
        </w:tc>
      </w:tr>
      <w:tr>
        <w:trPr>
          <w:trHeight w:val="27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3,544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2,440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2,315</w:t>
            </w: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130,573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107,098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101,293</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109,538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103,608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Foreign currency translation adjustment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8,959</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Unrealized (loss) gain on derivatives, net of tax</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627</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Reclassification of adjustment for loss on derivatives included in Net income, net of tax</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2,381</w:t>
            </w:r>
          </w:p>
        </w:tc>
      </w:tr>
      <w:tr>
        <w:trPr>
          <w:trHeight w:val="224"/>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Comprehensive income</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107,353</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66,426</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115,575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Less: comprehensive income attributable to noncontrolling interests</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2,338</w:t>
            </w:r>
          </w:p>
        </w:tc>
      </w:tr>
      <w:tr>
        <w:trPr>
          <w:trHeight w:val="290"/>
        </w:trPr>
        <w:tc>
          <w:tcPr>
            <w:tcW w:w="640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6"/>
                <w:szCs w:val="16"/>
                <w:color w:val="auto"/>
              </w:rPr>
              <w:t>Comprehensive income attributable to Bloomin’ Brands</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103,552</w:t>
            </w:r>
          </w:p>
        </w:tc>
        <w:tc>
          <w:tcPr>
            <w:tcW w:w="12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63,542</w:t>
            </w:r>
          </w:p>
        </w:tc>
        <w:tc>
          <w:tcPr>
            <w:tcW w:w="100" w:type="dxa"/>
            <w:vAlign w:val="bottom"/>
            <w:tcBorders>
              <w:top w:val="single" w:sz="8" w:color="CCEEFF"/>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113,237</w:t>
            </w:r>
          </w:p>
        </w:tc>
      </w:tr>
      <w:tr>
        <w:trPr>
          <w:trHeight w:val="257"/>
        </w:trPr>
        <w:tc>
          <w:tcPr>
            <w:tcW w:w="6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7"/>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9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88,839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92,042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96,365</w:t>
            </w:r>
          </w:p>
        </w:tc>
      </w:tr>
      <w:tr>
        <w:trPr>
          <w:trHeight w:val="23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89,777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94,075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99,707</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2"/>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dividends declared per common share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980" w:type="dxa"/>
            <w:vAlign w:val="bottom"/>
            <w:gridSpan w:val="4"/>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300" w:type="dxa"/>
            <w:vAlign w:val="bottom"/>
          </w:tcPr>
          <w:p>
            <w:pPr>
              <w:spacing w:after="0"/>
              <w:rPr>
                <w:sz w:val="9"/>
                <w:szCs w:val="9"/>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126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9"/>
                <w:szCs w:val="9"/>
                <w:color w:val="auto"/>
              </w:rPr>
            </w:pPr>
          </w:p>
        </w:tc>
        <w:tc>
          <w:tcPr>
            <w:tcW w:w="1120" w:type="dxa"/>
            <w:vAlign w:val="bottom"/>
            <w:gridSpan w:val="2"/>
          </w:tcPr>
          <w:p>
            <w:pPr>
              <w:ind w:left="100"/>
              <w:spacing w:after="0" w:line="113"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25, 2016</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1,079,583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(756,070)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226,063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6"/>
              </w:rPr>
              <w:t>Cumulative-effect from a change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 accounting principle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14,364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14,364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104,392</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(loss), net of tax</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11,944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11,941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Cash dividends declared, $0.32</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(30,988)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(30,988)</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Pr>
          <w:p>
            <w:pPr>
              <w:jc w:val="right"/>
              <w:spacing w:after="0"/>
              <w:rPr>
                <w:sz w:val="20"/>
                <w:szCs w:val="20"/>
                <w:color w:val="auto"/>
              </w:rPr>
            </w:pPr>
            <w:r>
              <w:rPr>
                <w:rFonts w:ascii="Arial" w:cs="Arial" w:eastAsia="Arial" w:hAnsi="Arial"/>
                <w:sz w:val="16"/>
                <w:szCs w:val="16"/>
                <w:color w:val="auto"/>
              </w:rPr>
              <w:t>(13,807)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(272,598)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6"/>
              </w:rPr>
              <w:t>(272,736)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23,721</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10,421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10,259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 net of tax of $45</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8"/>
              </w:rPr>
              <w:t>Change in the redemption value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of redeemable 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1"/>
        </w:trPr>
        <w:tc>
          <w:tcPr>
            <w:tcW w:w="23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December 31, 2017</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91,913</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919</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1,081,813</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(913,191)</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(99,199)</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10,889</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40"/>
        </w:trPr>
        <w:tc>
          <w:tcPr>
            <w:tcW w:w="23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107,098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109,868</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income, net of tax</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(43,556)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(43,112)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Cash dividends declared, $0.36</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(33,312)</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Pr>
          <w:p>
            <w:pPr>
              <w:jc w:val="right"/>
              <w:spacing w:after="0"/>
              <w:rPr>
                <w:sz w:val="20"/>
                <w:szCs w:val="20"/>
                <w:color w:val="auto"/>
              </w:rPr>
            </w:pPr>
            <w:r>
              <w:rPr>
                <w:rFonts w:ascii="Arial" w:cs="Arial" w:eastAsia="Arial" w:hAnsi="Arial"/>
                <w:sz w:val="16"/>
                <w:szCs w:val="16"/>
                <w:color w:val="auto"/>
              </w:rPr>
              <w:t>(5,062)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(113,917)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6"/>
              </w:rPr>
              <w:t>(113,967)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23,059</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4,421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36,568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36,612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 net of tax of $75</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8"/>
              </w:rPr>
              <w:t>Change in the redemption value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of redeemable 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vMerge w:val="restart"/>
          </w:tcPr>
          <w:p>
            <w:pPr>
              <w:jc w:val="right"/>
              <w:ind w:right="20"/>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39"/>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30, 2018</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1,107,582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54,817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126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9"/>
                <w:szCs w:val="9"/>
                <w:color w:val="auto"/>
              </w:rPr>
            </w:pPr>
          </w:p>
        </w:tc>
        <w:tc>
          <w:tcPr>
            <w:tcW w:w="1120" w:type="dxa"/>
            <w:vAlign w:val="bottom"/>
            <w:gridSpan w:val="2"/>
          </w:tcPr>
          <w:p>
            <w:pPr>
              <w:ind w:left="100"/>
              <w:spacing w:after="0" w:line="113"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shd w:val="clear" w:color="auto" w:fill="CCEEFF"/>
              </w:rPr>
              <w:t>Balance, December 30, 2018</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91,272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1,107,582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54,817</w:t>
            </w:r>
          </w:p>
        </w:tc>
        <w:tc>
          <w:tcPr>
            <w:tcW w:w="0" w:type="dxa"/>
            <w:vAlign w:val="bottom"/>
          </w:tcPr>
          <w:p>
            <w:pPr>
              <w:spacing w:after="0"/>
              <w:rPr>
                <w:sz w:val="1"/>
                <w:szCs w:val="1"/>
                <w:color w:val="auto"/>
              </w:rPr>
            </w:pPr>
          </w:p>
        </w:tc>
      </w:tr>
      <w:tr>
        <w:trPr>
          <w:trHeight w:val="220"/>
        </w:trPr>
        <w:tc>
          <w:tcPr>
            <w:tcW w:w="2300" w:type="dxa"/>
            <w:vAlign w:val="bottom"/>
            <w:gridSpan w:val="3"/>
          </w:tcPr>
          <w:p>
            <w:pPr>
              <w:ind w:left="40"/>
              <w:spacing w:after="0"/>
              <w:rPr>
                <w:sz w:val="20"/>
                <w:szCs w:val="20"/>
                <w:color w:val="auto"/>
              </w:rPr>
            </w:pPr>
            <w:r>
              <w:rPr>
                <w:rFonts w:ascii="Arial" w:cs="Arial" w:eastAsia="Arial" w:hAnsi="Arial"/>
                <w:sz w:val="16"/>
                <w:szCs w:val="16"/>
                <w:color w:val="auto"/>
                <w:w w:val="96"/>
              </w:rPr>
              <w:t>Cumulative-effect from a change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gridSpan w:val="3"/>
          </w:tcPr>
          <w:p>
            <w:pPr>
              <w:ind w:left="40"/>
              <w:spacing w:after="0"/>
              <w:rPr>
                <w:sz w:val="20"/>
                <w:szCs w:val="20"/>
                <w:color w:val="auto"/>
              </w:rPr>
            </w:pPr>
            <w:r>
              <w:rPr>
                <w:rFonts w:ascii="Arial" w:cs="Arial" w:eastAsia="Arial" w:hAnsi="Arial"/>
                <w:sz w:val="16"/>
                <w:szCs w:val="16"/>
                <w:color w:val="auto"/>
                <w:w w:val="96"/>
              </w:rPr>
              <w:t>in accounting principle, net of tax</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141,285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141,285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130,573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134,117</w:t>
            </w:r>
          </w:p>
        </w:tc>
        <w:tc>
          <w:tcPr>
            <w:tcW w:w="0" w:type="dxa"/>
            <w:vAlign w:val="bottom"/>
          </w:tcPr>
          <w:p>
            <w:pPr>
              <w:spacing w:after="0"/>
              <w:rPr>
                <w:sz w:val="1"/>
                <w:szCs w:val="1"/>
                <w:color w:val="auto"/>
              </w:rPr>
            </w:pPr>
          </w:p>
        </w:tc>
      </w:tr>
      <w:tr>
        <w:trPr>
          <w:trHeight w:val="220"/>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Other comprehensive (loss)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income, net of tax</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(27,055)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(26,764)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shd w:val="clear" w:color="auto" w:fill="CCEEFF"/>
              </w:rPr>
              <w:t>Cash dividends declared, $0.40</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per common share</w:t>
            </w:r>
          </w:p>
        </w:tc>
        <w:tc>
          <w:tcPr>
            <w:tcW w:w="3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(35,734)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(35,734)</w:t>
            </w:r>
          </w:p>
        </w:tc>
        <w:tc>
          <w:tcPr>
            <w:tcW w:w="0" w:type="dxa"/>
            <w:vAlign w:val="bottom"/>
          </w:tcPr>
          <w:p>
            <w:pPr>
              <w:spacing w:after="0"/>
              <w:rPr>
                <w:sz w:val="1"/>
                <w:szCs w:val="1"/>
                <w:color w:val="auto"/>
              </w:rPr>
            </w:pPr>
          </w:p>
        </w:tc>
      </w:tr>
      <w:tr>
        <w:trPr>
          <w:trHeight w:val="220"/>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Pr>
          <w:p>
            <w:pPr>
              <w:jc w:val="right"/>
              <w:spacing w:after="0"/>
              <w:rPr>
                <w:sz w:val="20"/>
                <w:szCs w:val="20"/>
                <w:color w:val="auto"/>
              </w:rPr>
            </w:pPr>
            <w:r>
              <w:rPr>
                <w:rFonts w:ascii="Arial" w:cs="Arial" w:eastAsia="Arial" w:hAnsi="Arial"/>
                <w:sz w:val="16"/>
                <w:szCs w:val="16"/>
                <w:color w:val="auto"/>
              </w:rPr>
              <w:t>(5,469)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(106,937)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6"/>
              </w:rPr>
              <w:t>(106,992)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19,951</w:t>
            </w:r>
          </w:p>
        </w:tc>
        <w:tc>
          <w:tcPr>
            <w:tcW w:w="0" w:type="dxa"/>
            <w:vAlign w:val="bottom"/>
          </w:tcPr>
          <w:p>
            <w:pPr>
              <w:spacing w:after="0"/>
              <w:rPr>
                <w:sz w:val="1"/>
                <w:szCs w:val="1"/>
                <w:color w:val="auto"/>
              </w:rPr>
            </w:pPr>
          </w:p>
        </w:tc>
      </w:tr>
      <w:tr>
        <w:trPr>
          <w:trHeight w:val="220"/>
        </w:trPr>
        <w:tc>
          <w:tcPr>
            <w:tcW w:w="2300" w:type="dxa"/>
            <w:vAlign w:val="bottom"/>
            <w:gridSpan w:val="3"/>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2,696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w w:val="98"/>
                <w:shd w:val="clear" w:color="auto" w:fill="CCEEFF"/>
              </w:rPr>
              <w:t>Purchase of noncontrolling</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interests</w:t>
            </w:r>
          </w:p>
        </w:tc>
        <w:tc>
          <w:tcPr>
            <w:tcW w:w="3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0"/>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39"/>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300" w:type="dxa"/>
            <w:vAlign w:val="bottom"/>
            <w:tcBorders>
              <w:top w:val="single" w:sz="8" w:color="CCEEFF"/>
            </w:tcBorders>
            <w:gridSpan w:val="3"/>
          </w:tcPr>
          <w:p>
            <w:pPr>
              <w:ind w:left="40"/>
              <w:spacing w:after="0"/>
              <w:rPr>
                <w:sz w:val="20"/>
                <w:szCs w:val="20"/>
                <w:color w:val="auto"/>
              </w:rPr>
            </w:pPr>
            <w:r>
              <w:rPr>
                <w:rFonts w:ascii="Arial" w:cs="Arial" w:eastAsia="Arial" w:hAnsi="Arial"/>
                <w:sz w:val="16"/>
                <w:szCs w:val="16"/>
                <w:color w:val="auto"/>
              </w:rPr>
              <w:t>Balance, December 29, 2019</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86,946</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869</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1,094,338</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(755,089)</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(169,776)</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7,139</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177,481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134,117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109,538</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103,608</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196,811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201,593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192,282</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discounts and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2,868</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Amortization of deferred gift card sales commissions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26,094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27,227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26,751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52,329</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Non-cash operating lease costs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73,357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and other non-cash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25,938</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Deferred income tax benefit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(25,890)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(29,490)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(28,051)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and modification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Loss (gain) on sale of a business or subsidiary</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(15,632)</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Recognition of deferred gain on sale-leaseback transactions</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(11,872)</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(Gain) loss on disposal of property, fixtures and equipment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2,461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2,951</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Change in assets and liabilities: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11,065</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Increase in other current assets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(40,519)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(25,405)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(12,262)</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in 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Decrease in operating right-of-use assets, net</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8"/>
              </w:rPr>
              <w:t>(Decrease) increase in accounts payable and accrued and other 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53,880</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Increase in deferred rent</w:t>
            </w:r>
          </w:p>
        </w:tc>
        <w:tc>
          <w:tcPr>
            <w:tcW w:w="4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8,737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12,079</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(5,855)</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Decrease in operating lease liabilities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(69,886)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other long-term liabilities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13,223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w:t>
            </w:r>
          </w:p>
        </w:tc>
      </w:tr>
      <w:tr>
        <w:trPr>
          <w:trHeight w:val="270"/>
        </w:trPr>
        <w:tc>
          <w:tcPr>
            <w:tcW w:w="6400" w:type="dxa"/>
            <w:vAlign w:val="bottom"/>
            <w:tcBorders>
              <w:bottom w:val="single" w:sz="8" w:color="CCEEFF"/>
            </w:tcBorders>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317,603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288,074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409,002</w:t>
            </w: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disposal of property, fixtures and equipment</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18,291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14,041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1,020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sale-leaseback transactions,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98,840</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sale of a business, net of cash divested</w:t>
            </w:r>
          </w:p>
        </w:tc>
        <w:tc>
          <w:tcPr>
            <w:tcW w:w="4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39,196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(161,926)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(260,589)</w:t>
            </w:r>
          </w:p>
        </w:tc>
      </w:tr>
      <w:tr>
        <w:trPr>
          <w:trHeight w:val="270"/>
        </w:trPr>
        <w:tc>
          <w:tcPr>
            <w:tcW w:w="6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investments, net</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5,259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r>
      <w:tr>
        <w:trPr>
          <w:trHeight w:val="257"/>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(123,115)</w:t>
            </w: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38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Cash flows used in financing activities:</w:t>
            </w:r>
          </w:p>
        </w:tc>
        <w:tc>
          <w:tcPr>
            <w:tcW w:w="3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Proceeds from issuance of long-term debt, net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621,603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Extinguishment and modification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(1,193,719)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Repayments of long-term debt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(27,259)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(26,686)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(75,528)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borrowings on revolving credit facilities,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670,800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476,829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1,345,761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Repayments of borrowings on revolving credit facilities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(671,300)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(478,500)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(676,500)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failed sale-leaseback transactions, net</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Proceeds from share-based compensation, net</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36,612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10,439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Purchase of limited partnership and noncontrolling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Payments for partner equity plan</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(19,947)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(16,786)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(113,967)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(272,916)</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63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Cash dividends paid on common stock</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(35,734)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(30,988)</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Net cash used in financing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(293,505)</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(6,643)</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71,823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129,543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136,186</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67,145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71,823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129,543</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47,893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Cash paid for income taxes, net of refunds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23,995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15,839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33,392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67,955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w w:val="93"/>
              </w:rPr>
              <w:t>(Decrease) increase in liabilities from the acquisition of property, fixtures and equipment or</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capital leases</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2,699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(4,747)</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00" w:hanging="692"/>
        <w:spacing w:after="0"/>
        <w:tabs>
          <w:tab w:leader="none" w:pos="7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Description of Business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Bloomin’ Brands, Inc. (“Bloomin’ Brands” or the “Company”) is one of the largest casual dining restaurant companies in the world, with a portfolio of leading, differentiated restaurant concepts. OSI Restaurant Partners, LLC (“OSI”) is the Company’s primary operating entity.</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owns and operates casual, upscale casual and fine 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132" w:lineRule="exact"/>
        <w:rPr>
          <w:sz w:val="20"/>
          <w:szCs w:val="20"/>
          <w:color w:val="auto"/>
        </w:rPr>
      </w:pPr>
    </w:p>
    <w:p>
      <w:pPr>
        <w:ind w:left="700" w:hanging="692"/>
        <w:spacing w:after="0"/>
        <w:tabs>
          <w:tab w:leader="none" w:pos="7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Summary of Significant Accounting Policies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Basis of Presentation - </w:t>
      </w:r>
      <w:r>
        <w:rPr>
          <w:rFonts w:ascii="Arial" w:cs="Arial" w:eastAsia="Arial" w:hAnsi="Arial"/>
          <w:sz w:val="20"/>
          <w:szCs w:val="20"/>
          <w:color w:val="auto"/>
        </w:rPr>
        <w:t>The Company’s consolidated financial statements include the accounts and operations of Bloomin’ Brands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 ensure timely reporting, the Company consolidates the results of its Brazil operations on a one month calendar lag. There were no intervening events that would materially affect the Company’s consolidated financial position, results of operations or cash flows as of and for the year ended December 29, 2019.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Principles of Consolidation - </w:t>
      </w:r>
      <w:r>
        <w:rPr>
          <w:rFonts w:ascii="Arial" w:cs="Arial" w:eastAsia="Arial" w:hAnsi="Arial"/>
          <w:sz w:val="20"/>
          <w:szCs w:val="20"/>
          <w:color w:val="auto"/>
        </w:rPr>
        <w:t>All intercompany accounts and transactions have been eliminated in consolidation.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consolidates variable interest entities where it has been determined that the Company is the primary beneficiary of those entities’ operations. The Company is a franchisor of 300 restaurants as of December 29, 2019, but does not possess any ownership interests in its franchisees and does not provide material financial support to its franchisees. These franchise relationships are not deemed variable interest entities and are not consolidated.</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Investments in entities the Company does not control, but where the Company’s interest is generally between 20% and 50% and the Company has the ability to exercise significant influence over the entity, are accounted for under the equity method.</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Fiscal Year - </w:t>
      </w:r>
      <w:r>
        <w:rPr>
          <w:rFonts w:ascii="Arial" w:cs="Arial" w:eastAsia="Arial" w:hAnsi="Arial"/>
          <w:sz w:val="20"/>
          <w:szCs w:val="20"/>
          <w:color w:val="auto"/>
        </w:rPr>
        <w:t>The Company utilizes a 52-53 week year ending on the last Sunday in December. In a 52 week fiscal year, each quarterly period is</w:t>
      </w:r>
      <w:r>
        <w:rPr>
          <w:rFonts w:ascii="Arial" w:cs="Arial" w:eastAsia="Arial" w:hAnsi="Arial"/>
          <w:sz w:val="20"/>
          <w:szCs w:val="20"/>
          <w:i w:val="1"/>
          <w:iCs w:val="1"/>
          <w:color w:val="auto"/>
        </w:rPr>
        <w:t xml:space="preserve"> </w:t>
      </w:r>
      <w:r>
        <w:rPr>
          <w:rFonts w:ascii="Arial" w:cs="Arial" w:eastAsia="Arial" w:hAnsi="Arial"/>
          <w:sz w:val="20"/>
          <w:szCs w:val="20"/>
          <w:color w:val="auto"/>
        </w:rPr>
        <w:t>comprised of 13 weeks. The additional week in a 53 week fiscal year is added to the fourth quarter. Fiscal year 2017 consisted of 53 weeks and fiscal years 2019 and 2018 consisted of 52 weeks.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Use of Estimates - </w:t>
      </w:r>
      <w:r>
        <w:rPr>
          <w:rFonts w:ascii="Arial" w:cs="Arial" w:eastAsia="Arial" w:hAnsi="Arial"/>
          <w:sz w:val="20"/>
          <w:szCs w:val="20"/>
          <w:color w:val="auto"/>
        </w:rPr>
        <w:t>The preparation of the accompanying consolidated financial statements in conformity with generally accepted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estimated.</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Cash and Cash Equivalents - </w:t>
      </w:r>
      <w:r>
        <w:rPr>
          <w:rFonts w:ascii="Arial" w:cs="Arial" w:eastAsia="Arial" w:hAnsi="Arial"/>
          <w:sz w:val="19"/>
          <w:szCs w:val="19"/>
          <w:color w:val="auto"/>
        </w:rPr>
        <w:t>Cash equivalents consist of investments that are readily convertible to cash with an original maturity date of three</w:t>
      </w:r>
      <w:r>
        <w:rPr>
          <w:rFonts w:ascii="Arial" w:cs="Arial" w:eastAsia="Arial" w:hAnsi="Arial"/>
          <w:sz w:val="19"/>
          <w:szCs w:val="19"/>
          <w:i w:val="1"/>
          <w:iCs w:val="1"/>
          <w:color w:val="auto"/>
        </w:rPr>
        <w:t xml:space="preserve"> </w:t>
      </w:r>
      <w:r>
        <w:rPr>
          <w:rFonts w:ascii="Arial" w:cs="Arial" w:eastAsia="Arial" w:hAnsi="Arial"/>
          <w:sz w:val="19"/>
          <w:szCs w:val="19"/>
          <w:color w:val="auto"/>
        </w:rPr>
        <w:t>months or less. Cash and cash equivalents include $44.8 million and $47.1 million, as of December 29, 2019 and December 30, 2018, respectively, for amounts in transit from credit card companies since settlement is reasonably assured.</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Concentrations of Credit and Counterparty Risk - </w:t>
      </w:r>
      <w:r>
        <w:rPr>
          <w:rFonts w:ascii="Arial" w:cs="Arial" w:eastAsia="Arial" w:hAnsi="Arial"/>
          <w:sz w:val="20"/>
          <w:szCs w:val="20"/>
          <w:color w:val="auto"/>
        </w:rPr>
        <w:t>Financial instruments that potentially subject the Company to a concentration of credit risk</w:t>
      </w:r>
      <w:r>
        <w:rPr>
          <w:rFonts w:ascii="Arial" w:cs="Arial" w:eastAsia="Arial" w:hAnsi="Arial"/>
          <w:sz w:val="20"/>
          <w:szCs w:val="20"/>
          <w:i w:val="1"/>
          <w:iCs w:val="1"/>
          <w:color w:val="auto"/>
        </w:rPr>
        <w:t xml:space="preserve"> </w:t>
      </w:r>
      <w:r>
        <w:rPr>
          <w:rFonts w:ascii="Arial" w:cs="Arial" w:eastAsia="Arial" w:hAnsi="Arial"/>
          <w:sz w:val="20"/>
          <w:szCs w:val="20"/>
          <w:color w:val="auto"/>
        </w:rPr>
        <w:t>are gift card, vendor and other receivables. Gift card, vendor and other receivables consist primarily of amounts due from gift card resellers and vendor rebates. The Company considers the concentration of credit risk for gift card, vendor and other receivables to be minimal due to the payment histories and general financial condition of its gift card resellers and vendors.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Financial instruments that potentially subject the Company to concentrations of counterparty risk are cash and cash equivalents, restricted cash and derivatives. The Company attempts to limit its counterparty risk by investing in certificates of deposit, money market funds, noninterest-bearing accounts and other highly rated investments. Whenever possible, the Company selects investment grade counterparties and rated money market funds in order to mitigate its counterparty risk. At times, cash balances may be in excess of FDIC insurance limits. See Note 16 - </w:t>
      </w:r>
      <w:r>
        <w:rPr>
          <w:rFonts w:ascii="Arial" w:cs="Arial" w:eastAsia="Arial" w:hAnsi="Arial"/>
          <w:sz w:val="20"/>
          <w:szCs w:val="20"/>
          <w:i w:val="1"/>
          <w:iCs w:val="1"/>
          <w:color w:val="auto"/>
        </w:rPr>
        <w:t xml:space="preserve">Derivative Instruments and Hedging Activities </w:t>
      </w:r>
      <w:r>
        <w:rPr>
          <w:rFonts w:ascii="Arial" w:cs="Arial" w:eastAsia="Arial" w:hAnsi="Arial"/>
          <w:sz w:val="20"/>
          <w:szCs w:val="20"/>
          <w:color w:val="auto"/>
        </w:rPr>
        <w:t>for a discussion of the Company’s use of derivative instruments and management of credit risk</w:t>
      </w:r>
      <w:r>
        <w:rPr>
          <w:rFonts w:ascii="Arial" w:cs="Arial" w:eastAsia="Arial" w:hAnsi="Arial"/>
          <w:sz w:val="20"/>
          <w:szCs w:val="20"/>
          <w:i w:val="1"/>
          <w:iCs w:val="1"/>
          <w:color w:val="auto"/>
        </w:rPr>
        <w:t xml:space="preserve"> </w:t>
      </w:r>
      <w:r>
        <w:rPr>
          <w:rFonts w:ascii="Arial" w:cs="Arial" w:eastAsia="Arial" w:hAnsi="Arial"/>
          <w:sz w:val="20"/>
          <w:szCs w:val="20"/>
          <w:color w:val="auto"/>
        </w:rPr>
        <w:t>inherent in derivative instruments.</w:t>
      </w:r>
    </w:p>
    <w:p>
      <w:pPr>
        <w:spacing w:after="0" w:line="21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 xml:space="preserve">Fair Value - </w:t>
      </w:r>
      <w:r>
        <w:rPr>
          <w:rFonts w:ascii="Arial" w:cs="Arial" w:eastAsia="Arial" w:hAnsi="Arial"/>
          <w:sz w:val="20"/>
          <w:szCs w:val="20"/>
          <w:color w:val="auto"/>
        </w:rPr>
        <w:t>Fair value is the price that would be received for an asset or paid to transfer a liability, or the exit price, in an orderly transaction</w:t>
      </w:r>
      <w:r>
        <w:rPr>
          <w:rFonts w:ascii="Arial" w:cs="Arial" w:eastAsia="Arial" w:hAnsi="Arial"/>
          <w:sz w:val="20"/>
          <w:szCs w:val="20"/>
          <w:i w:val="1"/>
          <w:iCs w:val="1"/>
          <w:color w:val="auto"/>
        </w:rPr>
        <w:t xml:space="preserve"> </w:t>
      </w:r>
      <w:r>
        <w:rPr>
          <w:rFonts w:ascii="Arial" w:cs="Arial" w:eastAsia="Arial" w:hAnsi="Arial"/>
          <w:sz w:val="20"/>
          <w:szCs w:val="20"/>
          <w:color w:val="auto"/>
        </w:rPr>
        <w:t>between market participants on the measurement date. Fair value is categorized into one of the following three levels based on the lowest level of significant input: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24"/>
        </w:trPr>
        <w:tc>
          <w:tcPr>
            <w:tcW w:w="820" w:type="dxa"/>
            <w:vAlign w:val="bottom"/>
          </w:tcPr>
          <w:p>
            <w:pPr>
              <w:ind w:left="20"/>
              <w:spacing w:after="0"/>
              <w:rPr>
                <w:sz w:val="20"/>
                <w:szCs w:val="20"/>
                <w:color w:val="auto"/>
              </w:rPr>
            </w:pPr>
            <w:r>
              <w:rPr>
                <w:rFonts w:ascii="Arial" w:cs="Arial" w:eastAsia="Arial" w:hAnsi="Arial"/>
                <w:sz w:val="16"/>
                <w:szCs w:val="16"/>
                <w:color w:val="auto"/>
              </w:rPr>
              <w:t>Level 2</w:t>
            </w:r>
          </w:p>
        </w:tc>
        <w:tc>
          <w:tcPr>
            <w:tcW w:w="10560" w:type="dxa"/>
            <w:vAlign w:val="bottom"/>
          </w:tcPr>
          <w:p>
            <w:pPr>
              <w:ind w:left="28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33"/>
        </w:trPr>
        <w:tc>
          <w:tcPr>
            <w:tcW w:w="82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24"/>
        </w:trPr>
        <w:tc>
          <w:tcPr>
            <w:tcW w:w="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Unobservable inputs that cannot be corroborated by observable market data</w:t>
            </w:r>
          </w:p>
        </w:tc>
      </w:tr>
      <w:tr>
        <w:trPr>
          <w:trHeight w:val="33"/>
        </w:trPr>
        <w:tc>
          <w:tcPr>
            <w:tcW w:w="820" w:type="dxa"/>
            <w:vAlign w:val="bottom"/>
            <w:shd w:val="clear" w:color="auto" w:fill="CCEEFF"/>
          </w:tcPr>
          <w:p>
            <w:pPr>
              <w:spacing w:after="0"/>
              <w:rPr>
                <w:sz w:val="2"/>
                <w:szCs w:val="2"/>
                <w:color w:val="auto"/>
              </w:rPr>
            </w:pPr>
          </w:p>
        </w:tc>
        <w:tc>
          <w:tcPr>
            <w:tcW w:w="10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Inventories - </w:t>
      </w:r>
      <w:r>
        <w:rPr>
          <w:rFonts w:ascii="Arial" w:cs="Arial" w:eastAsia="Arial" w:hAnsi="Arial"/>
          <w:sz w:val="19"/>
          <w:szCs w:val="19"/>
          <w:color w:val="auto"/>
        </w:rPr>
        <w:t>Inventories consist of food and beverages and are stated at the lower of cost (first-in, first-out) or net realizable value.</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Restricted Cash </w:t>
      </w:r>
      <w:r>
        <w:rPr>
          <w:rFonts w:ascii="Arial" w:cs="Arial" w:eastAsia="Arial" w:hAnsi="Arial"/>
          <w:sz w:val="20"/>
          <w:szCs w:val="20"/>
          <w:color w:val="auto"/>
        </w:rPr>
        <w:t>- From time to time, the Company may have short-term restricted cash balances consisting of amounts pledged for settlement</w:t>
      </w:r>
      <w:r>
        <w:rPr>
          <w:rFonts w:ascii="Arial" w:cs="Arial" w:eastAsia="Arial" w:hAnsi="Arial"/>
          <w:sz w:val="20"/>
          <w:szCs w:val="20"/>
          <w:i w:val="1"/>
          <w:iCs w:val="1"/>
          <w:color w:val="auto"/>
        </w:rPr>
        <w:t xml:space="preserve"> </w:t>
      </w:r>
      <w:r>
        <w:rPr>
          <w:rFonts w:ascii="Arial" w:cs="Arial" w:eastAsia="Arial" w:hAnsi="Arial"/>
          <w:sz w:val="20"/>
          <w:szCs w:val="20"/>
          <w:color w:val="auto"/>
        </w:rPr>
        <w:t>of deferred compensation plan obligations.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Property, Fixtures and Equipment - </w:t>
      </w:r>
      <w:r>
        <w:rPr>
          <w:rFonts w:ascii="Arial" w:cs="Arial" w:eastAsia="Arial" w:hAnsi="Arial"/>
          <w:sz w:val="20"/>
          <w:szCs w:val="20"/>
          <w:color w:val="auto"/>
        </w:rPr>
        <w:t>Property, fixtures and equipment are stated at cost, net of accumulated depreciation. Depreciation is</w:t>
      </w:r>
      <w:r>
        <w:rPr>
          <w:rFonts w:ascii="Arial" w:cs="Arial" w:eastAsia="Arial" w:hAnsi="Arial"/>
          <w:sz w:val="20"/>
          <w:szCs w:val="20"/>
          <w:i w:val="1"/>
          <w:iCs w:val="1"/>
          <w:color w:val="auto"/>
        </w:rPr>
        <w:t xml:space="preserve"> </w:t>
      </w:r>
      <w:r>
        <w:rPr>
          <w:rFonts w:ascii="Arial" w:cs="Arial" w:eastAsia="Arial" w:hAnsi="Arial"/>
          <w:sz w:val="20"/>
          <w:szCs w:val="20"/>
          <w:color w:val="auto"/>
        </w:rPr>
        <w:t>computed on the straight-line method over the estimated useful life of the assets. Estimated useful lives by major asset category are generally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shd w:val="clear" w:color="auto" w:fill="CCEEFF"/>
              </w:rPr>
              <w:t>5 to 30 years</w:t>
            </w:r>
          </w:p>
        </w:tc>
      </w:tr>
      <w:tr>
        <w:trPr>
          <w:trHeight w:val="224"/>
        </w:trPr>
        <w:tc>
          <w:tcPr>
            <w:tcW w:w="1056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860" w:type="dxa"/>
            <w:vAlign w:val="bottom"/>
          </w:tcPr>
          <w:p>
            <w:pPr>
              <w:jc w:val="right"/>
              <w:spacing w:after="0"/>
              <w:rPr>
                <w:sz w:val="20"/>
                <w:szCs w:val="20"/>
                <w:color w:val="auto"/>
              </w:rPr>
            </w:pPr>
            <w:r>
              <w:rPr>
                <w:rFonts w:ascii="Arial" w:cs="Arial" w:eastAsia="Arial" w:hAnsi="Arial"/>
                <w:sz w:val="16"/>
                <w:szCs w:val="16"/>
                <w:color w:val="auto"/>
                <w:w w:val="98"/>
              </w:rPr>
              <w:t>5 to 7 years</w:t>
            </w:r>
          </w:p>
        </w:tc>
      </w:tr>
      <w:tr>
        <w:trPr>
          <w:trHeight w:val="33"/>
        </w:trPr>
        <w:tc>
          <w:tcPr>
            <w:tcW w:w="10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0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shd w:val="clear" w:color="auto" w:fill="CCEEFF"/>
              </w:rPr>
              <w:t>2 to 7 years</w:t>
            </w:r>
          </w:p>
        </w:tc>
      </w:tr>
      <w:tr>
        <w:trPr>
          <w:trHeight w:val="224"/>
        </w:trPr>
        <w:tc>
          <w:tcPr>
            <w:tcW w:w="10560" w:type="dxa"/>
            <w:vAlign w:val="bottom"/>
          </w:tcPr>
          <w:p>
            <w:pPr>
              <w:ind w:left="40"/>
              <w:spacing w:after="0"/>
              <w:rPr>
                <w:sz w:val="20"/>
                <w:szCs w:val="20"/>
                <w:color w:val="auto"/>
              </w:rPr>
            </w:pPr>
            <w:r>
              <w:rPr>
                <w:rFonts w:ascii="Arial" w:cs="Arial" w:eastAsia="Arial" w:hAnsi="Arial"/>
                <w:sz w:val="16"/>
                <w:szCs w:val="16"/>
                <w:color w:val="auto"/>
              </w:rPr>
              <w:t>Computer equipment and software</w:t>
            </w:r>
          </w:p>
        </w:tc>
        <w:tc>
          <w:tcPr>
            <w:tcW w:w="860" w:type="dxa"/>
            <w:vAlign w:val="bottom"/>
          </w:tcPr>
          <w:p>
            <w:pPr>
              <w:jc w:val="right"/>
              <w:spacing w:after="0"/>
              <w:rPr>
                <w:sz w:val="20"/>
                <w:szCs w:val="20"/>
                <w:color w:val="auto"/>
              </w:rPr>
            </w:pPr>
            <w:r>
              <w:rPr>
                <w:rFonts w:ascii="Arial" w:cs="Arial" w:eastAsia="Arial" w:hAnsi="Arial"/>
                <w:sz w:val="16"/>
                <w:szCs w:val="16"/>
                <w:color w:val="auto"/>
                <w:w w:val="98"/>
              </w:rPr>
              <w:t>3 to 7 years</w:t>
            </w:r>
          </w:p>
        </w:tc>
      </w:tr>
      <w:tr>
        <w:trPr>
          <w:trHeight w:val="442"/>
        </w:trPr>
        <w:tc>
          <w:tcPr>
            <w:tcW w:w="10560" w:type="dxa"/>
            <w:vAlign w:val="bottom"/>
          </w:tcPr>
          <w:p>
            <w:pPr>
              <w:spacing w:after="0"/>
              <w:rPr>
                <w:sz w:val="20"/>
                <w:szCs w:val="20"/>
                <w:color w:val="auto"/>
              </w:rPr>
            </w:pPr>
            <w:r>
              <w:rPr>
                <w:rFonts w:ascii="Arial" w:cs="Arial" w:eastAsia="Arial" w:hAnsi="Arial"/>
                <w:sz w:val="16"/>
                <w:szCs w:val="16"/>
                <w:color w:val="auto"/>
              </w:rPr>
              <w:t>____________________</w:t>
            </w:r>
          </w:p>
        </w:tc>
        <w:tc>
          <w:tcPr>
            <w:tcW w:w="860" w:type="dxa"/>
            <w:vAlign w:val="bottom"/>
          </w:tcPr>
          <w:p>
            <w:pPr>
              <w:spacing w:after="0"/>
              <w:rPr>
                <w:sz w:val="24"/>
                <w:szCs w:val="24"/>
                <w:color w:val="auto"/>
              </w:rPr>
            </w:pPr>
          </w:p>
        </w:tc>
      </w:tr>
    </w:tbl>
    <w:p>
      <w:pPr>
        <w:ind w:left="660" w:hanging="652"/>
        <w:spacing w:after="0" w:line="257"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improvements to leased properties which are depreciated over the shorter of their useful life or the reasonably certain lease term, including renewal periods that are reasonably certain.</w:t>
      </w:r>
    </w:p>
    <w:p>
      <w:pPr>
        <w:spacing w:after="0" w:line="152" w:lineRule="exact"/>
        <w:rPr>
          <w:sz w:val="20"/>
          <w:szCs w:val="20"/>
          <w:color w:val="auto"/>
        </w:rPr>
      </w:pPr>
    </w:p>
    <w:p>
      <w:pPr>
        <w:jc w:val="both"/>
        <w:ind w:left="60"/>
        <w:spacing w:after="0" w:line="276" w:lineRule="auto"/>
        <w:rPr>
          <w:sz w:val="20"/>
          <w:szCs w:val="20"/>
          <w:color w:val="auto"/>
        </w:rPr>
      </w:pPr>
      <w:r>
        <w:rPr>
          <w:rFonts w:ascii="Arial" w:cs="Arial" w:eastAsia="Arial" w:hAnsi="Arial"/>
          <w:sz w:val="18"/>
          <w:szCs w:val="18"/>
          <w:color w:val="auto"/>
        </w:rPr>
        <w:t>Estimated useful lives are periodically reviewed and, where appropriate, changes are made prospectively. Effective September 30, 2019, the Company changed the estimated useful life of its leasehold improvements from 20 years to 30 years (or the reasonably certain lease term) for leasehold improvements associated with ground leases placed in service on or after that date. The change in useful life was adopted based on historical experience related to the use of leasehold improvements and the expectation of future usability considering the Company’s revised site selection strategy in recent years to focus on securing prime locations and ground leases for restaurant development and relocations. The change in estimated useful life did not have a material impact on the Company’s consolidated financial statements.</w:t>
      </w:r>
    </w:p>
    <w:p>
      <w:pPr>
        <w:spacing w:after="0" w:line="17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Repair and maintenance costs that maintain the appearance and functionality of the restaurant, but do not extend the useful life of any restaurant asset are expensed as incurred. The Company suspends depreciation and amortization for assets held for sale. The cost and related accumulated depreciation of assets sold or disposed of are removed from the Company’s Consolidated Balance Sheets, and any resulting gain or loss is generally recognized in Other restaurant operating expense in its Consolidated Statements of Operations and Comprehensive Income.</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capitalizes direct and indirect internal costs associated with the acquisition, development, design and construction of Company-owned restaurant locations as these costs have a future benefit to the Company. Upon restaurant opening, these costs are depreciated and charged to depreciation and amortization expense. Internal costs of $6.4 million, $6.9 million and $9.1 million were capitalized during 2019, 2018 and 2017,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2019 and 2018, computer equipment and software costs of $7.4 million and $13.5 million, respectively, were capitalized. As of December 29, 2019 and December 30, 2018, there was $25.7 million and $33.2 million, respectively, of unamortized computer equipment and software included in Property, fixtures and equipment, net on the Company’s Consolidated Balance Sheets.</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Goodwill and Intangible Assets - </w:t>
      </w:r>
      <w:r>
        <w:rPr>
          <w:rFonts w:ascii="Arial" w:cs="Arial" w:eastAsia="Arial" w:hAnsi="Arial"/>
          <w:sz w:val="18"/>
          <w:szCs w:val="18"/>
          <w:color w:val="auto"/>
        </w:rPr>
        <w:t>Goodwill represents the excess of the purchase price over the fair value of net assets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 and is assigned to the reporting unit in which the acquired business will operate. The Company’s indefinite-lived intangible assets consist of trade names. Goodwill and indefinite-lived intangible assets are tested for impairment annually, as of the first day of the second fiscal quarter, or whenever events or changes in circumstances indicate that the carrying amount may not be recoverable.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may elect to perform a qualitative assessment to determine whether it is more likely than not that a reporting unit is impaired. If the qualitative assessment is not performed or if the Company determines that it is not more likely than not that the fair value of the reporting unit exceeds the carrying value, the fair value of the reporting unit is calculated. The carrying value of the reporting unit is compared to its estimated fair value, with any excess of carrying value over fair value deemed to be an indicator of impairment.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Definite-lived intangible assets, which consist primarily of trademarks, franchise agreements and reacquired franchise rights, are amortized over their estimated useful lives and are tested for impairment, using the discounted cash flow method, whenever events or changes in circumstances indicate that the carrying value may not be recoverable.</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Derivatives - </w:t>
      </w:r>
      <w:r>
        <w:rPr>
          <w:rFonts w:ascii="Arial" w:cs="Arial" w:eastAsia="Arial" w:hAnsi="Arial"/>
          <w:sz w:val="18"/>
          <w:szCs w:val="18"/>
          <w:color w:val="auto"/>
        </w:rPr>
        <w:t>The Company records all derivatives on the balance sheet at fair value. The accounting for changes in the fair value of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depends on the intended use of the derivative, whether the Company has elected to designate a derivative in a hedging relationship and apply hedge accounting and whether the hedging relationship has satisfied the criteria necessary to apply hedge accounting.</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Derivatives designated and qualifying as a hedge of the exposure to variability in expected future cash flows, or other types of forecasted transactions, are considered cash flow hedges. </w:t>
      </w:r>
      <w:r>
        <w:rPr>
          <w:rFonts w:ascii="Arial" w:cs="Arial" w:eastAsia="Arial" w:hAnsi="Arial"/>
          <w:sz w:val="20"/>
          <w:szCs w:val="20"/>
          <w:color w:val="252525"/>
        </w:rPr>
        <w:t>If the derivative qualifies for hedge accounting treatment, any gain or loss on the derivative</w:t>
      </w:r>
      <w:r>
        <w:rPr>
          <w:rFonts w:ascii="Arial" w:cs="Arial" w:eastAsia="Arial" w:hAnsi="Arial"/>
          <w:sz w:val="20"/>
          <w:szCs w:val="20"/>
          <w:color w:val="auto"/>
        </w:rPr>
        <w:t xml:space="preserve"> </w:t>
      </w:r>
      <w:r>
        <w:rPr>
          <w:rFonts w:ascii="Arial" w:cs="Arial" w:eastAsia="Arial" w:hAnsi="Arial"/>
          <w:sz w:val="20"/>
          <w:szCs w:val="20"/>
          <w:color w:val="252525"/>
        </w:rPr>
        <w:t>instrument is recognized in equity as a change to Accumulated other comprehensive loss and reclassified into earnings in the same period or periods during which the hedged transaction affects earnings.</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The Company may enter into derivative contracts that are intended to economically hedge certain of its risk, even though hedge accounting does not apply or the Company elects not to apply hedge accounting. </w:t>
      </w:r>
      <w:r>
        <w:rPr>
          <w:rFonts w:ascii="Arial" w:cs="Arial" w:eastAsia="Arial" w:hAnsi="Arial"/>
          <w:sz w:val="18"/>
          <w:szCs w:val="18"/>
          <w:color w:val="252525"/>
        </w:rPr>
        <w:t>Derivatives not designated as hedges are not speculative and are used to</w:t>
      </w:r>
      <w:r>
        <w:rPr>
          <w:rFonts w:ascii="Arial" w:cs="Arial" w:eastAsia="Arial" w:hAnsi="Arial"/>
          <w:sz w:val="18"/>
          <w:szCs w:val="18"/>
          <w:color w:val="auto"/>
        </w:rPr>
        <w:t xml:space="preserve"> </w:t>
      </w:r>
      <w:r>
        <w:rPr>
          <w:rFonts w:ascii="Arial" w:cs="Arial" w:eastAsia="Arial" w:hAnsi="Arial"/>
          <w:sz w:val="18"/>
          <w:szCs w:val="18"/>
          <w:color w:val="252525"/>
        </w:rPr>
        <w:t>manage the Company’s exposure to interest rate movements, foreign currency exchange rate movements, changes in energy prices and other identified risks. Changes in the fair value of derivatives not designated in hedging relationships are recorded directly in earnings. The Company has elected not to offset derivative positions in the balance sheet with the same counterparty under the same agreement.</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Deferred Financing Fees </w:t>
      </w:r>
      <w:r>
        <w:rPr>
          <w:rFonts w:ascii="Arial" w:cs="Arial" w:eastAsia="Arial" w:hAnsi="Arial"/>
          <w:sz w:val="20"/>
          <w:szCs w:val="20"/>
          <w:color w:val="auto"/>
        </w:rPr>
        <w:t>- For fees associated with its revolving credit facility, the Company records deferred financing fees related to the</w:t>
      </w:r>
      <w:r>
        <w:rPr>
          <w:rFonts w:ascii="Arial" w:cs="Arial" w:eastAsia="Arial" w:hAnsi="Arial"/>
          <w:sz w:val="20"/>
          <w:szCs w:val="20"/>
          <w:i w:val="1"/>
          <w:iCs w:val="1"/>
          <w:color w:val="auto"/>
        </w:rPr>
        <w:t xml:space="preserve"> </w:t>
      </w:r>
      <w:r>
        <w:rPr>
          <w:rFonts w:ascii="Arial" w:cs="Arial" w:eastAsia="Arial" w:hAnsi="Arial"/>
          <w:sz w:val="20"/>
          <w:szCs w:val="20"/>
          <w:color w:val="auto"/>
        </w:rPr>
        <w:t>issuance of debt obligations in Other assets, net on its Consolidated Balance Sheets. For fees associated with all other debt obligations, the Company records deferred financing fees as a reduction of Long-term debt, net.</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amortizes deferred financing fees to interest expense over the term of the respective financing arrangement, primarily using the effective interest method. The Company amortized deferred financing fees of $2.5 million, $2.6 million and $2.9 million to interest expense for 2019, 2018 and 2017, respectively.</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Liquor Licenses - </w:t>
      </w:r>
      <w:r>
        <w:rPr>
          <w:rFonts w:ascii="Arial" w:cs="Arial" w:eastAsia="Arial" w:hAnsi="Arial"/>
          <w:sz w:val="20"/>
          <w:szCs w:val="20"/>
          <w:color w:val="auto"/>
        </w:rPr>
        <w:t>The fees from obtaining non-transferable liquor licenses directly issued by local government agencies for nominal fees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expensed as incurred. The costs of purchasing transferable liquor licenses through open markets in jurisdictions with a limited number of authorized liquor licenses are capitalized as indefinite-lived intangible assets and included in Other assets, net on the Company’s Consolidated Balance Sheets.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Insurance Reserves - </w:t>
      </w:r>
      <w:r>
        <w:rPr>
          <w:rFonts w:ascii="Arial" w:cs="Arial" w:eastAsia="Arial" w:hAnsi="Arial"/>
          <w:sz w:val="19"/>
          <w:szCs w:val="19"/>
          <w:color w:val="auto"/>
        </w:rPr>
        <w:t>The Company carries insurance programs with specific retention levels or high per-claim deductibles for a significant</w:t>
      </w:r>
      <w:r>
        <w:rPr>
          <w:rFonts w:ascii="Arial" w:cs="Arial" w:eastAsia="Arial" w:hAnsi="Arial"/>
          <w:sz w:val="19"/>
          <w:szCs w:val="19"/>
          <w:i w:val="1"/>
          <w:iCs w:val="1"/>
          <w:color w:val="auto"/>
        </w:rPr>
        <w:t xml:space="preserve"> </w:t>
      </w:r>
      <w:r>
        <w:rPr>
          <w:rFonts w:ascii="Arial" w:cs="Arial" w:eastAsia="Arial" w:hAnsi="Arial"/>
          <w:sz w:val="19"/>
          <w:szCs w:val="19"/>
          <w:color w:val="auto"/>
        </w:rPr>
        <w:t>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the Company considers actuarial assumptions and judgments regarding economic conditions, the frequency and severity of claims, claim development history and settlement practices. Reserves recorded for workers’ compensation and general liability claims are discounted using the average of the one-year and five-year risk-free rate of monetary assets that have comparable maturities.</w:t>
      </w:r>
    </w:p>
    <w:p>
      <w:pPr>
        <w:spacing w:after="0" w:line="19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Share Repurchase - </w:t>
      </w:r>
      <w:r>
        <w:rPr>
          <w:rFonts w:ascii="Arial" w:cs="Arial" w:eastAsia="Arial" w:hAnsi="Arial"/>
          <w:sz w:val="20"/>
          <w:szCs w:val="20"/>
          <w:color w:val="auto"/>
        </w:rPr>
        <w:t>Shares repurchased are retired. The par value of the repurchased shares is deducted from common stock and the excess of</w:t>
      </w:r>
      <w:r>
        <w:rPr>
          <w:rFonts w:ascii="Arial" w:cs="Arial" w:eastAsia="Arial" w:hAnsi="Arial"/>
          <w:sz w:val="20"/>
          <w:szCs w:val="20"/>
          <w:i w:val="1"/>
          <w:iCs w:val="1"/>
          <w:color w:val="auto"/>
        </w:rPr>
        <w:t xml:space="preserve"> </w:t>
      </w:r>
      <w:r>
        <w:rPr>
          <w:rFonts w:ascii="Arial" w:cs="Arial" w:eastAsia="Arial" w:hAnsi="Arial"/>
          <w:sz w:val="20"/>
          <w:szCs w:val="20"/>
          <w:color w:val="auto"/>
        </w:rPr>
        <w:t>the purchase price over the par value of the shares is recorded to Accumulated deficit.</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Revenue Recognition - </w:t>
      </w:r>
      <w:r>
        <w:rPr>
          <w:rFonts w:ascii="Arial" w:cs="Arial" w:eastAsia="Arial" w:hAnsi="Arial"/>
          <w:sz w:val="20"/>
          <w:szCs w:val="20"/>
          <w:color w:val="auto"/>
        </w:rPr>
        <w:t>The Company records food and beverage revenues, net of discounts and taxes, upon delivery to the customer. Franchise-related revenues are included in Franchise and other revenues in the Company’s Consolidated Statements of Operations and Comprehensive Income. Royalties, which are a percentage of net sales of the franchisee, are recognized as revenue in the period which the sales are reported to have occurred.</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Proceeds from the sale of gift cards, which do not have expiration dates, are recorded as deferred revenue and recognized as revenue upon redemption by the customer. The Company applies the portfolio approach practical expedient to account for gift card contracts and performance obligations. Gift card breakage, the amount of gift cards which will not be redeemed, is recognized using estimates based on historical redemption patterns. If actual redemptions vary from the estimated breakage, gift card breakage income may differ from the amount recorded. The Company periodically updates its estimates used for breakage. Breakage revenue is recorded as a component of Restaurant sales in the Company’s Consolidated Statements of Operations and Comprehensive Income. Approximately 85% of deferred gift card revenue is expected to be recognized within 12 months of inception. Gift card sales that are accompanied by a bonus gift card to be used by the customer at a future visit result in a separate deferral of a portion of the original gift card sale. Revenue is recorded when the bonus card is redeemed or expires at the estimated fair market value of the bonus card.</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Gift card sales commissions paid to third-party providers are capitalized and subsequently amortized to Other restaurant operating expense based on historical gift card redemption patterns. See Note 3 -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for rollforwards of deferred gift card sales commissions and unearned gift card revenue.</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Advertising fees charged to franchisees are recognized as Franchise revenue in the Company’s Consolidated Statements of Operations and Comprehensive Income. Initial franchise and renewal fees are recognized over the term of the franchise agreement and renewal period, respectively. The weighted average remaining term of franchise agreements and renewal periods was approximately 14 years as of December 29, 2019.</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maintains a customer loyalty program, Dine Rewards, in the U.S., where customers have the ability to earn a reward after a number of qualified visits. The Company has developed an estimated value of the partial reward earned from each qualified visit, which is recorded as deferred revenue. Each reward has a maximum value and must be redeemed within three months of earning such reward. The revenue associated with the fair value of the qualified visit is recognized upon the earlier of redemption or expiration of the reward. The Company applies the practical expedient to exclude disclosures regarding loyalty program remaining performance obligations, which have original expected durations of less than one year.</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collects and remits sales, food and beverage, alcoholic beverage and hospitality taxes on transactions with customers and reports revenue net of taxes in its Consolidated Statements of Operations and Comprehensive Income.</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Leases - </w:t>
      </w:r>
      <w:r>
        <w:rPr>
          <w:rFonts w:ascii="Arial" w:cs="Arial" w:eastAsia="Arial" w:hAnsi="Arial"/>
          <w:sz w:val="20"/>
          <w:szCs w:val="20"/>
          <w:color w:val="auto"/>
        </w:rPr>
        <w:t>Effective December 31, 2018, the Company’s lease accounting policies changed in conjunction with its adoption of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Standards Update (“ASU”) No. 2016-02: Leases (Topic 842) (“ASU No. 2016-02”), ASU No.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2018-01, “Leases (Topic 842): Land Easement Practical Expedient for Transitioning to Topic 842,” (“ASU No. 2018-01”) and ASU No. 2018-</w:t>
      </w:r>
    </w:p>
    <w:p>
      <w:pPr>
        <w:spacing w:after="0" w:line="39" w:lineRule="exact"/>
        <w:rPr>
          <w:sz w:val="20"/>
          <w:szCs w:val="20"/>
          <w:color w:val="auto"/>
        </w:rPr>
      </w:pPr>
    </w:p>
    <w:p>
      <w:pPr>
        <w:ind w:right="20" w:firstLine="8"/>
        <w:spacing w:after="0" w:line="244" w:lineRule="auto"/>
        <w:tabs>
          <w:tab w:leader="none" w:pos="304"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Leases (Topic 842): Targeted Improvements (“ASU No. 2018-11”). See discussion of ASU No. 2016-02, ASU No. 2018-01 and ASU No. 2018-11 in </w:t>
      </w:r>
      <w:r>
        <w:rPr>
          <w:rFonts w:ascii="Arial" w:cs="Arial" w:eastAsia="Arial" w:hAnsi="Arial"/>
          <w:sz w:val="20"/>
          <w:szCs w:val="20"/>
          <w:i w:val="1"/>
          <w:iCs w:val="1"/>
          <w:color w:val="auto"/>
        </w:rPr>
        <w:t>Recently Adopted Financial Accounting Standards</w:t>
      </w:r>
      <w:r>
        <w:rPr>
          <w:rFonts w:ascii="Arial" w:cs="Arial" w:eastAsia="Arial" w:hAnsi="Arial"/>
          <w:sz w:val="20"/>
          <w:szCs w:val="20"/>
          <w:color w:val="auto"/>
        </w:rPr>
        <w:t xml:space="preserve"> below.</w:t>
      </w:r>
    </w:p>
    <w:p>
      <w:pPr>
        <w:spacing w:after="0" w:line="205"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Company’s determination of whether an arrangement contains a lease is based on an evaluation of whether the arrangement conveys the right to use and control specific property or equipment. The Company leases restaurant and office facilities and certain equipment under operating leases primarily having initial terms between one and 20 years. Restaurant facility leases generally have renewal periods totaling five to 30 years, exercisable at the option of the Company. Contingent rentals represent payment of variable lease obligations based on a percentage of gross revenues, as defined by the terms of the applicable lease agreement for certain restaurant facility leases. The Company also has certain leases, which reset periodically based on a specified index. Such leases are recorded using the index that existed at lease commencement. Subsequent changes in the index are recorded as variable rental payments. Variable rental payments are expensed as incurred in the Company’s Consolidated Statements of Operations and Comprehensive Income and future variable rent obligations are not included within the lease liabilities on the Consolidated Balance Sheet. The depreciable life of lease assets and leasehold improvements are limited by the expected lease term. None of the Company’s leases contain any material residual value guarantees or material restrictive covenants.</w:t>
      </w:r>
    </w:p>
    <w:p>
      <w:pPr>
        <w:spacing w:after="0" w:line="39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 restaurant facility leases executed subsequent to the adoption of ASU No. 2016-02, the Company accounts for fixed lease and non-lease components as a single lease component. Additionally, for certain equipment leases, the Company applies a portfolio approach to account for the lease assets and liabilities. Leases with an initial term of 12 months or less are not recorded on its Consolidated Balance Sheet, they are recognized on a straight-line basis over the lease term within Other restaurant operating expense in the Company’s Consolidated Statements of Operations and Comprehensive Income.</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Rent expense for the Company’s operating leases, which generally have escalating rentals over the term of the lease and may include rent holidays, is recorded on a straight-line basis over the initial lease term and those renewal periods that are reasonably certain. Rent expense is recorded in Other restaurant operating in the Company’s Consolidated Statements of Operations and Comprehensive Income. Payments received from landlords as incentives for leasehold improvements are recorded as a reduction of the right-of-use asset and amortized on a straight-line basis over the term of the lease as a reduction of rent expense.</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Pre-Opening Expenses - </w:t>
      </w:r>
      <w:r>
        <w:rPr>
          <w:rFonts w:ascii="Arial" w:cs="Arial" w:eastAsia="Arial" w:hAnsi="Arial"/>
          <w:sz w:val="19"/>
          <w:szCs w:val="19"/>
          <w:color w:val="auto"/>
        </w:rPr>
        <w:t>Non-capital expenditures associated with opening new restaurants are expensed as incurred and are included in Other</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 operating expense in the Company’s Consolidated Statements of Operations and Comprehensive Income.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Consideration Received from Vendors - </w:t>
      </w:r>
      <w:r>
        <w:rPr>
          <w:rFonts w:ascii="Arial" w:cs="Arial" w:eastAsia="Arial" w:hAnsi="Arial"/>
          <w:sz w:val="19"/>
          <w:szCs w:val="19"/>
          <w:color w:val="auto"/>
        </w:rPr>
        <w:t>The Company receives consideration for a variety of vendor-sponsored programs, such as volume</w:t>
      </w:r>
      <w:r>
        <w:rPr>
          <w:rFonts w:ascii="Arial" w:cs="Arial" w:eastAsia="Arial" w:hAnsi="Arial"/>
          <w:sz w:val="19"/>
          <w:szCs w:val="19"/>
          <w:i w:val="1"/>
          <w:iCs w:val="1"/>
          <w:color w:val="auto"/>
        </w:rPr>
        <w:t xml:space="preserve"> </w:t>
      </w:r>
      <w:r>
        <w:rPr>
          <w:rFonts w:ascii="Arial" w:cs="Arial" w:eastAsia="Arial" w:hAnsi="Arial"/>
          <w:sz w:val="19"/>
          <w:szCs w:val="19"/>
          <w:color w:val="auto"/>
        </w:rPr>
        <w:t>rebates, promotions and advertising allowances. Advertising allowances are intended to offset the Company’s costs of promoting and selling menu items in its restaurants. Vendor consideration is recorded as a reduction of Cost of sales or Other restaurant operating expense when recognized in the Company’s Consolidated Statements of Operations and Comprehensive Income.</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Impairment of Long-Lived Assets and Costs Associated with Exit Activities - </w:t>
      </w:r>
      <w:r>
        <w:rPr>
          <w:rFonts w:ascii="Arial" w:cs="Arial" w:eastAsia="Arial" w:hAnsi="Arial"/>
          <w:sz w:val="18"/>
          <w:szCs w:val="18"/>
          <w:color w:val="auto"/>
        </w:rPr>
        <w:t>Long-lived assets are reviewed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may not be recoverable. The evaluation is performed at the lowest level of identifiable cash flows independent of other assets. For long-lived assets deployed at its restaurants, the Company reviews for impairment at the individual restaurant level. When evaluating for impairment, the total future undiscounted cash flows expected to be generated by the asset are compared to the carrying amount. If the total future undiscounted cash flows of the asset are less than its carrying amount, recoverability is measured by comparing the fair value of the assets to the carrying amount. An impairment loss is recognized in earnings when the asset’s carrying value exceeds its estimated fair value. Fair value is generally estimated using a discounted cash flow model.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Restaurant closure costs, including lease termination fees, are expensed as incurred. When the Company ceases using the property rights under a non-cancelable operating lease, it records a liability for the net present value of any remaining non-rent lease related obligations as a result of lease termination, less the estimated subtenant cost recovery that can reasonably be obtained for the property. </w:t>
      </w:r>
      <w:r>
        <w:rPr>
          <w:rFonts w:ascii="Arial" w:cs="Arial" w:eastAsia="Arial" w:hAnsi="Arial"/>
          <w:sz w:val="20"/>
          <w:szCs w:val="20"/>
          <w:color w:val="252525"/>
        </w:rPr>
        <w:t>Any subsequent adjustment to</w:t>
      </w:r>
      <w:r>
        <w:rPr>
          <w:rFonts w:ascii="Arial" w:cs="Arial" w:eastAsia="Arial" w:hAnsi="Arial"/>
          <w:sz w:val="20"/>
          <w:szCs w:val="20"/>
          <w:color w:val="auto"/>
        </w:rPr>
        <w:t xml:space="preserve"> </w:t>
      </w:r>
      <w:r>
        <w:rPr>
          <w:rFonts w:ascii="Arial" w:cs="Arial" w:eastAsia="Arial" w:hAnsi="Arial"/>
          <w:sz w:val="20"/>
          <w:szCs w:val="20"/>
          <w:color w:val="252525"/>
        </w:rPr>
        <w:t xml:space="preserve">that liability as a result of lease termination or changes in estimates of cost recovery is recorded in the period incurred. </w:t>
      </w:r>
      <w:r>
        <w:rPr>
          <w:rFonts w:ascii="Arial" w:cs="Arial" w:eastAsia="Arial" w:hAnsi="Arial"/>
          <w:sz w:val="20"/>
          <w:szCs w:val="20"/>
          <w:color w:val="000000"/>
        </w:rPr>
        <w:t>The associated expense</w:t>
      </w:r>
      <w:r>
        <w:rPr>
          <w:rFonts w:ascii="Arial" w:cs="Arial" w:eastAsia="Arial" w:hAnsi="Arial"/>
          <w:sz w:val="20"/>
          <w:szCs w:val="20"/>
          <w:color w:val="252525"/>
        </w:rPr>
        <w:t xml:space="preserve"> </w:t>
      </w:r>
      <w:r>
        <w:rPr>
          <w:rFonts w:ascii="Arial" w:cs="Arial" w:eastAsia="Arial" w:hAnsi="Arial"/>
          <w:sz w:val="20"/>
          <w:szCs w:val="20"/>
          <w:color w:val="000000"/>
        </w:rPr>
        <w:t>is recorded in Provision for impaired assets and restaurant closings in the Company’s Consolidated Statements of Operations and Comprehensive Income.</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Restaurant sites and certain other assets to be sold are included in assets held for sale when certain criteria are met, including the requirement that the likelihood of selling the assets within one year is probable.</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Advertising Costs - </w:t>
      </w:r>
      <w:r>
        <w:rPr>
          <w:rFonts w:ascii="Arial" w:cs="Arial" w:eastAsia="Arial" w:hAnsi="Arial"/>
          <w:sz w:val="20"/>
          <w:szCs w:val="20"/>
          <w:color w:val="auto"/>
        </w:rPr>
        <w:t>Advertising production costs are expensed in the period when the advertising first occurs. All other advertising costs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expensed in the period in which the costs are incurred. Advertising expense of $146.1 million, $147.8 million and $151.4 million for 2019, 2018 and 2017, respectively, was recorded in Other restaurant operating expense in the Company’s Consolidated Statements of Operations and Comprehensive Income.</w:t>
      </w:r>
    </w:p>
    <w:p>
      <w:pPr>
        <w:spacing w:after="0" w:line="205" w:lineRule="exact"/>
        <w:rPr>
          <w:sz w:val="20"/>
          <w:szCs w:val="20"/>
          <w:color w:val="auto"/>
        </w:rPr>
      </w:pPr>
    </w:p>
    <w:p>
      <w:pPr>
        <w:jc w:val="both"/>
        <w:spacing w:after="0" w:line="386" w:lineRule="auto"/>
        <w:rPr>
          <w:sz w:val="20"/>
          <w:szCs w:val="20"/>
          <w:color w:val="auto"/>
        </w:rPr>
      </w:pPr>
      <w:r>
        <w:rPr>
          <w:rFonts w:ascii="Arial" w:cs="Arial" w:eastAsia="Arial" w:hAnsi="Arial"/>
          <w:sz w:val="16"/>
          <w:szCs w:val="16"/>
          <w:i w:val="1"/>
          <w:iCs w:val="1"/>
          <w:color w:val="auto"/>
        </w:rPr>
        <w:t xml:space="preserve">Legal Costs - </w:t>
      </w:r>
      <w:r>
        <w:rPr>
          <w:rFonts w:ascii="Arial" w:cs="Arial" w:eastAsia="Arial" w:hAnsi="Arial"/>
          <w:sz w:val="16"/>
          <w:szCs w:val="16"/>
          <w:color w:val="auto"/>
        </w:rPr>
        <w:t>Settlement costs are accrued when they are deemed probable and reasonably estimable. Legal fees are recognized as incurred and</w:t>
      </w:r>
      <w:r>
        <w:rPr>
          <w:rFonts w:ascii="Arial" w:cs="Arial" w:eastAsia="Arial" w:hAnsi="Arial"/>
          <w:sz w:val="16"/>
          <w:szCs w:val="16"/>
          <w:i w:val="1"/>
          <w:iCs w:val="1"/>
          <w:color w:val="auto"/>
        </w:rPr>
        <w:t xml:space="preserve"> </w:t>
      </w:r>
      <w:r>
        <w:rPr>
          <w:rFonts w:ascii="Arial" w:cs="Arial" w:eastAsia="Arial" w:hAnsi="Arial"/>
          <w:sz w:val="16"/>
          <w:szCs w:val="16"/>
          <w:color w:val="auto"/>
        </w:rPr>
        <w:t>are reported in General and administrative expense in the Company’s Consolidated Statements of Operations and Comprehensive Income.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Research and Development Expenses (“R&amp;D”) - </w:t>
      </w:r>
      <w:r>
        <w:rPr>
          <w:rFonts w:ascii="Arial" w:cs="Arial" w:eastAsia="Arial" w:hAnsi="Arial"/>
          <w:sz w:val="20"/>
          <w:szCs w:val="20"/>
          <w:color w:val="auto"/>
        </w:rPr>
        <w:t>R&amp;D is expensed as incurred in General and administrative expense in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Consolidated Statements of Operations and Comprehensive Income. R&amp;D primarily consists of payroll and benefit costs. R&amp;D was $3.4 million, $3.8 million and $3.9 million for 2019, 2018 and 2017, respectively.</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Partner Compensation - </w:t>
      </w:r>
      <w:r>
        <w:rPr>
          <w:rFonts w:ascii="Arial" w:cs="Arial" w:eastAsia="Arial" w:hAnsi="Arial"/>
          <w:sz w:val="18"/>
          <w:szCs w:val="18"/>
          <w:color w:val="auto"/>
        </w:rPr>
        <w:t>In addition to base salary, Area Operating Partners, Restaurant Managing Partners and Chef Partners generally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bonuses for providing management and supervisory services to their restaurants, certain of which may be based on a percentage of their restaurants’ monthly operating results or cash flows and/or total controllable income (“Monthly Payments”).</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Certain Restaurant Managing Partners and Chef Partners in the U.S. (“U.S. Partners”) may also participate in deferred compensation programs and other performance-based compensation programs. The Company may invest in corporate-owned life insurance policies, which are held within an irrevocable grantor or “rabbi” trust account for settlement of certain of the Company’s obligations under the deferred compensation plans.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Many of the Company’s international Restaurant Managing Partners are given the option to purchase participation interests in the cash distributions of the restaurants they manage. The amount, terms and availability vary by country.</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Company estimates future bonuses and deferred compensation obligations to U.S. Partners and Area Operating Partners, using current and historical information on restaurant performance and records the long-term portion of partner obligations in Other long-term liabilities, net on its Consolidated Balance Sheets. Monthly Payments and deferred compensation expenses for U.S. Partners are included in Labor and other related expenses and Monthly Payments and bonus expense for Area Operating Partners are included in General and administrative expense in the Company’s Consolidated Statements of Operations and Comprehensive Income.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Stock-based compensation awards are measured at fair value at the date of grant and expensed over their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 periods. Stock-based compensation expense is recognized only for those awards expected to vest. The expense, net of forfeitures, is recognized using the straight-line method. Forfeitures of share-based compensation awards are recognized as they occur.</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Foreign Currency Translation and Transactions - </w:t>
      </w:r>
      <w:r>
        <w:rPr>
          <w:rFonts w:ascii="Arial" w:cs="Arial" w:eastAsia="Arial" w:hAnsi="Arial"/>
          <w:sz w:val="20"/>
          <w:szCs w:val="20"/>
          <w:color w:val="auto"/>
        </w:rPr>
        <w:t>For non-U.S. operations, the functional currency is the local currency. Foreign currency</w:t>
      </w:r>
      <w:r>
        <w:rPr>
          <w:rFonts w:ascii="Arial" w:cs="Arial" w:eastAsia="Arial" w:hAnsi="Arial"/>
          <w:sz w:val="20"/>
          <w:szCs w:val="20"/>
          <w:i w:val="1"/>
          <w:iCs w:val="1"/>
          <w:color w:val="auto"/>
        </w:rPr>
        <w:t xml:space="preserve"> </w:t>
      </w:r>
      <w:r>
        <w:rPr>
          <w:rFonts w:ascii="Arial" w:cs="Arial" w:eastAsia="Arial" w:hAnsi="Arial"/>
          <w:sz w:val="20"/>
          <w:szCs w:val="20"/>
          <w:color w:val="auto"/>
        </w:rPr>
        <w:t>denominated assets and liabilities are translated into U.S. dollars using the exchange rates in effect at the balance sheet date with the translation adjustments recorded in Accumulated other comprehensive loss in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Company’s Consolidated Statements of Changes in Stockholders’ Equity. Results of operations are translated using the average exchange rates for the reporting period. Foreign currency exchange transaction losses are recorded in General and administrative expense in the Company’s Consolidated Statements of Operations and Comprehensive Income.</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Income Taxes - </w:t>
      </w:r>
      <w:r>
        <w:rPr>
          <w:rFonts w:ascii="Arial" w:cs="Arial" w:eastAsia="Arial" w:hAnsi="Arial"/>
          <w:sz w:val="20"/>
          <w:szCs w:val="20"/>
          <w:color w:val="auto"/>
        </w:rPr>
        <w:t>Deferred income tax assets and liabilities are recognized for the future tax consequences attributable to differences between the</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statement carrying amounts of existing assets and liabilities and their respective tax basis.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the tax rate is recognized in income in the period that includes the enactment date of the rate change. A valuation allowance may reduce deferred income tax assets to the amount that is more likely than not to be realized.</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records a tax benefit for an uncertain tax position using the highest cumulative tax benefit that is more likely than not to be realized. The Company adjusts its liability for unrecognized tax benefits in the period in which it determines the issue is effectively settled, the statute of limitations expires or when more information becomes available. Liabilities for unrecognized tax benefits, including penalties and interest, are recorded in Accrued and other current liabilities and Other long-term liabilities, net on the Company’s Consolidated Balance Sheets.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Recently Adopted Financial Accounting Standards </w:t>
      </w:r>
      <w:r>
        <w:rPr>
          <w:rFonts w:ascii="Arial" w:cs="Arial" w:eastAsia="Arial" w:hAnsi="Arial"/>
          <w:sz w:val="19"/>
          <w:szCs w:val="19"/>
          <w:color w:val="auto"/>
        </w:rPr>
        <w:t>- On December 31, 2018, the Company adopted ASU No. 2016-02, ASU No. 2018-01, and</w:t>
      </w:r>
      <w:r>
        <w:rPr>
          <w:rFonts w:ascii="Arial" w:cs="Arial" w:eastAsia="Arial" w:hAnsi="Arial"/>
          <w:sz w:val="19"/>
          <w:szCs w:val="19"/>
          <w:i w:val="1"/>
          <w:iCs w:val="1"/>
          <w:color w:val="auto"/>
        </w:rPr>
        <w:t xml:space="preserve"> </w:t>
      </w:r>
      <w:r>
        <w:rPr>
          <w:rFonts w:ascii="Arial" w:cs="Arial" w:eastAsia="Arial" w:hAnsi="Arial"/>
          <w:sz w:val="19"/>
          <w:szCs w:val="19"/>
          <w:color w:val="auto"/>
        </w:rPr>
        <w:t>ASU No. 2018-11. ASU No. 2016-02 requires the lease rights and obligations arising from lease contracts, including existing and new arrangements, to be recognized as assets and liabilities on the balance sheet. ASU No. 2018-01 allows an entity to elect an optional transition practical expedient to not evaluate land easements that exist or expired before the Company’s adoption of ASU No. 2016-02. ASU No. 2018-11 allows for an additional transition method, which permits use of the effective date of adoption as the date of initial application of ASU No. 2016-02 without restating comparative period financial statements and provides entities with a practical expedient that allows entities to elect not to separate lease and non-lease components when certain conditions are met.</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adopted ASU No. 2016-02 using December 31, 2018 as the date of initial application. Consequently, financial information and the disclosures required under the new standard were not provided for dates and periods before December 31, 2018. The Company also elected a transition package including practical expedients that permitted it not to reassess the classification and initial direct costs of expired or existing contracts and leases, to not separate lease and non-lease components of restaurant facility leases executed subsequent to adoption, and to not evaluate land easements that exist or expired before the adoption. In preparation for adoption, the Company implemented a new lease accounting system.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Adoption resulted in the following, as of December 31, 2018:</w:t>
      </w:r>
    </w:p>
    <w:p>
      <w:pPr>
        <w:spacing w:after="0" w:line="229" w:lineRule="exact"/>
        <w:rPr>
          <w:sz w:val="20"/>
          <w:szCs w:val="20"/>
          <w:color w:val="auto"/>
        </w:rPr>
      </w:pPr>
    </w:p>
    <w:p>
      <w:pPr>
        <w:ind w:left="660" w:hanging="490"/>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recording of right-of-use assets of $1.3 billion and lease liabilities of $1.5 billion;</w:t>
      </w:r>
    </w:p>
    <w:p>
      <w:pPr>
        <w:spacing w:after="0" w:line="15" w:lineRule="exact"/>
        <w:rPr>
          <w:rFonts w:ascii="Arial" w:cs="Arial" w:eastAsia="Arial" w:hAnsi="Arial"/>
          <w:sz w:val="20"/>
          <w:szCs w:val="20"/>
          <w:color w:val="auto"/>
        </w:rPr>
      </w:pPr>
    </w:p>
    <w:p>
      <w:pPr>
        <w:ind w:left="660" w:hanging="490"/>
        <w:spacing w:after="0" w:line="26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credit to the beginning balance of Accumulated deficit of $190.4 million to derecognize deferred gains on sale-leaseback transactions and a debit to the beginning balance of Accumulated deficit of $49.2 million to derecognize the related deferred tax assets; and</w:t>
      </w:r>
    </w:p>
    <w:p>
      <w:pPr>
        <w:jc w:val="both"/>
        <w:ind w:left="660" w:hanging="490"/>
        <w:spacing w:after="0" w:line="241"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derecognition of existing debt obligations of $19.6 million and existing fixed assets of $16.1 million related to restaurant properties sold and leased back from third parties that previously did not qualify for sale accounting, with gains or losses associated with this change recognized in Accumulated deficit.</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Other restaurant operating expense increased during 2019 from the adoption of ASU No. 2016-02 since the Company no longer recognizes the benefit of deferred gains on sale-leaseback transactions through its statements of operations over the corresponding lease term. During 2018 and 2017, the Company recognized $12.3 million and $11.9 million, respectively, of sale-leaseback deferred gain amortization.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a result of adoption of ASU No. 2016-02, the Company recorded reclassification adjustments to certain balances that were recorded under Accounting Standards Codification Topic 840, “Leases” (“ASC 840”) on its Consolidated Balance Sheet as of December 30, 2018. The following table summarizes accounts with material reclassification adjustments which impacted Operating lease right-of-use assets as a part of the adoption of ASU No. 2016-02: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ACCOUNT</w:t>
            </w:r>
          </w:p>
        </w:tc>
        <w:tc>
          <w:tcPr>
            <w:tcW w:w="120" w:type="dxa"/>
            <w:vAlign w:val="bottom"/>
            <w:tcBorders>
              <w:bottom w:val="single" w:sz="8" w:color="CCEEFF"/>
            </w:tcBorders>
          </w:tcPr>
          <w:p>
            <w:pPr>
              <w:spacing w:after="0"/>
              <w:rPr>
                <w:sz w:val="17"/>
                <w:szCs w:val="17"/>
                <w:color w:val="auto"/>
              </w:rPr>
            </w:pPr>
          </w:p>
        </w:tc>
        <w:tc>
          <w:tcPr>
            <w:tcW w:w="65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CONSOLIDATED BALANCE SHEET CLASSIFICATION UNDER ASC 840</w:t>
            </w:r>
          </w:p>
        </w:tc>
      </w:tr>
      <w:tr>
        <w:trPr>
          <w:trHeight w:val="23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Favorable leases</w:t>
            </w: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Deferred rent</w:t>
            </w:r>
          </w:p>
        </w:tc>
        <w:tc>
          <w:tcPr>
            <w:tcW w:w="6500" w:type="dxa"/>
            <w:vAlign w:val="bottom"/>
          </w:tcPr>
          <w:p>
            <w:pPr>
              <w:ind w:left="40"/>
              <w:spacing w:after="0"/>
              <w:rPr>
                <w:sz w:val="20"/>
                <w:szCs w:val="20"/>
                <w:color w:val="auto"/>
              </w:rPr>
            </w:pPr>
            <w:r>
              <w:rPr>
                <w:rFonts w:ascii="Arial" w:cs="Arial" w:eastAsia="Arial" w:hAnsi="Arial"/>
                <w:sz w:val="16"/>
                <w:szCs w:val="16"/>
                <w:color w:val="auto"/>
              </w:rPr>
              <w:t>Deferred rent</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Unfavorable leases</w:t>
            </w: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 net</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Exit-related lease accruals</w:t>
            </w:r>
          </w:p>
        </w:tc>
        <w:tc>
          <w:tcPr>
            <w:tcW w:w="6500" w:type="dxa"/>
            <w:vAlign w:val="bottom"/>
          </w:tcPr>
          <w:p>
            <w:pPr>
              <w:ind w:left="40"/>
              <w:spacing w:after="0"/>
              <w:rPr>
                <w:sz w:val="20"/>
                <w:szCs w:val="20"/>
                <w:color w:val="auto"/>
              </w:rPr>
            </w:pPr>
            <w:r>
              <w:rPr>
                <w:rFonts w:ascii="Arial" w:cs="Arial" w:eastAsia="Arial" w:hAnsi="Arial"/>
                <w:sz w:val="16"/>
                <w:szCs w:val="16"/>
                <w:color w:val="auto"/>
              </w:rPr>
              <w:t>Other long-term liabilities, net</w:t>
            </w:r>
          </w:p>
        </w:tc>
      </w:tr>
    </w:tbl>
    <w:p>
      <w:pPr>
        <w:spacing w:after="0" w:line="200" w:lineRule="exact"/>
        <w:rPr>
          <w:sz w:val="20"/>
          <w:szCs w:val="20"/>
          <w:color w:val="auto"/>
        </w:rPr>
      </w:pP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rent payments that were recorded within prepaid assets under ASC 840 are now recorded as a reduction of the current portion of operating lease liabilities.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Recently Issued Financial Accounting Standards Not Yet Adopted </w:t>
      </w:r>
      <w:r>
        <w:rPr>
          <w:rFonts w:ascii="Arial" w:cs="Arial" w:eastAsia="Arial" w:hAnsi="Arial"/>
          <w:sz w:val="19"/>
          <w:szCs w:val="19"/>
          <w:color w:val="auto"/>
        </w:rPr>
        <w:t>- In June 2016, the Financial Accounting Standards Board (“FASB”) issued</w:t>
      </w:r>
      <w:r>
        <w:rPr>
          <w:rFonts w:ascii="Arial" w:cs="Arial" w:eastAsia="Arial" w:hAnsi="Arial"/>
          <w:sz w:val="19"/>
          <w:szCs w:val="19"/>
          <w:i w:val="1"/>
          <w:iCs w:val="1"/>
          <w:color w:val="auto"/>
        </w:rPr>
        <w:t xml:space="preserve"> </w:t>
      </w:r>
      <w:r>
        <w:rPr>
          <w:rFonts w:ascii="Arial" w:cs="Arial" w:eastAsia="Arial" w:hAnsi="Arial"/>
          <w:sz w:val="19"/>
          <w:szCs w:val="19"/>
          <w:color w:val="auto"/>
        </w:rPr>
        <w:t>ASU No. 2016-13, “Financial Instruments – Credit Losses (Topic 326): Measurement of Credit Losses on Financial Instruments,” (“ASU No. 2016-13”), which requires measurement and recognition of losses for financial instruments under the current expected credit loss model (“CECL model”) versus incurred losses under current guidance. The Company’s allowance for credit losses will generally increase under the CECL model. The Company’s adoption of ASU No. 2016-13 and its related amendments (“the new credit loss standard”) on December 30, 2019 did not have a material effect on the Company’s consolidated financial statements. Measurement processes and related controls have been implemented by the Company to ensure compliance with the new credit loss standard.</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August 2018, the FASB issued ASU No. 2018-15, “Intangibles-Goodwill and Other-Internal-Use Software (Subtopic 350-40): Customer’s Accounting for Implementation Costs Incurred in a Cloud Computing Arrangement That Is a Service Contract,” (“ASU No. 2018-15”), which clarifies the accounting for implementation costs in cloud computing arrangements. Under ASU No. 2018-15, implementation costs incurred by customers in cloud computing arrangements are deferred and recognized over the term of the arrangement similar to internal-use software guidance. The Company’s prospective adoption of ASU No. 2018-15 on December 30, 2019 did not have a material effect on its consolidated financial statements. The Company will defer and recognize allowable implementation costs for future cloud computing projects which may be material to future reporting periods.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Reclassifications - </w:t>
      </w:r>
      <w:r>
        <w:rPr>
          <w:rFonts w:ascii="Arial" w:cs="Arial" w:eastAsia="Arial" w:hAnsi="Arial"/>
          <w:sz w:val="19"/>
          <w:szCs w:val="19"/>
          <w:color w:val="auto"/>
        </w:rPr>
        <w:t>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These reclassifications had no effect on previously reported net income.</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Revenue Recognition</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table includes the categories of revenue included in the Company’s Consolidated Statements of Operations and Comprehensive Income for the periods indicated: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4"/>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6040" w:type="dxa"/>
            <w:vAlign w:val="bottom"/>
          </w:tcPr>
          <w:p>
            <w:pPr>
              <w:ind w:left="160"/>
              <w:spacing w:after="0"/>
              <w:rPr>
                <w:sz w:val="20"/>
                <w:szCs w:val="20"/>
                <w:color w:val="auto"/>
              </w:rPr>
            </w:pPr>
            <w:r>
              <w:rPr>
                <w:rFonts w:ascii="Arial" w:cs="Arial" w:eastAsia="Arial" w:hAnsi="Arial"/>
                <w:sz w:val="16"/>
                <w:szCs w:val="16"/>
                <w:color w:val="auto"/>
              </w:rPr>
              <w:t>Restaurant sales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4,075,014</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4,060,871</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4,164,063</w:t>
            </w:r>
          </w:p>
        </w:tc>
      </w:tr>
      <w:tr>
        <w:trPr>
          <w:trHeight w:val="33"/>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Franchise and other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Franchise revenue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52,147</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52,906</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47,021</w:t>
            </w:r>
          </w:p>
        </w:tc>
      </w:tr>
      <w:tr>
        <w:trPr>
          <w:trHeight w:val="33"/>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12,228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12,636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12,052</w:t>
            </w:r>
          </w:p>
        </w:tc>
      </w:tr>
      <w:tr>
        <w:trPr>
          <w:trHeight w:val="270"/>
        </w:trPr>
        <w:tc>
          <w:tcPr>
            <w:tcW w:w="60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Franchise and other revenues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64,375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65,542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59,073</w:t>
            </w:r>
          </w:p>
        </w:tc>
      </w:tr>
      <w:tr>
        <w:trPr>
          <w:trHeight w:val="244"/>
        </w:trPr>
        <w:tc>
          <w:tcPr>
            <w:tcW w:w="6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4,139,389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4,126,413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4,223,136</w:t>
            </w: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2" w:right="2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includes the disaggregation of Restaurant sales and Franchise revenue, by restaurant concept and major international market,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89"/>
              </w:rPr>
              <w:t>2019</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RESTAURANT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FRANCHISE</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FRANCHISE</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3"/>
                <w:szCs w:val="13"/>
                <w:color w:val="auto"/>
              </w:rPr>
            </w:pPr>
          </w:p>
        </w:tc>
        <w:tc>
          <w:tcPr>
            <w:tcW w:w="1080" w:type="dxa"/>
            <w:vAlign w:val="bottom"/>
          </w:tcPr>
          <w:p>
            <w:pPr>
              <w:jc w:val="right"/>
              <w:ind w:right="120"/>
              <w:spacing w:after="0" w:line="15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205"/>
        </w:trPr>
        <w:tc>
          <w:tcPr>
            <w:tcW w:w="29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1100" w:type="dxa"/>
            <w:vAlign w:val="bottom"/>
          </w:tcPr>
          <w:p>
            <w:pPr>
              <w:jc w:val="right"/>
              <w:ind w:right="26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SALES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SALES</w:t>
            </w:r>
          </w:p>
        </w:tc>
        <w:tc>
          <w:tcPr>
            <w:tcW w:w="160" w:type="dxa"/>
            <w:vAlign w:val="bottom"/>
          </w:tcPr>
          <w:p>
            <w:pPr>
              <w:spacing w:after="0"/>
              <w:rPr>
                <w:sz w:val="17"/>
                <w:szCs w:val="17"/>
                <w:color w:val="auto"/>
              </w:rPr>
            </w:pPr>
          </w:p>
        </w:tc>
        <w:tc>
          <w:tcPr>
            <w:tcW w:w="1080" w:type="dxa"/>
            <w:vAlign w:val="bottom"/>
          </w:tcPr>
          <w:p>
            <w:pPr>
              <w:jc w:val="right"/>
              <w:ind w:right="18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Outback Steakhouse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2,135,776</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38,614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2,098,696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40,422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2,141,506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34,978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613,031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647,454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673,872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574,004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578,139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600,717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6"/>
              </w:rPr>
              <w:t>Fleming’s Prime Steakhouse &amp; Wine Bar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307,199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304,064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296,982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4,658</w:t>
            </w: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5,845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3,634,668</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41,513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3,634,198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41,856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3,713,666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36,456</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 Brazil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355,837</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348,394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377,158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(2)</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84,509</w:t>
            </w: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10,634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78,279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11,050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73,239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10,565</w:t>
            </w: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440,346</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426,673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450,397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10,565</w:t>
            </w:r>
          </w:p>
        </w:tc>
        <w:tc>
          <w:tcPr>
            <w:tcW w:w="0" w:type="dxa"/>
            <w:vAlign w:val="bottom"/>
          </w:tcPr>
          <w:p>
            <w:pPr>
              <w:spacing w:after="0"/>
              <w:rPr>
                <w:sz w:val="1"/>
                <w:szCs w:val="1"/>
                <w:color w:val="auto"/>
              </w:rPr>
            </w:pPr>
          </w:p>
        </w:tc>
      </w:tr>
      <w:tr>
        <w:trPr>
          <w:trHeight w:val="250"/>
        </w:trPr>
        <w:tc>
          <w:tcPr>
            <w:tcW w:w="2980" w:type="dxa"/>
            <w:vAlign w:val="bottom"/>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4,075,014</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52,147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4,060,871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52,906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4,164,063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47,021</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2019, the Company sold 18 Carrabba’s Italian Grill restaurants. In 2017, the Company sold 53 Outback Steakhouse restaurants and one Carrabba’s Italian Grill restaurant. These restaurants are now operated as franchises.</w:t>
      </w:r>
    </w:p>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Restaurant sales for the Company’s Abbraccio concept in Brazil.</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includes a detail of assets and liabilities from contracts with customers included on the Company’s Consolidated Balance Sheets as of the periods indicated: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 2019</w:t>
            </w:r>
          </w:p>
        </w:tc>
        <w:tc>
          <w:tcPr>
            <w:tcW w:w="180" w:type="dxa"/>
            <w:vAlign w:val="bottom"/>
          </w:tcPr>
          <w:p>
            <w:pPr>
              <w:spacing w:after="0"/>
              <w:rPr>
                <w:sz w:val="17"/>
                <w:szCs w:val="17"/>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30, 2018</w:t>
            </w:r>
          </w:p>
        </w:tc>
      </w:tr>
      <w:tr>
        <w:trPr>
          <w:trHeight w:val="250"/>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Deferred gift card sales commissions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20"/>
              <w:spacing w:after="0"/>
              <w:rPr>
                <w:sz w:val="20"/>
                <w:szCs w:val="20"/>
                <w:color w:val="auto"/>
              </w:rPr>
            </w:pPr>
            <w:r>
              <w:rPr>
                <w:rFonts w:ascii="Arial" w:cs="Arial" w:eastAsia="Arial" w:hAnsi="Arial"/>
                <w:sz w:val="16"/>
                <w:szCs w:val="16"/>
                <w:color w:val="auto"/>
              </w:rPr>
              <w:t>18,554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16,431</w:t>
            </w: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97"/>
        </w:trPr>
        <w:tc>
          <w:tcPr>
            <w:tcW w:w="7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gift card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333,794</w:t>
            </w: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Deferred loyalty revenue</w:t>
            </w:r>
          </w:p>
        </w:tc>
        <w:tc>
          <w:tcPr>
            <w:tcW w:w="180" w:type="dxa"/>
            <w:vAlign w:val="bottom"/>
          </w:tcPr>
          <w:p>
            <w:pPr>
              <w:spacing w:after="0"/>
              <w:rPr>
                <w:sz w:val="20"/>
                <w:szCs w:val="20"/>
                <w:color w:val="auto"/>
              </w:rPr>
            </w:pPr>
          </w:p>
        </w:tc>
        <w:tc>
          <w:tcPr>
            <w:tcW w:w="1740" w:type="dxa"/>
            <w:vAlign w:val="bottom"/>
          </w:tcPr>
          <w:p>
            <w:pPr>
              <w:jc w:val="right"/>
              <w:ind w:right="20"/>
              <w:spacing w:after="0"/>
              <w:rPr>
                <w:sz w:val="20"/>
                <w:szCs w:val="20"/>
                <w:color w:val="auto"/>
              </w:rPr>
            </w:pPr>
            <w:r>
              <w:rPr>
                <w:rFonts w:ascii="Arial" w:cs="Arial" w:eastAsia="Arial" w:hAnsi="Arial"/>
                <w:sz w:val="16"/>
                <w:szCs w:val="16"/>
                <w:color w:val="auto"/>
              </w:rPr>
              <w:t>10,034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8,424</w:t>
            </w: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franchise fees - current</w:t>
            </w: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490</w:t>
            </w:r>
          </w:p>
        </w:tc>
      </w:tr>
      <w:tr>
        <w:trPr>
          <w:trHeight w:val="290"/>
        </w:trPr>
        <w:tc>
          <w:tcPr>
            <w:tcW w:w="74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Unearned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369,282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342,708</w:t>
            </w:r>
          </w:p>
        </w:tc>
      </w:tr>
      <w:tr>
        <w:trPr>
          <w:trHeight w:val="284"/>
        </w:trPr>
        <w:tc>
          <w:tcPr>
            <w:tcW w:w="7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7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franchise fees - 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4,599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4,531</w:t>
            </w:r>
          </w:p>
        </w:tc>
      </w:tr>
      <w:tr>
        <w:trPr>
          <w:trHeight w:val="33"/>
        </w:trPr>
        <w:tc>
          <w:tcPr>
            <w:tcW w:w="7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deferred gift card sales commissions for the periods indicated: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37"/>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15,584</w:t>
            </w:r>
          </w:p>
        </w:tc>
      </w:tr>
      <w:tr>
        <w:trPr>
          <w:trHeight w:val="237"/>
        </w:trPr>
        <w:tc>
          <w:tcPr>
            <w:tcW w:w="6500" w:type="dxa"/>
            <w:vAlign w:val="bottom"/>
          </w:tcPr>
          <w:p>
            <w:pPr>
              <w:ind w:left="160"/>
              <w:spacing w:after="0"/>
              <w:rPr>
                <w:sz w:val="20"/>
                <w:szCs w:val="20"/>
                <w:color w:val="auto"/>
              </w:rPr>
            </w:pPr>
            <w:r>
              <w:rPr>
                <w:rFonts w:ascii="Arial" w:cs="Arial" w:eastAsia="Arial" w:hAnsi="Arial"/>
                <w:sz w:val="16"/>
                <w:szCs w:val="16"/>
                <w:color w:val="auto"/>
              </w:rPr>
              <w:t>Deferred gift card sales commissions amortization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(27,227)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(26,751)</w:t>
            </w:r>
          </w:p>
        </w:tc>
      </w:tr>
      <w:tr>
        <w:trPr>
          <w:trHeight w:val="33"/>
        </w:trPr>
        <w:tc>
          <w:tcPr>
            <w:tcW w:w="6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gift card sales commissions capitalization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28,980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29,412</w:t>
            </w:r>
          </w:p>
        </w:tc>
      </w:tr>
      <w:tr>
        <w:trPr>
          <w:trHeight w:val="270"/>
        </w:trPr>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w:t>
            </w: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16,431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16,231</w:t>
            </w: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2" w:right="2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unearned gift card revenue for the periods indicated: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3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333,794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323,628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331,803</w:t>
            </w:r>
          </w:p>
        </w:tc>
      </w:tr>
      <w:tr>
        <w:trPr>
          <w:trHeight w:val="237"/>
        </w:trPr>
        <w:tc>
          <w:tcPr>
            <w:tcW w:w="6380" w:type="dxa"/>
            <w:vAlign w:val="bottom"/>
          </w:tcPr>
          <w:p>
            <w:pPr>
              <w:ind w:left="160"/>
              <w:spacing w:after="0"/>
              <w:rPr>
                <w:sz w:val="20"/>
                <w:szCs w:val="20"/>
                <w:color w:val="auto"/>
              </w:rPr>
            </w:pPr>
            <w:r>
              <w:rPr>
                <w:rFonts w:ascii="Arial" w:cs="Arial" w:eastAsia="Arial" w:hAnsi="Arial"/>
                <w:sz w:val="16"/>
                <w:szCs w:val="16"/>
                <w:color w:val="auto"/>
              </w:rPr>
              <w:t>Gift card sales</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420,229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419,172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440,946</w:t>
            </w:r>
          </w:p>
        </w:tc>
      </w:tr>
      <w:tr>
        <w:trPr>
          <w:trHeight w:val="33"/>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Gift card redemptions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(388,954)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(426,174)</w:t>
            </w:r>
          </w:p>
        </w:tc>
      </w:tr>
      <w:tr>
        <w:trPr>
          <w:trHeight w:val="270"/>
        </w:trPr>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Gift card breakage</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(22,947)</w:t>
            </w: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358,757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333,794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323,628</w:t>
            </w:r>
          </w:p>
        </w:tc>
      </w:tr>
      <w:tr>
        <w:trPr>
          <w:trHeight w:val="20"/>
        </w:trPr>
        <w:tc>
          <w:tcPr>
            <w:tcW w:w="6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600" w:hanging="592"/>
        <w:spacing w:after="0"/>
        <w:tabs>
          <w:tab w:leader="none" w:pos="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Disposals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252525"/>
        </w:rPr>
        <w:t xml:space="preserve">Refranchising </w:t>
      </w:r>
      <w:r>
        <w:rPr>
          <w:rFonts w:ascii="Arial" w:cs="Arial" w:eastAsia="Arial" w:hAnsi="Arial"/>
          <w:sz w:val="20"/>
          <w:szCs w:val="20"/>
          <w:color w:val="252525"/>
        </w:rPr>
        <w:t>- During 2019, the Company completed the sale of 18 of its existing U.S. Company-owned Carrabba’s Italian Grill restaurants to</w:t>
      </w:r>
      <w:r>
        <w:rPr>
          <w:rFonts w:ascii="Arial" w:cs="Arial" w:eastAsia="Arial" w:hAnsi="Arial"/>
          <w:sz w:val="20"/>
          <w:szCs w:val="20"/>
          <w:i w:val="1"/>
          <w:iCs w:val="1"/>
          <w:color w:val="252525"/>
        </w:rPr>
        <w:t xml:space="preserve"> </w:t>
      </w:r>
      <w:r>
        <w:rPr>
          <w:rFonts w:ascii="Arial" w:cs="Arial" w:eastAsia="Arial" w:hAnsi="Arial"/>
          <w:sz w:val="20"/>
          <w:szCs w:val="20"/>
          <w:color w:val="252525"/>
        </w:rPr>
        <w:t>an existing franchisee for cash proceeds of $3.6 million, net of certain purchase price adjustments.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252525"/>
        </w:rPr>
        <w:t xml:space="preserve">In 2017, the Company completed the sale of 54 of its existing U.S. Company-owned Outback Steakhouse and Carrabba’s Italian Grill restaurants to two of its existing franchisees (the “Buyers”) for aggregate cash proceeds of $36.2 million, net of certain closing adjustments. The transactions resulted in an aggregate net gain of $7.4 million, recorded within Other (expense) income, net, in the </w:t>
      </w:r>
      <w:r>
        <w:rPr>
          <w:rFonts w:ascii="Arial" w:cs="Arial" w:eastAsia="Arial" w:hAnsi="Arial"/>
          <w:sz w:val="19"/>
          <w:szCs w:val="19"/>
          <w:color w:val="000000"/>
        </w:rPr>
        <w:t>Consolidated Statements</w:t>
      </w:r>
      <w:r>
        <w:rPr>
          <w:rFonts w:ascii="Arial" w:cs="Arial" w:eastAsia="Arial" w:hAnsi="Arial"/>
          <w:sz w:val="19"/>
          <w:szCs w:val="19"/>
          <w:color w:val="252525"/>
        </w:rPr>
        <w:t xml:space="preserve"> </w:t>
      </w:r>
      <w:r>
        <w:rPr>
          <w:rFonts w:ascii="Arial" w:cs="Arial" w:eastAsia="Arial" w:hAnsi="Arial"/>
          <w:sz w:val="19"/>
          <w:szCs w:val="19"/>
          <w:color w:val="000000"/>
        </w:rPr>
        <w:t>of Operations and Comprehensive Income</w:t>
      </w:r>
      <w:r>
        <w:rPr>
          <w:rFonts w:ascii="Arial" w:cs="Arial" w:eastAsia="Arial" w:hAnsi="Arial"/>
          <w:sz w:val="19"/>
          <w:szCs w:val="19"/>
          <w:color w:val="252525"/>
        </w:rPr>
        <w:t>, and is net of an impairment of $1.7 million related to certain Company-owned assets leased to the</w:t>
      </w:r>
      <w:r>
        <w:rPr>
          <w:rFonts w:ascii="Arial" w:cs="Arial" w:eastAsia="Arial" w:hAnsi="Arial"/>
          <w:sz w:val="19"/>
          <w:szCs w:val="19"/>
          <w:color w:val="000000"/>
        </w:rPr>
        <w:t xml:space="preserve"> </w:t>
      </w:r>
      <w:r>
        <w:rPr>
          <w:rFonts w:ascii="Arial" w:cs="Arial" w:eastAsia="Arial" w:hAnsi="Arial"/>
          <w:sz w:val="19"/>
          <w:szCs w:val="19"/>
          <w:color w:val="252525"/>
        </w:rPr>
        <w:t xml:space="preserve">Buyers. Included in the cash proceeds are initial franchise fees of $2.2 million that were recorded within Franchise and other revenues in the </w:t>
      </w:r>
      <w:r>
        <w:rPr>
          <w:rFonts w:ascii="Arial" w:cs="Arial" w:eastAsia="Arial" w:hAnsi="Arial"/>
          <w:sz w:val="19"/>
          <w:szCs w:val="19"/>
          <w:color w:val="000000"/>
        </w:rPr>
        <w:t>Consolidated Statements of Operations and Comprehensive Income</w:t>
      </w:r>
      <w:r>
        <w:rPr>
          <w:rFonts w:ascii="Arial" w:cs="Arial" w:eastAsia="Arial" w:hAnsi="Arial"/>
          <w:sz w:val="19"/>
          <w:szCs w:val="19"/>
          <w:color w:val="252525"/>
        </w:rPr>
        <w:t>.</w:t>
      </w:r>
    </w:p>
    <w:p>
      <w:pPr>
        <w:spacing w:after="0" w:line="192" w:lineRule="exact"/>
        <w:rPr>
          <w:sz w:val="20"/>
          <w:szCs w:val="20"/>
          <w:color w:val="auto"/>
        </w:rPr>
      </w:pPr>
    </w:p>
    <w:p>
      <w:pPr>
        <w:jc w:val="both"/>
        <w:ind w:right="20"/>
        <w:spacing w:after="0" w:line="386" w:lineRule="auto"/>
        <w:rPr>
          <w:sz w:val="20"/>
          <w:szCs w:val="20"/>
          <w:color w:val="auto"/>
        </w:rPr>
      </w:pPr>
      <w:r>
        <w:rPr>
          <w:rFonts w:ascii="Arial" w:cs="Arial" w:eastAsia="Arial" w:hAnsi="Arial"/>
          <w:sz w:val="16"/>
          <w:szCs w:val="16"/>
          <w:color w:val="252525"/>
        </w:rPr>
        <w:t xml:space="preserve">The restaurants in the transactions above are now operated as franchises and the Company remains contingently liable on certain real estate lease agreements assigned to the franchisees. See Note 20 - </w:t>
      </w:r>
      <w:r>
        <w:rPr>
          <w:rFonts w:ascii="Arial" w:cs="Arial" w:eastAsia="Arial" w:hAnsi="Arial"/>
          <w:sz w:val="16"/>
          <w:szCs w:val="16"/>
          <w:i w:val="1"/>
          <w:iCs w:val="1"/>
          <w:color w:val="252525"/>
        </w:rPr>
        <w:t>Commitments and Contingencies</w:t>
      </w:r>
      <w:r>
        <w:rPr>
          <w:rFonts w:ascii="Arial" w:cs="Arial" w:eastAsia="Arial" w:hAnsi="Arial"/>
          <w:sz w:val="16"/>
          <w:szCs w:val="16"/>
          <w:color w:val="252525"/>
        </w:rPr>
        <w:t xml:space="preserve"> for additional details regarding lease guarantees.</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Surplus Property Disposals </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252525"/>
        </w:rPr>
        <w:t>During 2019</w:t>
      </w:r>
      <w:r>
        <w:rPr>
          <w:rFonts w:ascii="Arial" w:cs="Arial" w:eastAsia="Arial" w:hAnsi="Arial"/>
          <w:sz w:val="19"/>
          <w:szCs w:val="19"/>
          <w:color w:val="auto"/>
        </w:rPr>
        <w:t>, the Company completed the sale of five of its U.S. surplus properties to a franchisee for cash</w:t>
      </w:r>
      <w:r>
        <w:rPr>
          <w:rFonts w:ascii="Arial" w:cs="Arial" w:eastAsia="Arial" w:hAnsi="Arial"/>
          <w:sz w:val="19"/>
          <w:szCs w:val="19"/>
          <w:i w:val="1"/>
          <w:iCs w:val="1"/>
          <w:color w:val="auto"/>
        </w:rPr>
        <w:t xml:space="preserve"> </w:t>
      </w:r>
      <w:r>
        <w:rPr>
          <w:rFonts w:ascii="Arial" w:cs="Arial" w:eastAsia="Arial" w:hAnsi="Arial"/>
          <w:sz w:val="19"/>
          <w:szCs w:val="19"/>
          <w:color w:val="auto"/>
        </w:rPr>
        <w:t>proceeds of $12.7 million, net of certain purchase price adjustments. The transaction resulted in a net gain of $3.6 million, recorded within Other restaurant operating expense in the Company’s Consolidated Statements of Operations and Comprehensive Income.</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252525"/>
        </w:rPr>
        <w:t xml:space="preserve">Other Disposals </w:t>
      </w:r>
      <w:r>
        <w:rPr>
          <w:rFonts w:ascii="Arial" w:cs="Arial" w:eastAsia="Arial" w:hAnsi="Arial"/>
          <w:sz w:val="20"/>
          <w:szCs w:val="20"/>
          <w:color w:val="252525"/>
        </w:rPr>
        <w:t>- During 2017, the Company closed and completed the sale of one U.S. Company-owned Carrabba’s Italian Grill restaurant for</w:t>
      </w:r>
      <w:r>
        <w:rPr>
          <w:rFonts w:ascii="Arial" w:cs="Arial" w:eastAsia="Arial" w:hAnsi="Arial"/>
          <w:sz w:val="20"/>
          <w:szCs w:val="20"/>
          <w:i w:val="1"/>
          <w:iCs w:val="1"/>
          <w:color w:val="252525"/>
        </w:rPr>
        <w:t xml:space="preserve"> </w:t>
      </w:r>
      <w:r>
        <w:rPr>
          <w:rFonts w:ascii="Arial" w:cs="Arial" w:eastAsia="Arial" w:hAnsi="Arial"/>
          <w:sz w:val="20"/>
          <w:szCs w:val="20"/>
          <w:color w:val="252525"/>
        </w:rPr>
        <w:t>a purchase price of $9.9 million</w:t>
      </w:r>
      <w:r>
        <w:rPr>
          <w:rFonts w:ascii="Arial" w:cs="Arial" w:eastAsia="Arial" w:hAnsi="Arial"/>
          <w:sz w:val="20"/>
          <w:szCs w:val="20"/>
          <w:color w:val="000000"/>
        </w:rPr>
        <w:t>,</w:t>
      </w:r>
      <w:r>
        <w:rPr>
          <w:rFonts w:ascii="Arial" w:cs="Arial" w:eastAsia="Arial" w:hAnsi="Arial"/>
          <w:sz w:val="20"/>
          <w:szCs w:val="20"/>
          <w:color w:val="252525"/>
        </w:rPr>
        <w:t xml:space="preserve"> net of closing costs. The sale resulted in a net gain of $8.4 million, recorded in Other (expense) income, net, in the Company’s </w:t>
      </w:r>
      <w:r>
        <w:rPr>
          <w:rFonts w:ascii="Arial" w:cs="Arial" w:eastAsia="Arial" w:hAnsi="Arial"/>
          <w:sz w:val="20"/>
          <w:szCs w:val="20"/>
          <w:color w:val="000000"/>
        </w:rPr>
        <w:t>Consolidated Statements of Operations and Comprehensive Income</w:t>
      </w:r>
      <w:r>
        <w:rPr>
          <w:rFonts w:ascii="Arial" w:cs="Arial" w:eastAsia="Arial" w:hAnsi="Arial"/>
          <w:sz w:val="20"/>
          <w:szCs w:val="20"/>
          <w:color w:val="252525"/>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Impairments and Exit Costs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6,381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15,342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15,325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10,124</w:t>
            </w:r>
          </w:p>
        </w:tc>
      </w:tr>
      <w:tr>
        <w:trPr>
          <w:trHeight w:val="270"/>
        </w:trPr>
        <w:tc>
          <w:tcPr>
            <w:tcW w:w="6400" w:type="dxa"/>
            <w:vAlign w:val="bottom"/>
          </w:tcPr>
          <w:p>
            <w:pPr>
              <w:ind w:left="280"/>
              <w:spacing w:after="0"/>
              <w:rPr>
                <w:sz w:val="20"/>
                <w:szCs w:val="20"/>
                <w:color w:val="auto"/>
              </w:rPr>
            </w:pPr>
            <w:r>
              <w:rPr>
                <w:rFonts w:ascii="Arial" w:cs="Arial" w:eastAsia="Arial" w:hAnsi="Arial"/>
                <w:sz w:val="16"/>
                <w:szCs w:val="16"/>
                <w:color w:val="auto"/>
              </w:rPr>
              <w:t>Corporate</w:t>
            </w:r>
          </w:p>
        </w:tc>
        <w:tc>
          <w:tcPr>
            <w:tcW w:w="4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64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impairment losses</w:t>
            </w: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9,134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26,799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25,449</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Restaurant closure expenses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26,749</w:t>
            </w:r>
          </w:p>
        </w:tc>
      </w:tr>
      <w:tr>
        <w:trPr>
          <w:trHeight w:val="270"/>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3,528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w:t>
            </w:r>
          </w:p>
        </w:tc>
      </w:tr>
      <w:tr>
        <w:trPr>
          <w:trHeight w:val="25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restaurant closure expenses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10,064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26,880</w:t>
            </w:r>
          </w:p>
        </w:tc>
      </w:tr>
      <w:tr>
        <w:trPr>
          <w:trHeight w:val="250"/>
        </w:trPr>
        <w:tc>
          <w:tcPr>
            <w:tcW w:w="6400" w:type="dxa"/>
            <w:vAlign w:val="bottom"/>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9,085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36,863</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52,329</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Closure Initiative and Restructuring Costs </w:t>
      </w:r>
      <w:r>
        <w:rPr>
          <w:rFonts w:ascii="Arial" w:cs="Arial" w:eastAsia="Arial" w:hAnsi="Arial"/>
          <w:sz w:val="20"/>
          <w:szCs w:val="20"/>
          <w:color w:val="auto"/>
        </w:rPr>
        <w:t>- Following is a summary of expenses related to the 2017 Closure Initiative and the Bonefish</w:t>
      </w:r>
      <w:r>
        <w:rPr>
          <w:rFonts w:ascii="Arial" w:cs="Arial" w:eastAsia="Arial" w:hAnsi="Arial"/>
          <w:sz w:val="20"/>
          <w:szCs w:val="20"/>
          <w:i w:val="1"/>
          <w:iCs w:val="1"/>
          <w:color w:val="auto"/>
        </w:rPr>
        <w:t xml:space="preserve"> </w:t>
      </w:r>
      <w:r>
        <w:rPr>
          <w:rFonts w:ascii="Arial" w:cs="Arial" w:eastAsia="Arial" w:hAnsi="Arial"/>
          <w:sz w:val="20"/>
          <w:szCs w:val="20"/>
          <w:color w:val="auto"/>
        </w:rPr>
        <w:t>Restructuring (the “Closure Initiatives”), recognized in the Company’s Consolidated Statements of Operations and Comprehensive Income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Impairment, facility closure and other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jc w:val="center"/>
              <w:ind w:right="4040"/>
              <w:spacing w:after="0"/>
              <w:rPr>
                <w:sz w:val="20"/>
                <w:szCs w:val="20"/>
                <w:color w:val="auto"/>
              </w:rPr>
            </w:pPr>
            <w:r>
              <w:rPr>
                <w:rFonts w:ascii="Arial" w:cs="Arial" w:eastAsia="Arial" w:hAnsi="Arial"/>
                <w:sz w:val="16"/>
                <w:szCs w:val="16"/>
                <w:color w:val="auto"/>
                <w:w w:val="94"/>
              </w:rPr>
              <w:t>2017 Closure Initiative (1)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1,717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20,352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jc w:val="center"/>
              <w:ind w:right="4020"/>
              <w:spacing w:after="0"/>
              <w:rPr>
                <w:sz w:val="20"/>
                <w:szCs w:val="20"/>
                <w:color w:val="auto"/>
              </w:rPr>
            </w:pPr>
            <w:r>
              <w:rPr>
                <w:rFonts w:ascii="Arial" w:cs="Arial" w:eastAsia="Arial" w:hAnsi="Arial"/>
                <w:sz w:val="16"/>
                <w:szCs w:val="16"/>
                <w:color w:val="auto"/>
                <w:w w:val="93"/>
              </w:rPr>
              <w:t>Bonefish Restructuring (2)</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3,783</w:t>
            </w:r>
          </w:p>
        </w:tc>
        <w:tc>
          <w:tcPr>
            <w:tcW w:w="0" w:type="dxa"/>
            <w:vAlign w:val="bottom"/>
          </w:tcPr>
          <w:p>
            <w:pPr>
              <w:spacing w:after="0"/>
              <w:rPr>
                <w:sz w:val="1"/>
                <w:szCs w:val="1"/>
                <w:color w:val="auto"/>
              </w:rPr>
            </w:pPr>
          </w:p>
        </w:tc>
      </w:tr>
      <w:tr>
        <w:trPr>
          <w:trHeight w:val="200"/>
        </w:trPr>
        <w:tc>
          <w:tcPr>
            <w:tcW w:w="6400" w:type="dxa"/>
            <w:vAlign w:val="bottom"/>
          </w:tcPr>
          <w:p>
            <w:pPr>
              <w:ind w:left="180"/>
              <w:spacing w:after="0"/>
              <w:rPr>
                <w:sz w:val="20"/>
                <w:szCs w:val="20"/>
                <w:color w:val="auto"/>
              </w:rPr>
            </w:pPr>
            <w:r>
              <w:rPr>
                <w:rFonts w:ascii="Arial" w:cs="Arial" w:eastAsia="Arial" w:hAnsi="Arial"/>
                <w:sz w:val="16"/>
                <w:szCs w:val="16"/>
                <w:i w:val="1"/>
                <w:iCs w:val="1"/>
                <w:color w:val="auto"/>
                <w:w w:val="93"/>
              </w:rPr>
              <w:t>Impairment, facility closure and other expenses - Provision for impaired assets and restaurant</w:t>
            </w:r>
          </w:p>
        </w:tc>
        <w:tc>
          <w:tcPr>
            <w:tcW w:w="40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60"/>
              <w:spacing w:after="0"/>
              <w:rPr>
                <w:sz w:val="20"/>
                <w:szCs w:val="20"/>
                <w:color w:val="auto"/>
              </w:rPr>
            </w:pPr>
            <w:r>
              <w:rPr>
                <w:rFonts w:ascii="Arial" w:cs="Arial" w:eastAsia="Arial" w:hAnsi="Arial"/>
                <w:sz w:val="16"/>
                <w:szCs w:val="16"/>
                <w:color w:val="auto"/>
              </w:rPr>
              <w:t>1,698</w:t>
            </w:r>
          </w:p>
        </w:tc>
        <w:tc>
          <w:tcPr>
            <w:tcW w:w="120" w:type="dxa"/>
            <w:vAlign w:val="bottom"/>
          </w:tcPr>
          <w:p>
            <w:pPr>
              <w:spacing w:after="0"/>
              <w:rPr>
                <w:sz w:val="17"/>
                <w:szCs w:val="17"/>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vMerge w:val="restart"/>
          </w:tcPr>
          <w:p>
            <w:pPr>
              <w:jc w:val="right"/>
              <w:ind w:right="40"/>
              <w:spacing w:after="0"/>
              <w:rPr>
                <w:sz w:val="20"/>
                <w:szCs w:val="20"/>
                <w:color w:val="auto"/>
              </w:rPr>
            </w:pPr>
            <w:r>
              <w:rPr>
                <w:rFonts w:ascii="Arial" w:cs="Arial" w:eastAsia="Arial" w:hAnsi="Arial"/>
                <w:sz w:val="16"/>
                <w:szCs w:val="16"/>
                <w:color w:val="auto"/>
              </w:rPr>
              <w:t>3,067</w:t>
            </w:r>
          </w:p>
        </w:tc>
        <w:tc>
          <w:tcPr>
            <w:tcW w:w="100" w:type="dxa"/>
            <w:vAlign w:val="bottom"/>
          </w:tcPr>
          <w:p>
            <w:pPr>
              <w:spacing w:after="0"/>
              <w:rPr>
                <w:sz w:val="17"/>
                <w:szCs w:val="17"/>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20"/>
              <w:spacing w:after="0"/>
              <w:rPr>
                <w:sz w:val="20"/>
                <w:szCs w:val="20"/>
                <w:color w:val="auto"/>
              </w:rPr>
            </w:pPr>
            <w:r>
              <w:rPr>
                <w:rFonts w:ascii="Arial" w:cs="Arial" w:eastAsia="Arial" w:hAnsi="Arial"/>
                <w:sz w:val="16"/>
                <w:szCs w:val="16"/>
                <w:color w:val="auto"/>
              </w:rPr>
              <w:t>24,135</w:t>
            </w:r>
          </w:p>
        </w:tc>
        <w:tc>
          <w:tcPr>
            <w:tcW w:w="0" w:type="dxa"/>
            <w:vAlign w:val="bottom"/>
          </w:tcPr>
          <w:p>
            <w:pPr>
              <w:spacing w:after="0"/>
              <w:rPr>
                <w:sz w:val="1"/>
                <w:szCs w:val="1"/>
                <w:color w:val="auto"/>
              </w:rPr>
            </w:pPr>
          </w:p>
        </w:tc>
      </w:tr>
      <w:tr>
        <w:trPr>
          <w:trHeight w:val="239"/>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i w:val="1"/>
                <w:iCs w:val="1"/>
                <w:color w:val="auto"/>
              </w:rPr>
              <w:t>closings</w:t>
            </w:r>
          </w:p>
        </w:tc>
        <w:tc>
          <w:tcPr>
            <w:tcW w:w="4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Severance and other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jc w:val="center"/>
              <w:ind w:right="4040"/>
              <w:spacing w:after="0"/>
              <w:rPr>
                <w:sz w:val="20"/>
                <w:szCs w:val="20"/>
                <w:color w:val="auto"/>
              </w:rPr>
            </w:pPr>
            <w:r>
              <w:rPr>
                <w:rFonts w:ascii="Arial" w:cs="Arial" w:eastAsia="Arial" w:hAnsi="Arial"/>
                <w:sz w:val="16"/>
                <w:szCs w:val="16"/>
                <w:color w:val="auto"/>
                <w:w w:val="94"/>
              </w:rPr>
              <w:t>2017 Closure Initiative (1)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shd w:val="clear" w:color="auto" w:fill="CCEEFF"/>
          </w:tcPr>
          <w:p>
            <w:pPr>
              <w:jc w:val="center"/>
              <w:ind w:right="4020"/>
              <w:spacing w:after="0"/>
              <w:rPr>
                <w:sz w:val="20"/>
                <w:szCs w:val="20"/>
                <w:color w:val="auto"/>
              </w:rPr>
            </w:pPr>
            <w:r>
              <w:rPr>
                <w:rFonts w:ascii="Arial" w:cs="Arial" w:eastAsia="Arial" w:hAnsi="Arial"/>
                <w:sz w:val="16"/>
                <w:szCs w:val="16"/>
                <w:color w:val="auto"/>
                <w:w w:val="93"/>
              </w:rPr>
              <w:t>Bonefish Restructuring (2)</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6"/>
                <w:szCs w:val="16"/>
                <w:i w:val="1"/>
                <w:iCs w:val="1"/>
                <w:color w:val="auto"/>
              </w:rPr>
              <w:t>Severance and other expenses - General and administrative expense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1,108</w:t>
            </w:r>
          </w:p>
        </w:tc>
        <w:tc>
          <w:tcPr>
            <w:tcW w:w="120" w:type="dxa"/>
            <w:vAlign w:val="bottom"/>
            <w:tcBorders>
              <w:top w:val="single" w:sz="8" w:color="CCEEFF"/>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570</w:t>
            </w:r>
          </w:p>
        </w:tc>
        <w:tc>
          <w:tcPr>
            <w:tcW w:w="100" w:type="dxa"/>
            <w:vAlign w:val="bottom"/>
            <w:tcBorders>
              <w:top w:val="single" w:sz="8" w:color="CCEEFF"/>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jc w:val="center"/>
              <w:ind w:right="4040"/>
              <w:spacing w:after="0"/>
              <w:rPr>
                <w:sz w:val="20"/>
                <w:szCs w:val="20"/>
                <w:color w:val="auto"/>
              </w:rPr>
            </w:pPr>
            <w:r>
              <w:rPr>
                <w:rFonts w:ascii="Arial" w:cs="Arial" w:eastAsia="Arial" w:hAnsi="Arial"/>
                <w:sz w:val="16"/>
                <w:szCs w:val="16"/>
                <w:b w:val="1"/>
                <w:bCs w:val="1"/>
                <w:i w:val="1"/>
                <w:iCs w:val="1"/>
                <w:color w:val="auto"/>
                <w:w w:val="88"/>
              </w:rPr>
              <w:t>Reversal of deferred rent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jc w:val="center"/>
              <w:ind w:right="4040"/>
              <w:spacing w:after="0"/>
              <w:rPr>
                <w:sz w:val="20"/>
                <w:szCs w:val="20"/>
                <w:color w:val="auto"/>
              </w:rPr>
            </w:pPr>
            <w:r>
              <w:rPr>
                <w:rFonts w:ascii="Arial" w:cs="Arial" w:eastAsia="Arial" w:hAnsi="Arial"/>
                <w:sz w:val="16"/>
                <w:szCs w:val="16"/>
                <w:color w:val="auto"/>
                <w:w w:val="94"/>
              </w:rPr>
              <w:t>2017 Closure Initiative (1)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(4,755)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shd w:val="clear" w:color="auto" w:fill="CCEEFF"/>
          </w:tcPr>
          <w:p>
            <w:pPr>
              <w:jc w:val="center"/>
              <w:ind w:right="4020"/>
              <w:spacing w:after="0"/>
              <w:rPr>
                <w:sz w:val="20"/>
                <w:szCs w:val="20"/>
                <w:color w:val="auto"/>
              </w:rPr>
            </w:pPr>
            <w:r>
              <w:rPr>
                <w:rFonts w:ascii="Arial" w:cs="Arial" w:eastAsia="Arial" w:hAnsi="Arial"/>
                <w:sz w:val="16"/>
                <w:szCs w:val="16"/>
                <w:color w:val="auto"/>
                <w:w w:val="93"/>
              </w:rPr>
              <w:t>Bonefish Restructuring (2)</w:t>
            </w:r>
          </w:p>
        </w:tc>
        <w:tc>
          <w:tcPr>
            <w:tcW w:w="4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6"/>
                <w:szCs w:val="16"/>
                <w:i w:val="1"/>
                <w:iCs w:val="1"/>
                <w:color w:val="auto"/>
              </w:rPr>
              <w:t>Reversal of deferred rent liability - Other restaurant operating expense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top w:val="single" w:sz="8" w:color="CCEEFF"/>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Borders>
              <w:top w:val="single" w:sz="8" w:color="CCEEFF"/>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(4,755)</w:t>
            </w: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22,746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February 15, 2017 and August 28, 2017, the Company decided to close 43 underperforming restaurants in the U.S. and two Abbraccio restaurants outside of the core markets of São Paulo and Rio de Janeiro in Brazil (the “2017 Closure Initiative”). Most of these restaurants were closed in 2017, with the balance mostly closing as leases and certain operating covenants expired or were amended or waived. In connection with the 2017 Closure Initiative, the Company recognized impairments and closure costs of $1.7 million, $0.6 million and $17.9 million within the U.S. segment for 2019, 2018 and 2017, respectively, and $1.1 million and $2.5 million within the international segment for 2018 and 2017, respectively.</w:t>
      </w:r>
    </w:p>
    <w:p>
      <w:pPr>
        <w:spacing w:after="0" w:line="2"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February 12, 2016, the Company decided to close 14 Bonefish Grill restaurants (the “Bonefish Restructuring”). Expenses related to the Bonefish Restructuring are recognized within the U.S. segment.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Cumulative Closure Initiative and Restructuring Costs - </w:t>
      </w:r>
      <w:r>
        <w:rPr>
          <w:rFonts w:ascii="Arial" w:cs="Arial" w:eastAsia="Arial" w:hAnsi="Arial"/>
          <w:sz w:val="20"/>
          <w:szCs w:val="20"/>
          <w:color w:val="auto"/>
        </w:rPr>
        <w:t>Following is a summary of cumulative expenses related to the Closure Initiatives</w:t>
      </w:r>
      <w:r>
        <w:rPr>
          <w:rFonts w:ascii="Arial" w:cs="Arial" w:eastAsia="Arial" w:hAnsi="Arial"/>
          <w:sz w:val="20"/>
          <w:szCs w:val="20"/>
          <w:i w:val="1"/>
          <w:iCs w:val="1"/>
          <w:color w:val="auto"/>
        </w:rPr>
        <w:t xml:space="preserve"> </w:t>
      </w:r>
      <w:r>
        <w:rPr>
          <w:rFonts w:ascii="Arial" w:cs="Arial" w:eastAsia="Arial" w:hAnsi="Arial"/>
          <w:sz w:val="20"/>
          <w:szCs w:val="20"/>
          <w:color w:val="auto"/>
        </w:rPr>
        <w:t>incurred through December 29, 2019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4"/>
          </w:tcPr>
          <w:p>
            <w:pPr>
              <w:jc w:val="center"/>
              <w:ind w:right="399"/>
              <w:spacing w:after="0"/>
              <w:rPr>
                <w:sz w:val="20"/>
                <w:szCs w:val="20"/>
                <w:color w:val="auto"/>
              </w:rPr>
            </w:pPr>
            <w:r>
              <w:rPr>
                <w:rFonts w:ascii="Arial" w:cs="Arial" w:eastAsia="Arial" w:hAnsi="Arial"/>
                <w:sz w:val="14"/>
                <w:szCs w:val="14"/>
                <w:b w:val="1"/>
                <w:bCs w:val="1"/>
                <w:color w:val="auto"/>
              </w:rPr>
              <w:t>LOCATION OF CHARGE IN THE CONSOLIDATED</w:t>
            </w:r>
          </w:p>
        </w:tc>
        <w:tc>
          <w:tcPr>
            <w:tcW w:w="4300" w:type="dxa"/>
            <w:vAlign w:val="bottom"/>
            <w:gridSpan w:val="7"/>
          </w:tcPr>
          <w:p>
            <w:pPr>
              <w:jc w:val="center"/>
              <w:ind w:right="261"/>
              <w:spacing w:after="0"/>
              <w:rPr>
                <w:sz w:val="20"/>
                <w:szCs w:val="20"/>
                <w:color w:val="auto"/>
              </w:rPr>
            </w:pPr>
            <w:r>
              <w:rPr>
                <w:rFonts w:ascii="Arial" w:cs="Arial" w:eastAsia="Arial" w:hAnsi="Arial"/>
                <w:sz w:val="14"/>
                <w:szCs w:val="14"/>
                <w:b w:val="1"/>
                <w:bCs w:val="1"/>
                <w:color w:val="auto"/>
              </w:rPr>
              <w:t>CLOSURE INITIATIVES AND RESTRUCTURING</w:t>
            </w:r>
          </w:p>
        </w:tc>
        <w:tc>
          <w:tcPr>
            <w:tcW w:w="0" w:type="dxa"/>
            <w:vAlign w:val="bottom"/>
          </w:tcPr>
          <w:p>
            <w:pPr>
              <w:spacing w:after="0"/>
              <w:rPr>
                <w:sz w:val="1"/>
                <w:szCs w:val="1"/>
                <w:color w:val="auto"/>
              </w:rPr>
            </w:pPr>
          </w:p>
        </w:tc>
      </w:tr>
      <w:tr>
        <w:trPr>
          <w:trHeight w:val="61"/>
        </w:trPr>
        <w:tc>
          <w:tcPr>
            <w:tcW w:w="6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6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rPr>
              <w:t>STATEMENTS OF OPERATIONS AND</w:t>
            </w: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620" w:type="dxa"/>
            <w:vAlign w:val="bottom"/>
          </w:tcPr>
          <w:p>
            <w:pPr>
              <w:spacing w:after="0"/>
              <w:rPr>
                <w:sz w:val="5"/>
                <w:szCs w:val="5"/>
                <w:color w:val="auto"/>
              </w:rPr>
            </w:pPr>
          </w:p>
        </w:tc>
        <w:tc>
          <w:tcPr>
            <w:tcW w:w="2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BONEFISH</w:t>
            </w:r>
          </w:p>
        </w:tc>
        <w:tc>
          <w:tcPr>
            <w:tcW w:w="240" w:type="dxa"/>
            <w:vAlign w:val="bottom"/>
          </w:tcPr>
          <w:p>
            <w:pPr>
              <w:spacing w:after="0"/>
              <w:rPr>
                <w:sz w:val="5"/>
                <w:szCs w:val="5"/>
                <w:color w:val="auto"/>
              </w:rPr>
            </w:pPr>
          </w:p>
        </w:tc>
        <w:tc>
          <w:tcPr>
            <w:tcW w:w="12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 (1)</w:t>
            </w: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4020" w:type="dxa"/>
            <w:vAlign w:val="bottom"/>
            <w:gridSpan w:val="4"/>
          </w:tcPr>
          <w:p>
            <w:pPr>
              <w:jc w:val="center"/>
              <w:ind w:right="399"/>
              <w:spacing w:after="0"/>
              <w:rPr>
                <w:sz w:val="20"/>
                <w:szCs w:val="20"/>
                <w:color w:val="auto"/>
              </w:rPr>
            </w:pPr>
            <w:r>
              <w:rPr>
                <w:rFonts w:ascii="Arial" w:cs="Arial" w:eastAsia="Arial" w:hAnsi="Arial"/>
                <w:sz w:val="14"/>
                <w:szCs w:val="14"/>
                <w:b w:val="1"/>
                <w:bCs w:val="1"/>
                <w:color w:val="auto"/>
              </w:rPr>
              <w:t>COMPREHENSIVE INCOME</w:t>
            </w: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Impairments, facility closure and other</w:t>
            </w:r>
          </w:p>
        </w:tc>
        <w:tc>
          <w:tcPr>
            <w:tcW w:w="1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1"/>
                <w:shd w:val="clear" w:color="auto" w:fill="CCEEFF"/>
              </w:rPr>
              <w:t>expenses</w:t>
            </w:r>
          </w:p>
        </w:tc>
        <w:tc>
          <w:tcPr>
            <w:tcW w:w="2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0"/>
                <w:shd w:val="clear" w:color="auto" w:fill="CCEEFF"/>
              </w:rPr>
              <w:t>Provision for impaired assets and restaurant closings</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70,231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34,232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104,463</w:t>
            </w:r>
          </w:p>
        </w:tc>
        <w:tc>
          <w:tcPr>
            <w:tcW w:w="0" w:type="dxa"/>
            <w:vAlign w:val="bottom"/>
          </w:tcPr>
          <w:p>
            <w:pPr>
              <w:spacing w:after="0"/>
              <w:rPr>
                <w:sz w:val="1"/>
                <w:szCs w:val="1"/>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Severance and other expenses</w:t>
            </w:r>
          </w:p>
        </w:tc>
        <w:tc>
          <w:tcPr>
            <w:tcW w:w="4020" w:type="dxa"/>
            <w:vAlign w:val="bottom"/>
            <w:gridSpan w:val="4"/>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4,841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5,788</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Reversal of deferred rent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Other restaurant operating</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0" w:type="dxa"/>
            <w:vAlign w:val="bottom"/>
          </w:tcPr>
          <w:p>
            <w:pPr>
              <w:spacing w:after="0"/>
              <w:rPr>
                <w:sz w:val="1"/>
                <w:szCs w:val="1"/>
                <w:color w:val="auto"/>
              </w:rPr>
            </w:pPr>
          </w:p>
        </w:tc>
      </w:tr>
      <w:tr>
        <w:trPr>
          <w:trHeight w:val="224"/>
        </w:trPr>
        <w:tc>
          <w:tcPr>
            <w:tcW w:w="620" w:type="dxa"/>
            <w:vAlign w:val="bottom"/>
            <w:tcBorders>
              <w:top w:val="single" w:sz="8" w:color="CCEEFF"/>
            </w:tcBorders>
          </w:tcPr>
          <w:p>
            <w:pPr>
              <w:spacing w:after="0"/>
              <w:rPr>
                <w:sz w:val="19"/>
                <w:szCs w:val="19"/>
                <w:color w:val="auto"/>
              </w:rPr>
            </w:pPr>
          </w:p>
        </w:tc>
        <w:tc>
          <w:tcPr>
            <w:tcW w:w="2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60" w:type="dxa"/>
            <w:vAlign w:val="bottom"/>
            <w:tcBorders>
              <w:top w:val="single" w:sz="8" w:color="CCEEFF"/>
            </w:tcBorders>
            <w:gridSpan w:val="3"/>
          </w:tcPr>
          <w:p>
            <w:pPr>
              <w:spacing w:after="0"/>
              <w:rPr>
                <w:sz w:val="19"/>
                <w:szCs w:val="19"/>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66,481</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31,475</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97,956</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2017 Closure Initiative expenses included $64.2 million and $2.2 million within the U.S. and international segment, respectively.</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International Restructuring </w:t>
      </w:r>
      <w:r>
        <w:rPr>
          <w:rFonts w:ascii="Arial" w:cs="Arial" w:eastAsia="Arial" w:hAnsi="Arial"/>
          <w:sz w:val="20"/>
          <w:szCs w:val="20"/>
          <w:color w:val="auto"/>
        </w:rPr>
        <w:t>- The Company recognized asset impairment and closure charges of $2.0 million, $13.9 million and $6.3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during 2019, 2018 and 2017, respectively, related to restructuring of certain international markets, including Puerto Rico and China, within the international segment.</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Express Concept Restructuring </w:t>
      </w:r>
      <w:r>
        <w:rPr>
          <w:rFonts w:ascii="Arial" w:cs="Arial" w:eastAsia="Arial" w:hAnsi="Arial"/>
          <w:sz w:val="19"/>
          <w:szCs w:val="19"/>
          <w:color w:val="auto"/>
        </w:rPr>
        <w:t>- In 2018, the Company recognized asset impairment charges of $7.4 million related to the restructuring of its</w:t>
      </w:r>
      <w:r>
        <w:rPr>
          <w:rFonts w:ascii="Arial" w:cs="Arial" w:eastAsia="Arial" w:hAnsi="Arial"/>
          <w:sz w:val="19"/>
          <w:szCs w:val="19"/>
          <w:i w:val="1"/>
          <w:iCs w:val="1"/>
          <w:color w:val="auto"/>
        </w:rPr>
        <w:t xml:space="preserve"> </w:t>
      </w:r>
      <w:r>
        <w:rPr>
          <w:rFonts w:ascii="Arial" w:cs="Arial" w:eastAsia="Arial" w:hAnsi="Arial"/>
          <w:sz w:val="19"/>
          <w:szCs w:val="19"/>
          <w:color w:val="auto"/>
        </w:rPr>
        <w:t>Express concept, within the U.S. segment. As a part of the restructuring, three Express locations closed during 2019.</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Refranchising </w:t>
      </w:r>
      <w:r>
        <w:rPr>
          <w:rFonts w:ascii="Arial" w:cs="Arial" w:eastAsia="Arial" w:hAnsi="Arial"/>
          <w:sz w:val="20"/>
          <w:szCs w:val="20"/>
          <w:color w:val="auto"/>
        </w:rPr>
        <w:t>- In connection with the sale of certain existing U.S. Company-owned Carrabba’s Italian Grill</w:t>
      </w:r>
      <w:r>
        <w:rPr>
          <w:rFonts w:ascii="Arial" w:cs="Arial" w:eastAsia="Arial" w:hAnsi="Arial"/>
          <w:sz w:val="20"/>
          <w:szCs w:val="20"/>
          <w:i w:val="1"/>
          <w:iCs w:val="1"/>
          <w:color w:val="auto"/>
        </w:rPr>
        <w:t xml:space="preserve"> </w:t>
      </w:r>
      <w:r>
        <w:rPr>
          <w:rFonts w:ascii="Arial" w:cs="Arial" w:eastAsia="Arial" w:hAnsi="Arial"/>
          <w:sz w:val="20"/>
          <w:szCs w:val="20"/>
          <w:color w:val="252525"/>
        </w:rPr>
        <w:t>restaurants</w:t>
      </w:r>
      <w:r>
        <w:rPr>
          <w:rFonts w:ascii="Arial" w:cs="Arial" w:eastAsia="Arial" w:hAnsi="Arial"/>
          <w:sz w:val="20"/>
          <w:szCs w:val="20"/>
          <w:color w:val="auto"/>
        </w:rPr>
        <w:t>,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recognized asset impairment charges of $5.5 million in 2018, within the U.S. segment.</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Surplus Properties - </w:t>
      </w:r>
      <w:r>
        <w:rPr>
          <w:rFonts w:ascii="Arial" w:cs="Arial" w:eastAsia="Arial" w:hAnsi="Arial"/>
          <w:sz w:val="20"/>
          <w:szCs w:val="20"/>
          <w:color w:val="auto"/>
        </w:rPr>
        <w:t>The Company owns certain U.S. restaurant properties and assets that are no longer utilized to operate its restaurant</w:t>
      </w:r>
      <w:r>
        <w:rPr>
          <w:rFonts w:ascii="Arial" w:cs="Arial" w:eastAsia="Arial" w:hAnsi="Arial"/>
          <w:sz w:val="20"/>
          <w:szCs w:val="20"/>
          <w:i w:val="1"/>
          <w:iCs w:val="1"/>
          <w:color w:val="auto"/>
        </w:rPr>
        <w:t xml:space="preserve"> </w:t>
      </w:r>
      <w:r>
        <w:rPr>
          <w:rFonts w:ascii="Arial" w:cs="Arial" w:eastAsia="Arial" w:hAnsi="Arial"/>
          <w:sz w:val="20"/>
          <w:szCs w:val="20"/>
          <w:color w:val="auto"/>
        </w:rPr>
        <w:t>concepts (“surplus properties”). Surplus properties primarily consist of closed properties, which include land and a building, and liquor licenses no longer needed for operations. Surplus properties may be classified on the Consolidated Balance Sheets as assets held for sale or as assets held and used when the Company does not expect to sell these assets within the next 12 months. Following is a summary of the carrying value and number of surplus properties as of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5"/>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8"/>
              </w:rPr>
              <w:t>DECEMBER 29, 2019</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DECEMBER 30, 2018</w:t>
            </w: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Surplus properties - assets held for sale</w:t>
            </w: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3,317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4,594</w:t>
            </w:r>
          </w:p>
        </w:tc>
      </w:tr>
      <w:tr>
        <w:trPr>
          <w:trHeight w:val="270"/>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Surplus properties - assets held and used</w:t>
            </w:r>
          </w:p>
        </w:tc>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18,188</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15,254</w:t>
            </w: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surplus properties</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21,505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19,848</w:t>
            </w:r>
          </w:p>
        </w:tc>
      </w:tr>
      <w:tr>
        <w:trPr>
          <w:trHeight w:val="20"/>
        </w:trPr>
        <w:tc>
          <w:tcPr>
            <w:tcW w:w="4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surplus properties owned</w:t>
            </w:r>
          </w:p>
        </w:tc>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bl>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2017, the Company recognized asset impairment charges of $10.7 million in connection with the remeasurement of certain surplus properties, within the U.S. segment.</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restaurant impairment and closing charges for the periods presented resulted primarily from locations identified for remodel, relocation or closure and certain other assets.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Accrued Facility Closure and Other Cost Rollforward </w:t>
      </w:r>
      <w:r>
        <w:rPr>
          <w:rFonts w:ascii="Arial" w:cs="Arial" w:eastAsia="Arial" w:hAnsi="Arial"/>
          <w:sz w:val="20"/>
          <w:szCs w:val="20"/>
          <w:color w:val="auto"/>
        </w:rPr>
        <w:t>- The following table summarizes the Company’s rollforward of closed facility lease</w:t>
      </w:r>
      <w:r>
        <w:rPr>
          <w:rFonts w:ascii="Arial" w:cs="Arial" w:eastAsia="Arial" w:hAnsi="Arial"/>
          <w:sz w:val="20"/>
          <w:szCs w:val="20"/>
          <w:i w:val="1"/>
          <w:iCs w:val="1"/>
          <w:color w:val="auto"/>
        </w:rPr>
        <w:t xml:space="preserve"> </w:t>
      </w:r>
      <w:r>
        <w:rPr>
          <w:rFonts w:ascii="Arial" w:cs="Arial" w:eastAsia="Arial" w:hAnsi="Arial"/>
          <w:sz w:val="20"/>
          <w:szCs w:val="20"/>
          <w:color w:val="auto"/>
        </w:rPr>
        <w:t>liabilities and other accrued costs associated with the Closure Initiatives for the period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0" w:type="dxa"/>
            <w:vAlign w:val="bottom"/>
          </w:tcPr>
          <w:p>
            <w:pPr>
              <w:jc w:val="right"/>
              <w:ind w:right="921"/>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22"/>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126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the year</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18,094</w:t>
            </w:r>
          </w:p>
        </w:tc>
        <w:tc>
          <w:tcPr>
            <w:tcW w:w="0" w:type="dxa"/>
            <w:vAlign w:val="bottom"/>
          </w:tcPr>
          <w:p>
            <w:pPr>
              <w:spacing w:after="0"/>
              <w:rPr>
                <w:sz w:val="1"/>
                <w:szCs w:val="1"/>
                <w:color w:val="auto"/>
              </w:rPr>
            </w:pPr>
          </w:p>
        </w:tc>
      </w:tr>
      <w:tr>
        <w:trPr>
          <w:trHeight w:val="224"/>
        </w:trPr>
        <w:tc>
          <w:tcPr>
            <w:tcW w:w="8460" w:type="dxa"/>
            <w:vAlign w:val="bottom"/>
          </w:tcPr>
          <w:p>
            <w:pPr>
              <w:ind w:left="180"/>
              <w:spacing w:after="0"/>
              <w:rPr>
                <w:sz w:val="20"/>
                <w:szCs w:val="20"/>
                <w:color w:val="auto"/>
              </w:rPr>
            </w:pPr>
            <w:r>
              <w:rPr>
                <w:rFonts w:ascii="Arial" w:cs="Arial" w:eastAsia="Arial" w:hAnsi="Arial"/>
                <w:sz w:val="16"/>
                <w:szCs w:val="16"/>
                <w:color w:val="auto"/>
              </w:rPr>
              <w:t>Additions (1)</w:t>
            </w:r>
          </w:p>
        </w:tc>
        <w:tc>
          <w:tcPr>
            <w:tcW w:w="560" w:type="dxa"/>
            <w:vAlign w:val="bottom"/>
          </w:tcPr>
          <w:p>
            <w:pPr>
              <w:spacing w:after="0"/>
              <w:rPr>
                <w:sz w:val="19"/>
                <w:szCs w:val="19"/>
                <w:color w:val="auto"/>
              </w:rPr>
            </w:pPr>
          </w:p>
        </w:tc>
        <w:tc>
          <w:tcPr>
            <w:tcW w:w="2400" w:type="dxa"/>
            <w:vAlign w:val="bottom"/>
          </w:tcPr>
          <w:p>
            <w:pPr>
              <w:jc w:val="right"/>
              <w:ind w:right="21"/>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56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0" w:type="dxa"/>
            <w:vAlign w:val="bottom"/>
          </w:tcPr>
          <w:p>
            <w:pPr>
              <w:spacing w:after="0"/>
              <w:rPr>
                <w:sz w:val="1"/>
                <w:szCs w:val="1"/>
                <w:color w:val="auto"/>
              </w:rPr>
            </w:pPr>
          </w:p>
        </w:tc>
      </w:tr>
      <w:tr>
        <w:trPr>
          <w:trHeight w:val="224"/>
        </w:trPr>
        <w:tc>
          <w:tcPr>
            <w:tcW w:w="8460" w:type="dxa"/>
            <w:vAlign w:val="bottom"/>
          </w:tcPr>
          <w:p>
            <w:pPr>
              <w:ind w:left="180"/>
              <w:spacing w:after="0"/>
              <w:rPr>
                <w:sz w:val="20"/>
                <w:szCs w:val="20"/>
                <w:color w:val="auto"/>
              </w:rPr>
            </w:pPr>
            <w:r>
              <w:rPr>
                <w:rFonts w:ascii="Arial" w:cs="Arial" w:eastAsia="Arial" w:hAnsi="Arial"/>
                <w:sz w:val="16"/>
                <w:szCs w:val="16"/>
                <w:color w:val="auto"/>
              </w:rPr>
              <w:t>Accretion</w:t>
            </w:r>
          </w:p>
        </w:tc>
        <w:tc>
          <w:tcPr>
            <w:tcW w:w="560" w:type="dxa"/>
            <w:vAlign w:val="bottom"/>
          </w:tcPr>
          <w:p>
            <w:pPr>
              <w:spacing w:after="0"/>
              <w:rPr>
                <w:sz w:val="19"/>
                <w:szCs w:val="19"/>
                <w:color w:val="auto"/>
              </w:rPr>
            </w:pPr>
          </w:p>
        </w:tc>
        <w:tc>
          <w:tcPr>
            <w:tcW w:w="2400" w:type="dxa"/>
            <w:vAlign w:val="bottom"/>
          </w:tcPr>
          <w:p>
            <w:pPr>
              <w:jc w:val="right"/>
              <w:ind w:right="21"/>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w:t>
            </w:r>
          </w:p>
        </w:tc>
        <w:tc>
          <w:tcPr>
            <w:tcW w:w="560" w:type="dxa"/>
            <w:vAlign w:val="bottom"/>
            <w:tcBorders>
              <w:bottom w:val="single" w:sz="8" w:color="auto"/>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50"/>
        </w:trPr>
        <w:tc>
          <w:tcPr>
            <w:tcW w:w="8460" w:type="dxa"/>
            <w:vAlign w:val="bottom"/>
          </w:tcPr>
          <w:p>
            <w:pPr>
              <w:ind w:left="40"/>
              <w:spacing w:after="0"/>
              <w:rPr>
                <w:sz w:val="20"/>
                <w:szCs w:val="20"/>
                <w:color w:val="auto"/>
              </w:rPr>
            </w:pPr>
            <w:r>
              <w:rPr>
                <w:rFonts w:ascii="Arial" w:cs="Arial" w:eastAsia="Arial" w:hAnsi="Arial"/>
                <w:sz w:val="16"/>
                <w:szCs w:val="16"/>
                <w:color w:val="auto"/>
              </w:rPr>
              <w:t>End of the year (2)</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14,542</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5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closure initiative related lease liabilities recognized as a result of the adoption of ASU No. 2016-02.</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December 29, 2019, the Company had exit-related accruals related to the Closure Initiatives of $3.3 million recorded in Accrued and other current liabilities and $11.2 million recorded in Non-current operating lease liabilities on its Consolidated Balance Sheet.</w:t>
      </w:r>
    </w:p>
    <w:p>
      <w:pPr>
        <w:spacing w:after="0" w:line="193"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computes basic earnings per share based on the weighted average number of common shares that were outstanding during the period. Diluted earnings per share includes the dilutive effect of common stock equivalents consisting of restricted stock, restricted stock units, performance-based share units and stock options, using the treasury stock method. Performance-based share units are considered dilutive when the related performance criterion has been met.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computation of basic and diluted earnings per share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62"/>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130,573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107,098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101,293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88,839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92,042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96,365</w:t>
            </w:r>
          </w:p>
        </w:tc>
      </w:tr>
      <w:tr>
        <w:trPr>
          <w:trHeight w:val="297"/>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diluted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1,595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2,895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Nonvested restricted stock and restricted stock units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w:t>
            </w:r>
          </w:p>
        </w:tc>
      </w:tr>
      <w:tr>
        <w:trPr>
          <w:trHeight w:val="224"/>
        </w:trPr>
        <w:tc>
          <w:tcPr>
            <w:tcW w:w="6400" w:type="dxa"/>
            <w:vAlign w:val="bottom"/>
          </w:tcPr>
          <w:p>
            <w:pPr>
              <w:ind w:left="180"/>
              <w:spacing w:after="0"/>
              <w:rPr>
                <w:sz w:val="20"/>
                <w:szCs w:val="20"/>
                <w:color w:val="auto"/>
              </w:rPr>
            </w:pPr>
            <w:r>
              <w:rPr>
                <w:rFonts w:ascii="Arial" w:cs="Arial" w:eastAsia="Arial" w:hAnsi="Arial"/>
                <w:sz w:val="16"/>
                <w:szCs w:val="16"/>
                <w:color w:val="auto"/>
              </w:rPr>
              <w:t>Nonvested performance-based share units</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2"/>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89,777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94,075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99,707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1.02</w:t>
            </w:r>
          </w:p>
        </w:tc>
      </w:tr>
    </w:tbl>
    <w:p>
      <w:pPr>
        <w:spacing w:after="0" w:line="200" w:lineRule="exact"/>
        <w:rPr>
          <w:sz w:val="20"/>
          <w:szCs w:val="20"/>
          <w:color w:val="auto"/>
        </w:rPr>
      </w:pP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Securities outstanding not included in the computation of earnings per share because their effect was antidilutive were as follows,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FISCAL YEAR</w:t>
            </w:r>
          </w:p>
        </w:tc>
        <w:tc>
          <w:tcPr>
            <w:tcW w:w="158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4,003</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2,879</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5,555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Nonvested restricted stock and restricted stock units</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128</w:t>
            </w:r>
          </w:p>
        </w:tc>
      </w:tr>
      <w:tr>
        <w:trPr>
          <w:trHeight w:val="33"/>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performance-based share units</w:t>
            </w: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222</w:t>
            </w:r>
          </w:p>
        </w:tc>
      </w:tr>
      <w:tr>
        <w:trPr>
          <w:trHeight w:val="33"/>
        </w:trPr>
        <w:tc>
          <w:tcPr>
            <w:tcW w:w="6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2" w:right="239" w:bottom="1440" w:gutter="0" w:footer="0" w:header="0"/>
          <w:type w:val="continuous"/>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700" w:hanging="692"/>
        <w:spacing w:after="0"/>
        <w:tabs>
          <w:tab w:leader="none" w:pos="7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Stock-based and Deferred Compensation Plans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Plans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5,270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6,378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10,423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Restricted stock and restricted stock units</w:t>
            </w:r>
          </w:p>
        </w:tc>
        <w:tc>
          <w:tcPr>
            <w:tcW w:w="400" w:type="dxa"/>
            <w:vAlign w:val="bottom"/>
          </w:tcPr>
          <w:p>
            <w:pPr>
              <w:spacing w:after="0"/>
              <w:rPr>
                <w:sz w:val="20"/>
                <w:szCs w:val="20"/>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8,949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9,143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9,933</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5,471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6,911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2,227</w:t>
            </w:r>
          </w:p>
        </w:tc>
      </w:tr>
      <w:tr>
        <w:trPr>
          <w:trHeight w:val="224"/>
        </w:trPr>
        <w:tc>
          <w:tcPr>
            <w:tcW w:w="64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19,690</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22,432</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22,583</w:t>
            </w:r>
          </w:p>
        </w:tc>
      </w:tr>
      <w:tr>
        <w:trPr>
          <w:trHeight w:val="33"/>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Stock Options </w:t>
      </w:r>
      <w:r>
        <w:rPr>
          <w:rFonts w:ascii="Arial" w:cs="Arial" w:eastAsia="Arial" w:hAnsi="Arial"/>
          <w:sz w:val="20"/>
          <w:szCs w:val="20"/>
          <w:color w:val="auto"/>
        </w:rPr>
        <w:t>- Stock options generally vest and become exercisable over a period of four years in an equal number of shares each year. Stock</w:t>
      </w:r>
      <w:r>
        <w:rPr>
          <w:rFonts w:ascii="Arial" w:cs="Arial" w:eastAsia="Arial" w:hAnsi="Arial"/>
          <w:sz w:val="20"/>
          <w:szCs w:val="20"/>
          <w:i w:val="1"/>
          <w:iCs w:val="1"/>
          <w:color w:val="auto"/>
        </w:rPr>
        <w:t xml:space="preserve"> </w:t>
      </w:r>
      <w:r>
        <w:rPr>
          <w:rFonts w:ascii="Arial" w:cs="Arial" w:eastAsia="Arial" w:hAnsi="Arial"/>
          <w:sz w:val="20"/>
          <w:szCs w:val="20"/>
          <w:color w:val="auto"/>
        </w:rPr>
        <w:t>options have an exercisable life of no more than ten years from the date of grant. The Company settles stock option exercises with authorized but unissued shares of the Company’s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stock option activity: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136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2"/>
                <w:szCs w:val="12"/>
                <w:color w:val="auto"/>
              </w:rPr>
            </w:pPr>
          </w:p>
        </w:tc>
        <w:tc>
          <w:tcPr>
            <w:tcW w:w="136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exercise price and contractual life)</w:t>
            </w:r>
          </w:p>
        </w:tc>
        <w:tc>
          <w:tcPr>
            <w:tcW w:w="16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30, 2018</w:t>
            </w: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6,190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11,439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20.59</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 or expired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22.76</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29, 2019</w:t>
            </w: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6,099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18,961</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Exercisable as of December 29, 2019</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3,846</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14,405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Assumptions used in the Black-Scholes option pricing model and the weighted-average fair value of option awards granted were as follows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60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6"/>
                <w:szCs w:val="16"/>
                <w:color w:val="auto"/>
              </w:rPr>
              <w:t>Weighted-average risk-free interest rate (1)</w:t>
            </w:r>
          </w:p>
        </w:tc>
        <w:tc>
          <w:tcPr>
            <w:tcW w:w="4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82"/>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1.92%</w:t>
            </w:r>
          </w:p>
        </w:tc>
      </w:tr>
      <w:tr>
        <w:trPr>
          <w:trHeight w:val="33"/>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Dividend yield (2)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1.84%</w:t>
            </w:r>
          </w:p>
        </w:tc>
      </w:tr>
      <w:tr>
        <w:trPr>
          <w:trHeight w:val="237"/>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6"/>
                <w:szCs w:val="16"/>
                <w:color w:val="auto"/>
              </w:rPr>
              <w:t>Expected term (3)</w:t>
            </w:r>
          </w:p>
        </w:tc>
        <w:tc>
          <w:tcPr>
            <w:tcW w:w="400" w:type="dxa"/>
            <w:vAlign w:val="bottom"/>
          </w:tcPr>
          <w:p>
            <w:pPr>
              <w:spacing w:after="0"/>
              <w:rPr>
                <w:sz w:val="20"/>
                <w:szCs w:val="20"/>
                <w:color w:val="auto"/>
              </w:rPr>
            </w:pPr>
          </w:p>
        </w:tc>
        <w:tc>
          <w:tcPr>
            <w:tcW w:w="1420" w:type="dxa"/>
            <w:vAlign w:val="bottom"/>
            <w:gridSpan w:val="2"/>
          </w:tcPr>
          <w:p>
            <w:pPr>
              <w:ind w:left="440"/>
              <w:spacing w:after="0"/>
              <w:rPr>
                <w:sz w:val="20"/>
                <w:szCs w:val="20"/>
                <w:color w:val="auto"/>
              </w:rPr>
            </w:pPr>
            <w:r>
              <w:rPr>
                <w:rFonts w:ascii="Arial" w:cs="Arial" w:eastAsia="Arial" w:hAnsi="Arial"/>
                <w:sz w:val="16"/>
                <w:szCs w:val="16"/>
                <w:color w:val="auto"/>
              </w:rPr>
              <w:t>4.8 years</w:t>
            </w:r>
          </w:p>
        </w:tc>
        <w:tc>
          <w:tcPr>
            <w:tcW w:w="240" w:type="dxa"/>
            <w:vAlign w:val="bottom"/>
          </w:tcPr>
          <w:p>
            <w:pPr>
              <w:spacing w:after="0"/>
              <w:rPr>
                <w:sz w:val="20"/>
                <w:szCs w:val="20"/>
                <w:color w:val="auto"/>
              </w:rPr>
            </w:pPr>
          </w:p>
        </w:tc>
        <w:tc>
          <w:tcPr>
            <w:tcW w:w="1580" w:type="dxa"/>
            <w:vAlign w:val="bottom"/>
            <w:gridSpan w:val="2"/>
          </w:tcPr>
          <w:p>
            <w:pPr>
              <w:ind w:left="600"/>
              <w:spacing w:after="0"/>
              <w:rPr>
                <w:sz w:val="20"/>
                <w:szCs w:val="20"/>
                <w:color w:val="auto"/>
              </w:rPr>
            </w:pPr>
            <w:r>
              <w:rPr>
                <w:rFonts w:ascii="Arial" w:cs="Arial" w:eastAsia="Arial" w:hAnsi="Arial"/>
                <w:sz w:val="16"/>
                <w:szCs w:val="16"/>
                <w:color w:val="auto"/>
              </w:rPr>
              <w:t>5.8 years</w:t>
            </w:r>
          </w:p>
        </w:tc>
        <w:tc>
          <w:tcPr>
            <w:tcW w:w="420" w:type="dxa"/>
            <w:vAlign w:val="bottom"/>
          </w:tcPr>
          <w:p>
            <w:pPr>
              <w:spacing w:after="0"/>
              <w:rPr>
                <w:sz w:val="20"/>
                <w:szCs w:val="20"/>
                <w:color w:val="auto"/>
              </w:rPr>
            </w:pPr>
          </w:p>
        </w:tc>
        <w:tc>
          <w:tcPr>
            <w:tcW w:w="1300" w:type="dxa"/>
            <w:vAlign w:val="bottom"/>
          </w:tcPr>
          <w:p>
            <w:pPr>
              <w:jc w:val="right"/>
              <w:ind w:right="220"/>
              <w:spacing w:after="0"/>
              <w:rPr>
                <w:sz w:val="20"/>
                <w:szCs w:val="20"/>
                <w:color w:val="auto"/>
              </w:rPr>
            </w:pPr>
            <w:r>
              <w:rPr>
                <w:rFonts w:ascii="Arial" w:cs="Arial" w:eastAsia="Arial" w:hAnsi="Arial"/>
                <w:sz w:val="16"/>
                <w:szCs w:val="16"/>
                <w:color w:val="auto"/>
              </w:rPr>
              <w:t>6.3 years</w:t>
            </w:r>
          </w:p>
        </w:tc>
      </w:tr>
      <w:tr>
        <w:trPr>
          <w:trHeight w:val="33"/>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Weighted-average volatility (4)</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33.72%</w:t>
            </w:r>
          </w:p>
        </w:tc>
      </w:tr>
      <w:tr>
        <w:trPr>
          <w:trHeight w:val="297"/>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grant date fair value per option</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5.09</w:t>
            </w:r>
          </w:p>
        </w:tc>
      </w:tr>
      <w:tr>
        <w:trPr>
          <w:trHeight w:val="193"/>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________________</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ind w:left="660" w:hanging="652"/>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 of the option.</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stock option compensation information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Intrinsic value of options exercised</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52,247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15,139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Cash received from option exercises, net of tax withholding</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6,501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40,501</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13,329</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stock options vested</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18,136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34,316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28,085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Tax benefits for stock option compensation expense (1)</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1,932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13,085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5,889</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Unrecognized stock option expense</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7,669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weighted-average vesting period</w:t>
            </w:r>
          </w:p>
        </w:tc>
        <w:tc>
          <w:tcPr>
            <w:tcW w:w="17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1.9 years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33"/>
        </w:trPr>
        <w:tc>
          <w:tcPr>
            <w:tcW w:w="6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excess tax benefits for tax deductions related to the exercise of stock options of $0.2 million, $8.0 million and $2.9 million for fiscal years 2019, 2018 and 2017, respectively.</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Restricted Stock and Restricted Stock Units </w:t>
      </w:r>
      <w:r>
        <w:rPr>
          <w:rFonts w:ascii="Arial" w:cs="Arial" w:eastAsia="Arial" w:hAnsi="Arial"/>
          <w:sz w:val="20"/>
          <w:szCs w:val="20"/>
          <w:color w:val="auto"/>
        </w:rPr>
        <w:t>- Restricted stock units granted prior to 2019 generally vest over a period of four years and</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restricted stock units granted after 2018 generally vest over a period of three years, in an equal number of shares each year. Following is a summary of the Company’s restricted stock unit activity: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 AWARDS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as of December 30, 2018</w:t>
            </w: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1,156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18.65</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19.15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Vested</w:t>
            </w:r>
          </w:p>
        </w:tc>
        <w:tc>
          <w:tcPr>
            <w:tcW w:w="56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18.50</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Outstanding as of December 29, 2019</w:t>
            </w:r>
          </w:p>
        </w:tc>
        <w:tc>
          <w:tcPr>
            <w:tcW w:w="56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1,188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restricted stock and restricted stock unit compensation information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restricted stock vested</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9,705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10,182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Tax benefits for restricted stock compensation expense</w:t>
            </w:r>
          </w:p>
        </w:tc>
        <w:tc>
          <w:tcPr>
            <w:tcW w:w="102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1,672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2,938</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3,664</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Unrecognized restricted stock expense</w:t>
            </w:r>
          </w:p>
        </w:tc>
        <w:tc>
          <w:tcPr>
            <w:tcW w:w="102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w w:val="93"/>
              </w:rPr>
              <w:t>14,800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weighted-average vesting period</w:t>
            </w:r>
          </w:p>
        </w:tc>
        <w:tc>
          <w:tcPr>
            <w:tcW w:w="17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2.1 years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33"/>
        </w:trPr>
        <w:tc>
          <w:tcPr>
            <w:tcW w:w="6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Performance-based Share Units (“PSUs”) </w:t>
      </w:r>
      <w:r>
        <w:rPr>
          <w:rFonts w:ascii="Arial" w:cs="Arial" w:eastAsia="Arial" w:hAnsi="Arial"/>
          <w:sz w:val="19"/>
          <w:szCs w:val="19"/>
          <w:color w:val="auto"/>
        </w:rPr>
        <w:t>- The number of PSUs that vest is determined for each year based on the achievement of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criteria as set forth in the award agreement and may range from zero to 200% of the annual target grant. The PSUs are settled in shares of common stock, with holders receiving one share of common stock for each performance-based share unit that vests. The fair value of PSUs is based on the closing price of the Company’s common stock on the grant date. Compensation expense for PSUs is recognized over the vesting period when it is probable the performance criteria will be achieved.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PSU activity: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BASED SHARE 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30, 2018</w:t>
            </w: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29, 2019</w:t>
            </w:r>
          </w:p>
        </w:tc>
        <w:tc>
          <w:tcPr>
            <w:tcW w:w="1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532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PSU compensation information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2017</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benefits for PSU compensation expense</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Unrecognized PSU expense</w:t>
            </w: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8,000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weighted-average vesting period (1)</w:t>
            </w:r>
          </w:p>
        </w:tc>
        <w:tc>
          <w:tcPr>
            <w:tcW w:w="152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1.2 years</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33"/>
        </w:trPr>
        <w:tc>
          <w:tcPr>
            <w:tcW w:w="7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PSUs typically vest after three years.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29, 2019, the maximum number of shares of common stock available for issuance pursuant to the 2016 Omnibus Incentive Plan was 3,310,887.</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Plans</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U.S. Partner Deferred Compensations Plans </w:t>
      </w:r>
      <w:r>
        <w:rPr>
          <w:rFonts w:ascii="Arial" w:cs="Arial" w:eastAsia="Arial" w:hAnsi="Arial"/>
          <w:sz w:val="18"/>
          <w:szCs w:val="18"/>
          <w:color w:val="auto"/>
        </w:rPr>
        <w:t>- Certain U.S. Partners may participate in deferred compensation programs that are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of Section 409A of the Internal Revenue Code. The Company may invest in corporate-owned life insurance policies, which are held within an irrevocable grantor or “rabbi” trust account for settlement of certain of the obligations under the deferred compensation plans. The deferred compensation obligation due to U.S. Partners under these plans was $49.0 million and $69.6 million as of December 29, 2019 and December 30, 2018, respectively. The rabbi trust is funded through the Company’s voluntary contributions. The unfunded obligation for U.S. Partners deferred compensation was $9.1 million and $26.3 million as of December 29, 2019 and December 30, 2018, respectively.</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Other Compensation Programs </w:t>
      </w:r>
      <w:r>
        <w:rPr>
          <w:rFonts w:ascii="Arial" w:cs="Arial" w:eastAsia="Arial" w:hAnsi="Arial"/>
          <w:sz w:val="20"/>
          <w:szCs w:val="20"/>
          <w:color w:val="auto"/>
        </w:rPr>
        <w:t>- Certain U.S. Partners participate in a non-qualified long-term compensation program that the Company funds</w:t>
      </w:r>
      <w:r>
        <w:rPr>
          <w:rFonts w:ascii="Arial" w:cs="Arial" w:eastAsia="Arial" w:hAnsi="Arial"/>
          <w:sz w:val="20"/>
          <w:szCs w:val="20"/>
          <w:i w:val="1"/>
          <w:iCs w:val="1"/>
          <w:color w:val="auto"/>
        </w:rPr>
        <w:t xml:space="preserve"> </w:t>
      </w:r>
      <w:r>
        <w:rPr>
          <w:rFonts w:ascii="Arial" w:cs="Arial" w:eastAsia="Arial" w:hAnsi="Arial"/>
          <w:sz w:val="20"/>
          <w:szCs w:val="20"/>
          <w:color w:val="auto"/>
        </w:rPr>
        <w:t>as the obligation for each participant becomes due.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401(k) Plan </w:t>
      </w:r>
      <w:r>
        <w:rPr>
          <w:rFonts w:ascii="Arial" w:cs="Arial" w:eastAsia="Arial" w:hAnsi="Arial"/>
          <w:sz w:val="20"/>
          <w:szCs w:val="20"/>
          <w:color w:val="auto"/>
        </w:rPr>
        <w:t>- The Company has a qualified defined contribution plan that qualifies under Section 401(k) of the Internal Revenue Code of 1986,</w:t>
      </w:r>
      <w:r>
        <w:rPr>
          <w:rFonts w:ascii="Arial" w:cs="Arial" w:eastAsia="Arial" w:hAnsi="Arial"/>
          <w:sz w:val="20"/>
          <w:szCs w:val="20"/>
          <w:i w:val="1"/>
          <w:iCs w:val="1"/>
          <w:color w:val="auto"/>
        </w:rPr>
        <w:t xml:space="preserve"> </w:t>
      </w:r>
      <w:r>
        <w:rPr>
          <w:rFonts w:ascii="Arial" w:cs="Arial" w:eastAsia="Arial" w:hAnsi="Arial"/>
          <w:sz w:val="20"/>
          <w:szCs w:val="20"/>
          <w:color w:val="auto"/>
        </w:rPr>
        <w:t>as amended. The Company incurred contribution costs of $5.4 million, $5.3 million and $3.3 million for the 401(k) Plan for 2019, 2018 and 2017, respectively.</w:t>
      </w:r>
    </w:p>
    <w:p>
      <w:pPr>
        <w:spacing w:after="0" w:line="20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Highly Compensated Employee Plan - </w:t>
      </w:r>
      <w:r>
        <w:rPr>
          <w:rFonts w:ascii="Arial" w:cs="Arial" w:eastAsia="Arial" w:hAnsi="Arial"/>
          <w:sz w:val="16"/>
          <w:szCs w:val="16"/>
          <w:color w:val="auto"/>
        </w:rPr>
        <w:t>The Company provides a deferred compensation plan for its highly compensated employees who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to participate in the 401(k) Plan. The deferred compensation plan allows these employees to contribute a percentage of their base salary and cash bonus on a pre-tax basis. The deferred compensation plan is unsecured and funded through the Company’s voluntary contributions.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 - Continued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700" w:hanging="692"/>
        <w:spacing w:after="0"/>
        <w:tabs>
          <w:tab w:leader="none" w:pos="7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Other Current Assets, Net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 net, consisted of the following as of the periods indicated:</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Prepaid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gift cards,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vendors,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franchisees,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other, net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gift card sales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 held for sale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30,</w:t>
            </w:r>
          </w:p>
        </w:tc>
      </w:tr>
      <w:tr>
        <w:trPr>
          <w:trHeight w:val="205"/>
        </w:trPr>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20,218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38,117</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104,591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91,242</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13,465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10,029</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1,303</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21,734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19,688</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18,554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16,431</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3,317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5,143</w:t>
            </w:r>
          </w:p>
        </w:tc>
      </w:tr>
      <w:tr>
        <w:trPr>
          <w:trHeight w:val="257"/>
        </w:trPr>
        <w:tc>
          <w:tcPr>
            <w:tcW w:w="1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3,261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8,895</w:t>
            </w:r>
          </w:p>
        </w:tc>
      </w:tr>
      <w:tr>
        <w:trPr>
          <w:trHeight w:val="40"/>
        </w:trPr>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186,462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190,848</w:t>
            </w:r>
          </w:p>
        </w:tc>
      </w:tr>
      <w:tr>
        <w:trPr>
          <w:trHeight w:val="33"/>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21" w:right="239" w:bottom="1440" w:gutter="0" w:footer="0" w:header="0"/>
          <w:type w:val="continuous"/>
        </w:sectPr>
      </w:pPr>
    </w:p>
    <w:p>
      <w:pPr>
        <w:spacing w:after="0" w:line="215"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Property, Fixtures and Equipment,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Property, fixtures and equipment, net, consisted of the following as of the periods indicated:</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Land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fixtures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Construction in progress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30,</w:t>
            </w:r>
          </w:p>
        </w:tc>
      </w:tr>
      <w:tr>
        <w:trPr>
          <w:trHeight w:val="205"/>
        </w:trPr>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42,570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59,973</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1,202,434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1,188,735</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458,169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428,676</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665,815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634,459</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24,477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48,949</w:t>
            </w:r>
          </w:p>
        </w:tc>
      </w:tr>
      <w:tr>
        <w:trPr>
          <w:trHeight w:val="257"/>
        </w:trPr>
        <w:tc>
          <w:tcPr>
            <w:tcW w:w="180" w:type="dxa"/>
            <w:vAlign w:val="bottom"/>
          </w:tcPr>
          <w:p>
            <w:pPr>
              <w:spacing w:after="0"/>
              <w:rPr>
                <w:sz w:val="22"/>
                <w:szCs w:val="22"/>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(1,357,388)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(1,244,863)</w:t>
            </w:r>
          </w:p>
        </w:tc>
      </w:tr>
      <w:tr>
        <w:trPr>
          <w:trHeight w:val="40"/>
        </w:trPr>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1,036,077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1,115,929</w:t>
            </w:r>
          </w:p>
        </w:tc>
      </w:tr>
      <w:tr>
        <w:trPr>
          <w:trHeight w:val="33"/>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21" w:right="2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Depreciation and repair and maintenance expense are as follows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expense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188,190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192,099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182,254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Repair and maintenance expense</w:t>
            </w:r>
          </w:p>
        </w:tc>
        <w:tc>
          <w:tcPr>
            <w:tcW w:w="400" w:type="dxa"/>
            <w:vAlign w:val="bottom"/>
          </w:tcPr>
          <w:p>
            <w:pPr>
              <w:spacing w:after="0"/>
              <w:rPr>
                <w:sz w:val="20"/>
                <w:szCs w:val="20"/>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106,943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102,409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111,926</w:t>
            </w:r>
          </w:p>
        </w:tc>
      </w:tr>
    </w:tbl>
    <w:p>
      <w:pPr>
        <w:spacing w:after="0" w:line="200" w:lineRule="exact"/>
        <w:rPr>
          <w:sz w:val="20"/>
          <w:szCs w:val="20"/>
          <w:color w:val="auto"/>
        </w:rPr>
      </w:pP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w:t>
        <w:tab/>
        <w:t>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Goodwill - </w:t>
      </w:r>
      <w:r>
        <w:rPr>
          <w:rFonts w:ascii="Arial" w:cs="Arial" w:eastAsia="Arial" w:hAnsi="Arial"/>
          <w:sz w:val="20"/>
          <w:szCs w:val="20"/>
          <w:color w:val="auto"/>
        </w:rPr>
        <w:t>The following table is a rollforward of goodwill: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7"/>
                <w:szCs w:val="17"/>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80" w:type="dxa"/>
            <w:vAlign w:val="bottom"/>
          </w:tcPr>
          <w:p>
            <w:pPr>
              <w:spacing w:after="0"/>
              <w:rPr>
                <w:sz w:val="17"/>
                <w:szCs w:val="17"/>
                <w:color w:val="auto"/>
              </w:rPr>
            </w:pPr>
          </w:p>
        </w:tc>
        <w:tc>
          <w:tcPr>
            <w:tcW w:w="1500" w:type="dxa"/>
            <w:vAlign w:val="bottom"/>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170,767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139,467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310,234</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Translation adjustments</w:t>
            </w:r>
          </w:p>
        </w:tc>
        <w:tc>
          <w:tcPr>
            <w:tcW w:w="4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(14,697)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(14,697)</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Transfer to Assets held for sale</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70"/>
        </w:trPr>
        <w:tc>
          <w:tcPr>
            <w:tcW w:w="606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6"/>
                <w:szCs w:val="16"/>
                <w:color w:val="auto"/>
              </w:rPr>
              <w:t>Balance as of December 30, 2018</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124,770</w:t>
            </w:r>
          </w:p>
        </w:tc>
        <w:tc>
          <w:tcPr>
            <w:tcW w:w="120" w:type="dxa"/>
            <w:vAlign w:val="bottom"/>
            <w:tcBorders>
              <w:top w:val="single" w:sz="8" w:color="CCEEFF"/>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295,427</w:t>
            </w:r>
          </w:p>
        </w:tc>
      </w:tr>
      <w:tr>
        <w:trPr>
          <w:trHeight w:val="257"/>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Translation adjustments</w:t>
            </w:r>
          </w:p>
        </w:tc>
        <w:tc>
          <w:tcPr>
            <w:tcW w:w="4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(6,988)</w:t>
            </w:r>
          </w:p>
        </w:tc>
      </w:tr>
      <w:tr>
        <w:trPr>
          <w:trHeight w:val="250"/>
        </w:trPr>
        <w:tc>
          <w:tcPr>
            <w:tcW w:w="606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as of December 29, 2019</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117,782</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288,439</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the Company’s gross goodwill balances and accumulated impairments as of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903"/>
              <w:spacing w:after="0"/>
              <w:rPr>
                <w:sz w:val="20"/>
                <w:szCs w:val="20"/>
                <w:color w:val="auto"/>
              </w:rPr>
            </w:pPr>
            <w:r>
              <w:rPr>
                <w:rFonts w:ascii="Arial" w:cs="Arial" w:eastAsia="Arial" w:hAnsi="Arial"/>
                <w:sz w:val="14"/>
                <w:szCs w:val="14"/>
                <w:b w:val="1"/>
                <w:bCs w:val="1"/>
                <w:color w:val="auto"/>
              </w:rPr>
              <w:t>DECEMBER 29, 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DECEMBER 30, 2018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DECEMBER 31, 2017</w:t>
            </w:r>
          </w:p>
        </w:tc>
      </w:tr>
      <w:tr>
        <w:trPr>
          <w:trHeight w:val="162"/>
        </w:trPr>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4"/>
                <w:szCs w:val="14"/>
                <w:color w:val="auto"/>
              </w:rPr>
            </w:pPr>
          </w:p>
        </w:tc>
        <w:tc>
          <w:tcPr>
            <w:tcW w:w="1420" w:type="dxa"/>
            <w:vAlign w:val="bottom"/>
          </w:tcPr>
          <w:p>
            <w:pPr>
              <w:jc w:val="right"/>
              <w:ind w:right="143"/>
              <w:spacing w:after="0"/>
              <w:rPr>
                <w:sz w:val="20"/>
                <w:szCs w:val="20"/>
                <w:color w:val="auto"/>
              </w:rPr>
            </w:pPr>
            <w:r>
              <w:rPr>
                <w:rFonts w:ascii="Arial" w:cs="Arial" w:eastAsia="Arial" w:hAnsi="Arial"/>
                <w:sz w:val="14"/>
                <w:szCs w:val="14"/>
                <w:b w:val="1"/>
                <w:bCs w:val="1"/>
                <w:color w:val="auto"/>
              </w:rPr>
              <w:t>ACCUMULATED</w:t>
            </w:r>
          </w:p>
        </w:tc>
      </w:tr>
      <w:tr>
        <w:trPr>
          <w:trHeight w:val="196"/>
        </w:trPr>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IMPAIRMENTS</w:t>
            </w: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420" w:type="dxa"/>
            <w:vAlign w:val="bottom"/>
          </w:tcPr>
          <w:p>
            <w:pPr>
              <w:jc w:val="right"/>
              <w:ind w:right="183"/>
              <w:spacing w:after="0"/>
              <w:rPr>
                <w:sz w:val="20"/>
                <w:szCs w:val="20"/>
                <w:color w:val="auto"/>
              </w:rPr>
            </w:pPr>
            <w:r>
              <w:rPr>
                <w:rFonts w:ascii="Arial" w:cs="Arial" w:eastAsia="Arial" w:hAnsi="Arial"/>
                <w:sz w:val="14"/>
                <w:szCs w:val="14"/>
                <w:b w:val="1"/>
                <w:bCs w:val="1"/>
                <w:color w:val="auto"/>
              </w:rPr>
              <w:t>IMPAIRMENTS</w:t>
            </w:r>
          </w:p>
        </w:tc>
      </w:tr>
      <w:tr>
        <w:trPr>
          <w:trHeight w:val="237"/>
        </w:trPr>
        <w:tc>
          <w:tcPr>
            <w:tcW w:w="1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838,827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838,827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838,937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r>
      <w:tr>
        <w:trPr>
          <w:trHeight w:val="270"/>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235,692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(117,910)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242,680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(117,910)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257,377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(117,910)</w:t>
            </w:r>
          </w:p>
        </w:tc>
      </w:tr>
      <w:tr>
        <w:trPr>
          <w:trHeight w:val="24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1,074,519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1,081,507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1,096,314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(786,080)</w:t>
            </w:r>
          </w:p>
        </w:tc>
      </w:tr>
      <w:tr>
        <w:trPr>
          <w:trHeight w:val="20"/>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Company performs its annual assessment for impairment of goodwill and other indefinite-lived intangible assets each year during the second quarter. The Company’s 2019 and 2017 assessments utilized a qualitative assessment and its 2018 assessment utilized a quantitative approach. As a result of these assessments, the Company did not record any goodwill asset impairment charges during the periods presented.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Intangible Assets, net - </w:t>
      </w:r>
      <w:r>
        <w:rPr>
          <w:rFonts w:ascii="Arial" w:cs="Arial" w:eastAsia="Arial" w:hAnsi="Arial"/>
          <w:sz w:val="20"/>
          <w:szCs w:val="20"/>
          <w:color w:val="auto"/>
        </w:rPr>
        <w:t>Intangible assets, net, consisted of the following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8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DECEMBER 29, 2019</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9"/>
              </w:rPr>
              <w:t>DECEMBER 30, 2018</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17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9"/>
              </w:rPr>
              <w:t>NET</w:t>
            </w:r>
          </w:p>
        </w:tc>
        <w:tc>
          <w:tcPr>
            <w:tcW w:w="0" w:type="dxa"/>
            <w:vAlign w:val="bottom"/>
          </w:tcPr>
          <w:p>
            <w:pPr>
              <w:spacing w:after="0"/>
              <w:rPr>
                <w:sz w:val="1"/>
                <w:szCs w:val="1"/>
                <w:color w:val="auto"/>
              </w:rPr>
            </w:pPr>
          </w:p>
        </w:tc>
      </w:tr>
      <w:tr>
        <w:trPr>
          <w:trHeight w:val="158"/>
        </w:trPr>
        <w:tc>
          <w:tcPr>
            <w:tcW w:w="138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(dollars in</w:t>
            </w:r>
          </w:p>
        </w:tc>
        <w:tc>
          <w:tcPr>
            <w:tcW w:w="17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6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5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98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1380" w:type="dxa"/>
            <w:vAlign w:val="bottom"/>
          </w:tcPr>
          <w:p>
            <w:pPr>
              <w:ind w:left="40"/>
              <w:spacing w:after="0"/>
              <w:rPr>
                <w:sz w:val="20"/>
                <w:szCs w:val="20"/>
                <w:color w:val="auto"/>
              </w:rPr>
            </w:pPr>
            <w:r>
              <w:rPr>
                <w:rFonts w:ascii="Arial" w:cs="Arial" w:eastAsia="Arial" w:hAnsi="Arial"/>
                <w:sz w:val="14"/>
                <w:szCs w:val="14"/>
                <w:b w:val="1"/>
                <w:bCs w:val="1"/>
                <w:color w:val="auto"/>
              </w:rPr>
              <w:t>thousands)</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980" w:type="dxa"/>
            <w:vAlign w:val="bottom"/>
          </w:tcPr>
          <w:p>
            <w:pPr>
              <w:jc w:val="center"/>
              <w:ind w:right="6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1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names</w:t>
            </w: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shd w:val="clear" w:color="auto" w:fill="CCEEFF"/>
              </w:rPr>
              <w:t>Indefinite</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414,616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414,616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414,516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414,516</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81,381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(47,882)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33,499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81,381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(44,057)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37,324</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Favorable leases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64,307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22,860</w:t>
            </w:r>
          </w:p>
        </w:tc>
        <w:tc>
          <w:tcPr>
            <w:tcW w:w="0" w:type="dxa"/>
            <w:vAlign w:val="bottom"/>
          </w:tcPr>
          <w:p>
            <w:pPr>
              <w:spacing w:after="0"/>
              <w:rPr>
                <w:sz w:val="1"/>
                <w:szCs w:val="1"/>
                <w:color w:val="auto"/>
              </w:rPr>
            </w:pPr>
          </w:p>
        </w:tc>
      </w:tr>
      <w:tr>
        <w:trPr>
          <w:trHeight w:val="220"/>
        </w:trPr>
        <w:tc>
          <w:tcPr>
            <w:tcW w:w="1380" w:type="dxa"/>
            <w:vAlign w:val="bottom"/>
          </w:tcPr>
          <w:p>
            <w:pPr>
              <w:ind w:left="40"/>
              <w:spacing w:after="0"/>
              <w:rPr>
                <w:sz w:val="20"/>
                <w:szCs w:val="20"/>
                <w:color w:val="auto"/>
              </w:rPr>
            </w:pPr>
            <w:r>
              <w:rPr>
                <w:rFonts w:ascii="Arial" w:cs="Arial" w:eastAsia="Arial" w:hAnsi="Arial"/>
                <w:sz w:val="16"/>
                <w:szCs w:val="16"/>
                <w:color w:val="auto"/>
              </w:rPr>
              <w:t>Franchise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6"/>
                <w:szCs w:val="16"/>
                <w:color w:val="auto"/>
              </w:rPr>
              <w:t>agreements</w:t>
            </w: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14,881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(14,356)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14,881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(13,212)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1,669</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Reacquired</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42,390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21,975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46,446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27,603</w:t>
            </w:r>
          </w:p>
        </w:tc>
        <w:tc>
          <w:tcPr>
            <w:tcW w:w="0" w:type="dxa"/>
            <w:vAlign w:val="bottom"/>
          </w:tcPr>
          <w:p>
            <w:pPr>
              <w:spacing w:after="0"/>
              <w:rPr>
                <w:sz w:val="1"/>
                <w:szCs w:val="1"/>
                <w:color w:val="auto"/>
              </w:rPr>
            </w:pPr>
          </w:p>
        </w:tc>
      </w:tr>
      <w:tr>
        <w:trPr>
          <w:trHeight w:val="239"/>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rights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78"/>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Pr>
          <w:p>
            <w:pPr>
              <w:ind w:left="40"/>
              <w:spacing w:after="0"/>
              <w:rPr>
                <w:sz w:val="20"/>
                <w:szCs w:val="20"/>
                <w:color w:val="auto"/>
              </w:rPr>
            </w:pPr>
            <w:r>
              <w:rPr>
                <w:rFonts w:ascii="Arial" w:cs="Arial" w:eastAsia="Arial" w:hAnsi="Arial"/>
                <w:sz w:val="16"/>
                <w:szCs w:val="16"/>
                <w:color w:val="auto"/>
              </w:rPr>
              <w:t>Total intangible</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42"/>
              <w:spacing w:after="0"/>
              <w:rPr>
                <w:sz w:val="20"/>
                <w:szCs w:val="20"/>
                <w:color w:val="auto"/>
              </w:rPr>
            </w:pPr>
            <w:r>
              <w:rPr>
                <w:rFonts w:ascii="Arial" w:cs="Arial" w:eastAsia="Arial" w:hAnsi="Arial"/>
                <w:sz w:val="16"/>
                <w:szCs w:val="16"/>
                <w:color w:val="auto"/>
              </w:rPr>
              <w:t>553,268</w:t>
            </w: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(82,653)</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42"/>
              <w:spacing w:after="0"/>
              <w:rPr>
                <w:sz w:val="20"/>
                <w:szCs w:val="20"/>
                <w:color w:val="auto"/>
              </w:rPr>
            </w:pPr>
            <w:r>
              <w:rPr>
                <w:rFonts w:ascii="Arial" w:cs="Arial" w:eastAsia="Arial" w:hAnsi="Arial"/>
                <w:sz w:val="16"/>
                <w:szCs w:val="16"/>
                <w:color w:val="auto"/>
              </w:rPr>
              <w:t>470,615</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22"/>
              <w:spacing w:after="0"/>
              <w:rPr>
                <w:sz w:val="20"/>
                <w:szCs w:val="20"/>
                <w:color w:val="auto"/>
              </w:rPr>
            </w:pPr>
            <w:r>
              <w:rPr>
                <w:rFonts w:ascii="Arial" w:cs="Arial" w:eastAsia="Arial" w:hAnsi="Arial"/>
                <w:sz w:val="16"/>
                <w:szCs w:val="16"/>
                <w:color w:val="auto"/>
              </w:rPr>
              <w:t>621,531</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(117,559)</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22"/>
              <w:spacing w:after="0"/>
              <w:rPr>
                <w:sz w:val="20"/>
                <w:szCs w:val="20"/>
                <w:color w:val="auto"/>
              </w:rPr>
            </w:pPr>
            <w:r>
              <w:rPr>
                <w:rFonts w:ascii="Arial" w:cs="Arial" w:eastAsia="Arial" w:hAnsi="Arial"/>
                <w:sz w:val="16"/>
                <w:szCs w:val="16"/>
                <w:color w:val="auto"/>
              </w:rPr>
              <w:t>503,972</w:t>
            </w:r>
          </w:p>
        </w:tc>
        <w:tc>
          <w:tcPr>
            <w:tcW w:w="0" w:type="dxa"/>
            <w:vAlign w:val="bottom"/>
          </w:tcPr>
          <w:p>
            <w:pPr>
              <w:spacing w:after="0"/>
              <w:rPr>
                <w:sz w:val="1"/>
                <w:szCs w:val="1"/>
                <w:color w:val="auto"/>
              </w:rPr>
            </w:pPr>
          </w:p>
        </w:tc>
      </w:tr>
      <w:tr>
        <w:trPr>
          <w:trHeight w:val="224"/>
        </w:trPr>
        <w:tc>
          <w:tcPr>
            <w:tcW w:w="1380" w:type="dxa"/>
            <w:vAlign w:val="bottom"/>
          </w:tcPr>
          <w:p>
            <w:pPr>
              <w:ind w:left="40"/>
              <w:spacing w:after="0"/>
              <w:rPr>
                <w:sz w:val="20"/>
                <w:szCs w:val="20"/>
                <w:color w:val="auto"/>
              </w:rPr>
            </w:pPr>
            <w:r>
              <w:rPr>
                <w:rFonts w:ascii="Arial" w:cs="Arial" w:eastAsia="Arial" w:hAnsi="Arial"/>
                <w:sz w:val="16"/>
                <w:szCs w:val="16"/>
                <w:color w:val="auto"/>
              </w:rPr>
              <w:t>assets</w:t>
            </w: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The Company did not record any indefinite-lived intangible asset impairment charges during the periods presented.</w:t>
      </w:r>
    </w:p>
    <w:p>
      <w:pPr>
        <w:spacing w:after="0" w:line="22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Definite-lived intangible assets are amortized on a straight-line basis. The following table presents the aggregate expense related to the amortization of the Company’s trademarks, favorable leases, franchise agreements and reacquired franchise rights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2017</w:t>
            </w: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expense (1)</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8,621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13,377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14,191</w:t>
            </w:r>
          </w:p>
        </w:tc>
      </w:tr>
      <w:tr>
        <w:trPr>
          <w:trHeight w:val="193"/>
        </w:trPr>
        <w:tc>
          <w:tcPr>
            <w:tcW w:w="20" w:type="dxa"/>
            <w:vAlign w:val="bottom"/>
          </w:tcPr>
          <w:p>
            <w:pPr>
              <w:spacing w:after="0"/>
              <w:rPr>
                <w:sz w:val="16"/>
                <w:szCs w:val="16"/>
                <w:color w:val="auto"/>
              </w:rPr>
            </w:pPr>
          </w:p>
        </w:tc>
        <w:tc>
          <w:tcPr>
            <w:tcW w:w="6380" w:type="dxa"/>
            <w:vAlign w:val="bottom"/>
          </w:tcPr>
          <w:p>
            <w:pPr>
              <w:jc w:val="right"/>
              <w:ind w:right="5022"/>
              <w:spacing w:after="0"/>
              <w:rPr>
                <w:sz w:val="20"/>
                <w:szCs w:val="20"/>
                <w:color w:val="auto"/>
              </w:rPr>
            </w:pPr>
            <w:r>
              <w:rPr>
                <w:rFonts w:ascii="Arial" w:cs="Arial" w:eastAsia="Arial" w:hAnsi="Arial"/>
                <w:sz w:val="16"/>
                <w:szCs w:val="16"/>
                <w:color w:val="auto"/>
                <w:w w:val="88"/>
              </w:rPr>
              <w:t>________________</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Amortization expense is recorded in Depreciation and amortization for fiscal year 2019 and Depreciation and amortization and Other restaurant operating expense for fiscal years 2018 and 2017 in the Company’s Consolidated Statements of Operations and Comprehensive Income.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expected annual amortization of intangible assets as of December 29,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8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8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7,213</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2021</w:t>
            </w:r>
          </w:p>
        </w:tc>
        <w:tc>
          <w:tcPr>
            <w:tcW w:w="48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6,374</w:t>
            </w:r>
          </w:p>
        </w:tc>
      </w:tr>
      <w:tr>
        <w:trPr>
          <w:trHeight w:val="33"/>
        </w:trPr>
        <w:tc>
          <w:tcPr>
            <w:tcW w:w="56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8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6,304</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2023</w:t>
            </w:r>
          </w:p>
        </w:tc>
        <w:tc>
          <w:tcPr>
            <w:tcW w:w="48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6,217</w:t>
            </w:r>
          </w:p>
        </w:tc>
      </w:tr>
      <w:tr>
        <w:trPr>
          <w:trHeight w:val="33"/>
        </w:trPr>
        <w:tc>
          <w:tcPr>
            <w:tcW w:w="56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8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6,046</w:t>
            </w:r>
          </w:p>
        </w:tc>
      </w:tr>
      <w:tr>
        <w:trPr>
          <w:trHeight w:val="33"/>
        </w:trPr>
        <w:tc>
          <w:tcPr>
            <w:tcW w:w="562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 w:type="dxa"/>
            <w:vAlign w:val="bottom"/>
          </w:tcPr>
          <w:p>
            <w:pPr>
              <w:spacing w:after="0"/>
              <w:rPr>
                <w:sz w:val="20"/>
                <w:szCs w:val="20"/>
                <w:color w:val="auto"/>
              </w:rPr>
            </w:pPr>
            <w:r>
              <w:rPr>
                <w:rFonts w:ascii="Arial" w:cs="Arial" w:eastAsia="Arial" w:hAnsi="Arial"/>
                <w:sz w:val="20"/>
                <w:szCs w:val="20"/>
                <w:color w:val="auto"/>
              </w:rPr>
              <w:t>11.</w:t>
            </w:r>
          </w:p>
        </w:tc>
        <w:tc>
          <w:tcPr>
            <w:tcW w:w="7600" w:type="dxa"/>
            <w:vAlign w:val="bottom"/>
          </w:tcPr>
          <w:p>
            <w:pPr>
              <w:ind w:left="280"/>
              <w:spacing w:after="0"/>
              <w:rPr>
                <w:sz w:val="20"/>
                <w:szCs w:val="20"/>
                <w:color w:val="auto"/>
              </w:rPr>
            </w:pPr>
            <w:r>
              <w:rPr>
                <w:rFonts w:ascii="Arial" w:cs="Arial" w:eastAsia="Arial" w:hAnsi="Arial"/>
                <w:sz w:val="20"/>
                <w:szCs w:val="20"/>
                <w:color w:val="auto"/>
              </w:rPr>
              <w:t>Other Assets, Net</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20"/>
                <w:szCs w:val="20"/>
                <w:color w:val="auto"/>
              </w:rPr>
              <w:t>Other assets, net, consisted of the following as of the periods indicated:</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4"/>
        </w:trPr>
        <w:tc>
          <w:tcPr>
            <w:tcW w:w="5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24"/>
                <w:szCs w:val="24"/>
                <w:color w:val="auto"/>
              </w:rPr>
            </w:pPr>
          </w:p>
        </w:tc>
        <w:tc>
          <w:tcPr>
            <w:tcW w:w="140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30,</w:t>
            </w:r>
          </w:p>
        </w:tc>
      </w:tr>
      <w:tr>
        <w:trPr>
          <w:trHeight w:val="205"/>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Company-owned life insurance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60,126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61,233</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Deferred financing fees (1)</w:t>
            </w:r>
          </w:p>
        </w:tc>
        <w:tc>
          <w:tcPr>
            <w:tcW w:w="180" w:type="dxa"/>
            <w:vAlign w:val="bottom"/>
          </w:tcPr>
          <w:p>
            <w:pPr>
              <w:spacing w:after="0"/>
              <w:rPr>
                <w:sz w:val="20"/>
                <w:szCs w:val="20"/>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4,893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6,563</w:t>
            </w:r>
          </w:p>
        </w:tc>
      </w:tr>
      <w:tr>
        <w:trPr>
          <w:trHeight w:val="33"/>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Liquor licenses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24,153</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9"/>
                <w:szCs w:val="19"/>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27,802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29,024</w:t>
            </w:r>
          </w:p>
        </w:tc>
      </w:tr>
      <w:tr>
        <w:trPr>
          <w:trHeight w:val="40"/>
        </w:trPr>
        <w:tc>
          <w:tcPr>
            <w:tcW w:w="520" w:type="dxa"/>
            <w:vAlign w:val="bottom"/>
            <w:tcBorders>
              <w:bottom w:val="single" w:sz="8" w:color="CCEEFF"/>
            </w:tcBorders>
          </w:tcPr>
          <w:p>
            <w:pPr>
              <w:spacing w:after="0"/>
              <w:rPr>
                <w:sz w:val="3"/>
                <w:szCs w:val="3"/>
                <w:color w:val="auto"/>
              </w:rPr>
            </w:pPr>
          </w:p>
        </w:tc>
        <w:tc>
          <w:tcPr>
            <w:tcW w:w="7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62"/>
        </w:trPr>
        <w:tc>
          <w:tcPr>
            <w:tcW w:w="5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117,110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120,973</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Net of accumulated amortization of $6.8 million and $5.1 million as of December 29, 2019 and December 30, 2018,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 w:type="dxa"/>
            <w:vAlign w:val="bottom"/>
          </w:tcPr>
          <w:p>
            <w:pPr>
              <w:spacing w:after="0"/>
              <w:rPr>
                <w:sz w:val="20"/>
                <w:szCs w:val="20"/>
                <w:color w:val="auto"/>
              </w:rPr>
            </w:pPr>
            <w:r>
              <w:rPr>
                <w:rFonts w:ascii="Arial" w:cs="Arial" w:eastAsia="Arial" w:hAnsi="Arial"/>
                <w:sz w:val="20"/>
                <w:szCs w:val="20"/>
                <w:color w:val="auto"/>
              </w:rPr>
              <w:t>12.</w:t>
            </w:r>
          </w:p>
        </w:tc>
        <w:tc>
          <w:tcPr>
            <w:tcW w:w="7600" w:type="dxa"/>
            <w:vAlign w:val="bottom"/>
          </w:tcPr>
          <w:p>
            <w:pPr>
              <w:ind w:left="260"/>
              <w:spacing w:after="0"/>
              <w:rPr>
                <w:sz w:val="20"/>
                <w:szCs w:val="20"/>
                <w:color w:val="auto"/>
              </w:rPr>
            </w:pPr>
            <w:r>
              <w:rPr>
                <w:rFonts w:ascii="Arial" w:cs="Arial" w:eastAsia="Arial" w:hAnsi="Arial"/>
                <w:sz w:val="20"/>
                <w:szCs w:val="20"/>
                <w:color w:val="auto"/>
              </w:rPr>
              <w:t>Accrued and Other Current 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20"/>
                <w:szCs w:val="20"/>
                <w:color w:val="auto"/>
              </w:rPr>
              <w:t>Accrued and other current liabilities consisted of the following as of the periods indicated:</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4"/>
        </w:trPr>
        <w:tc>
          <w:tcPr>
            <w:tcW w:w="5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24"/>
                <w:szCs w:val="24"/>
                <w:color w:val="auto"/>
              </w:rPr>
            </w:pPr>
          </w:p>
        </w:tc>
        <w:tc>
          <w:tcPr>
            <w:tcW w:w="140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30,</w:t>
            </w:r>
          </w:p>
        </w:tc>
      </w:tr>
      <w:tr>
        <w:trPr>
          <w:trHeight w:val="205"/>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Accrued rent and current operating 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174,287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2,850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Accrued payroll and other compensation</w:t>
            </w:r>
          </w:p>
        </w:tc>
        <w:tc>
          <w:tcPr>
            <w:tcW w:w="180" w:type="dxa"/>
            <w:vAlign w:val="bottom"/>
          </w:tcPr>
          <w:p>
            <w:pPr>
              <w:spacing w:after="0"/>
              <w:rPr>
                <w:sz w:val="20"/>
                <w:szCs w:val="20"/>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101,090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101,249</w:t>
            </w:r>
          </w:p>
        </w:tc>
      </w:tr>
      <w:tr>
        <w:trPr>
          <w:trHeight w:val="33"/>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Accrued insurance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22,055</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9"/>
                <w:szCs w:val="19"/>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95,574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120,499</w:t>
            </w:r>
          </w:p>
        </w:tc>
      </w:tr>
      <w:tr>
        <w:trPr>
          <w:trHeight w:val="40"/>
        </w:trPr>
        <w:tc>
          <w:tcPr>
            <w:tcW w:w="520" w:type="dxa"/>
            <w:vAlign w:val="bottom"/>
            <w:tcBorders>
              <w:bottom w:val="single" w:sz="8" w:color="CCEEFF"/>
            </w:tcBorders>
          </w:tcPr>
          <w:p>
            <w:pPr>
              <w:spacing w:after="0"/>
              <w:rPr>
                <w:sz w:val="3"/>
                <w:szCs w:val="3"/>
                <w:color w:val="auto"/>
              </w:rPr>
            </w:pPr>
          </w:p>
        </w:tc>
        <w:tc>
          <w:tcPr>
            <w:tcW w:w="7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62"/>
        </w:trPr>
        <w:tc>
          <w:tcPr>
            <w:tcW w:w="5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391,451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246,653</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800" w:hanging="792"/>
        <w:spacing w:after="0"/>
        <w:tabs>
          <w:tab w:leader="none" w:pos="8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Long-term Debt,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 as of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4"/>
          </w:tcPr>
          <w:p>
            <w:pPr>
              <w:ind w:left="800"/>
              <w:spacing w:after="0"/>
              <w:rPr>
                <w:sz w:val="20"/>
                <w:szCs w:val="20"/>
                <w:color w:val="auto"/>
              </w:rPr>
            </w:pPr>
            <w:r>
              <w:rPr>
                <w:rFonts w:ascii="Arial" w:cs="Arial" w:eastAsia="Arial" w:hAnsi="Arial"/>
                <w:sz w:val="14"/>
                <w:szCs w:val="14"/>
                <w:b w:val="1"/>
                <w:bCs w:val="1"/>
                <w:color w:val="auto"/>
              </w:rPr>
              <w:t>DECEMBER 29, 2019</w:t>
            </w:r>
          </w:p>
        </w:tc>
        <w:tc>
          <w:tcPr>
            <w:tcW w:w="180" w:type="dxa"/>
            <w:vAlign w:val="bottom"/>
          </w:tcPr>
          <w:p>
            <w:pPr>
              <w:spacing w:after="0"/>
              <w:rPr>
                <w:sz w:val="16"/>
                <w:szCs w:val="16"/>
                <w:color w:val="auto"/>
              </w:rPr>
            </w:pPr>
          </w:p>
        </w:tc>
        <w:tc>
          <w:tcPr>
            <w:tcW w:w="3140" w:type="dxa"/>
            <w:vAlign w:val="bottom"/>
            <w:gridSpan w:val="3"/>
          </w:tcPr>
          <w:p>
            <w:pPr>
              <w:jc w:val="right"/>
              <w:ind w:right="882"/>
              <w:spacing w:after="0"/>
              <w:rPr>
                <w:sz w:val="20"/>
                <w:szCs w:val="20"/>
                <w:color w:val="auto"/>
              </w:rPr>
            </w:pPr>
            <w:r>
              <w:rPr>
                <w:rFonts w:ascii="Arial" w:cs="Arial" w:eastAsia="Arial" w:hAnsi="Arial"/>
                <w:sz w:val="14"/>
                <w:szCs w:val="14"/>
                <w:b w:val="1"/>
                <w:bCs w:val="1"/>
                <w:color w:val="auto"/>
              </w:rPr>
              <w:t>DECEMBER 30, 2018</w:t>
            </w:r>
          </w:p>
        </w:tc>
        <w:tc>
          <w:tcPr>
            <w:tcW w:w="0" w:type="dxa"/>
            <w:vAlign w:val="bottom"/>
          </w:tcPr>
          <w:p>
            <w:pPr>
              <w:spacing w:after="0"/>
              <w:rPr>
                <w:sz w:val="1"/>
                <w:szCs w:val="1"/>
                <w:color w:val="auto"/>
              </w:rPr>
            </w:pPr>
          </w:p>
        </w:tc>
      </w:tr>
      <w:tr>
        <w:trPr>
          <w:trHeight w:val="46"/>
        </w:trPr>
        <w:tc>
          <w:tcPr>
            <w:tcW w:w="46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38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 RATE</w:t>
            </w:r>
          </w:p>
        </w:tc>
        <w:tc>
          <w:tcPr>
            <w:tcW w:w="180" w:type="dxa"/>
            <w:vAlign w:val="bottom"/>
          </w:tcPr>
          <w:p>
            <w:pPr>
              <w:spacing w:after="0"/>
              <w:rPr>
                <w:sz w:val="17"/>
                <w:szCs w:val="17"/>
                <w:color w:val="auto"/>
              </w:rPr>
            </w:pP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tcPr>
          <w:p>
            <w:pPr>
              <w:jc w:val="right"/>
              <w:ind w:right="162"/>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475,000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(1) (2)</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599,000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599,500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Senior Secured Credit Facility</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1,049,000</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1,074,500</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2,308</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3,297</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Financing obligations</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19,562</w:t>
            </w:r>
          </w:p>
        </w:tc>
        <w:tc>
          <w:tcPr>
            <w:tcW w:w="100" w:type="dxa"/>
            <w:vAlign w:val="bottom"/>
          </w:tcPr>
          <w:p>
            <w:pPr>
              <w:spacing w:after="0"/>
              <w:rPr>
                <w:sz w:val="20"/>
                <w:szCs w:val="20"/>
                <w:color w:val="auto"/>
              </w:rPr>
            </w:pPr>
          </w:p>
        </w:tc>
        <w:tc>
          <w:tcPr>
            <w:tcW w:w="1640" w:type="dxa"/>
            <w:vAlign w:val="bottom"/>
          </w:tcPr>
          <w:p>
            <w:pPr>
              <w:jc w:val="right"/>
              <w:ind w:right="82"/>
              <w:spacing w:after="0"/>
              <w:rPr>
                <w:sz w:val="20"/>
                <w:szCs w:val="20"/>
                <w:color w:val="auto"/>
              </w:rPr>
            </w:pPr>
            <w:r>
              <w:rPr>
                <w:rFonts w:ascii="Arial" w:cs="Arial" w:eastAsia="Arial" w:hAnsi="Arial"/>
                <w:sz w:val="16"/>
                <w:szCs w:val="16"/>
                <w:color w:val="auto"/>
              </w:rPr>
              <w:t>7.58% to 7.82%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0.00% to 2.18%</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unamortized debt discount and issuance costs</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(2,654)</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net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1,048,704</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1,094,775</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 of long-term debt</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(26,411)</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(27,190)</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1,022,293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1,067,585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Interest rate represents the weighted-average interest rate for the respective periods.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Subsequent to December 29, 2019, the Company made payments of $65.0 million, net of borrowings, on its revolving credit facility.</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Bloomin’ Brands, Inc. is a holding company and conducts its operations through its subsidiaries, certain of which have incurred indebtedness as described below.</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Credit Agreement - </w:t>
      </w:r>
      <w:r>
        <w:rPr>
          <w:rFonts w:ascii="Arial" w:cs="Arial" w:eastAsia="Arial" w:hAnsi="Arial"/>
          <w:sz w:val="20"/>
          <w:szCs w:val="20"/>
          <w:color w:val="auto"/>
        </w:rPr>
        <w:t>On November 30, 2017, the Company and OSI, as co-borrowers, entered into a credit agreement (the “Credit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with a syndicate of institutional lenders, providing for senior secured financing of up to</w:t>
      </w:r>
    </w:p>
    <w:p>
      <w:pPr>
        <w:sectPr>
          <w:pgSz w:w="11900" w:h="16838" w:orient="portrait"/>
          <w:cols w:equalWidth="0" w:num="1">
            <w:col w:w="11420"/>
          </w:cols>
          <w:pgMar w:left="240" w:top="121" w:right="2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$1.5 billion consisting of a $500.0 million Term loan A and a $1.0 billion revolving credit facility, including a letter of credit and swing line loan sub-facilities (the “Senior Secured Credit Facility”). The Senior Secured Credit Facility matures on November 30, 2022.</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may elect an interest rate for the Credit Agreement at each reset period based on the Alternate Base Rate or the Eurocurrency Rate. The Alternate Base Rate option is the highest of: (i) the prime rate of Wells Fargo Bank, National Association, (ii) the federal funds effective rate plus 0.5 of 1.0% or (iii) the Eurocurrency rate with a one-month interest period plus 1.0% (the “Base Rate”). The Eurocurrency Rate option is the seven, 30, 60, 90 or 180-day Eurocurrency rate (“Eurocurrency Rate”). The interest rates are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760" w:type="dxa"/>
            <w:vAlign w:val="bottom"/>
          </w:tcPr>
          <w:p>
            <w:pPr>
              <w:spacing w:after="0"/>
              <w:rPr>
                <w:sz w:val="17"/>
                <w:szCs w:val="17"/>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BASE RATE ELECTION</w:t>
            </w:r>
          </w:p>
        </w:tc>
        <w:tc>
          <w:tcPr>
            <w:tcW w:w="4320" w:type="dxa"/>
            <w:vAlign w:val="bottom"/>
          </w:tcPr>
          <w:p>
            <w:pPr>
              <w:jc w:val="center"/>
              <w:spacing w:after="0"/>
              <w:rPr>
                <w:sz w:val="20"/>
                <w:szCs w:val="20"/>
                <w:color w:val="auto"/>
              </w:rPr>
            </w:pPr>
            <w:r>
              <w:rPr>
                <w:rFonts w:ascii="Arial" w:cs="Arial" w:eastAsia="Arial" w:hAnsi="Arial"/>
                <w:sz w:val="14"/>
                <w:szCs w:val="14"/>
                <w:b w:val="1"/>
                <w:bCs w:val="1"/>
                <w:color w:val="auto"/>
              </w:rPr>
              <w:t>EUROCURRENCY RATE ELECTION</w:t>
            </w:r>
          </w:p>
        </w:tc>
      </w:tr>
      <w:tr>
        <w:trPr>
          <w:trHeight w:val="21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 A and revolving credit facility</w:t>
            </w:r>
          </w:p>
        </w:tc>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shd w:val="clear" w:color="auto" w:fill="CCEEFF"/>
              </w:rPr>
              <w:t>50 to 100 basis points over Base Rate</w:t>
            </w:r>
          </w:p>
        </w:tc>
        <w:tc>
          <w:tcPr>
            <w:tcW w:w="10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shd w:val="clear" w:color="auto" w:fill="CCEEFF"/>
              </w:rPr>
              <w:t>150 to 200 basis points over the Eurocurrency Rate</w:t>
            </w:r>
          </w:p>
        </w:tc>
      </w:tr>
      <w:tr>
        <w:trPr>
          <w:trHeight w:val="41"/>
        </w:trPr>
        <w:tc>
          <w:tcPr>
            <w:tcW w:w="3760" w:type="dxa"/>
            <w:vAlign w:val="bottom"/>
            <w:shd w:val="clear" w:color="auto" w:fill="CCEEFF"/>
          </w:tcPr>
          <w:p>
            <w:pPr>
              <w:spacing w:after="0"/>
              <w:rPr>
                <w:sz w:val="3"/>
                <w:szCs w:val="3"/>
                <w:color w:val="auto"/>
              </w:rPr>
            </w:pPr>
          </w:p>
        </w:tc>
        <w:tc>
          <w:tcPr>
            <w:tcW w:w="3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Fees on letters of credit and the daily unused availability under the revolving credit facility as of December 29, 2019 were 1.88% and 0.30%, respectively. As of December 29, 2019, $20.2 million of the revolving credit facility was committed for the issuance of letters of credit and not available for borrowing.</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Senior Secured Credit Facility is guaranteed by each of the Company’s current and future domestic subsidiaries and is secured by substantially all now owned or later acquired assets of the Company and OSI, including the Company’s domestic subsidiaries.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Debt Covenants and Other Restrictions - </w:t>
      </w:r>
      <w:r>
        <w:rPr>
          <w:rFonts w:ascii="Arial" w:cs="Arial" w:eastAsia="Arial" w:hAnsi="Arial"/>
          <w:sz w:val="19"/>
          <w:szCs w:val="19"/>
          <w:color w:val="auto"/>
        </w:rPr>
        <w:t>Borrowings under the Company’s debt agreements are subject to various covenants that limit its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incur additional indebtedness; make significant payments; sell assets; pay dividends and other restricted payments; acquire certain assets; effect mergers and similar transactions; and effect certain other transactions with affiliates. The Senior Secured Credit Facility has a financial covenant to maintain a specified quarterly Total Net Leverage Ratio (“TNLR”). TNLR is the ratio of Consolidated Total Debt (Current portion of long-term debt and Long-term debt, net of cash) to Consolidated EBITDA (earnings before interest, taxes, depreciation and amortization and certain other adjustments as defined in the Credit Agreement). The TNLR may not exceed 4.50 to 1.00. The Company’s TNLR as of December 29, 2019 does not limit the Company’s ability to draw on its revolving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The Senior Secured Credit Facility permits regular quarterly dividend payments, subject to certain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29, 2019 and December 30, 2018, the Company was in compliance with its debt covenants.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Maturities - </w:t>
      </w:r>
      <w:r>
        <w:rPr>
          <w:rFonts w:ascii="Arial" w:cs="Arial" w:eastAsia="Arial" w:hAnsi="Arial"/>
          <w:sz w:val="20"/>
          <w:szCs w:val="20"/>
          <w:color w:val="auto"/>
        </w:rPr>
        <w:t>Following is a summary of principal payments of the Company’s total consolidated debt outstanding: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29,</w:t>
            </w:r>
          </w:p>
        </w:tc>
      </w:tr>
      <w:tr>
        <w:trPr>
          <w:trHeight w:val="205"/>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26,462</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38,399</w:t>
            </w:r>
          </w:p>
        </w:tc>
      </w:tr>
      <w:tr>
        <w:trPr>
          <w:trHeight w:val="3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984,030</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3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1,048,891</w:t>
            </w:r>
          </w:p>
        </w:tc>
      </w:tr>
      <w:tr>
        <w:trPr>
          <w:trHeight w:val="27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finance lease interest</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principal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1,048,704</w:t>
            </w:r>
          </w:p>
        </w:tc>
      </w:tr>
      <w:tr>
        <w:trPr>
          <w:trHeight w:val="20"/>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required amortization payments for the Term loan A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940" w:type="dxa"/>
            <w:vAlign w:val="bottom"/>
            <w:gridSpan w:val="4"/>
          </w:tcPr>
          <w:p>
            <w:pPr>
              <w:ind w:left="40"/>
              <w:spacing w:after="0"/>
              <w:rPr>
                <w:sz w:val="20"/>
                <w:szCs w:val="20"/>
                <w:color w:val="auto"/>
              </w:rPr>
            </w:pPr>
            <w:r>
              <w:rPr>
                <w:rFonts w:ascii="Arial" w:cs="Arial" w:eastAsia="Arial" w:hAnsi="Arial"/>
                <w:sz w:val="14"/>
                <w:szCs w:val="14"/>
                <w:b w:val="1"/>
                <w:bCs w:val="1"/>
                <w:color w:val="auto"/>
              </w:rPr>
              <w:t>SCHEDULED QUARTERLY PAYMENT DATES</w:t>
            </w:r>
          </w:p>
        </w:tc>
        <w:tc>
          <w:tcPr>
            <w:tcW w:w="180" w:type="dxa"/>
            <w:vAlign w:val="bottom"/>
          </w:tcPr>
          <w:p>
            <w:pPr>
              <w:spacing w:after="0"/>
              <w:rPr>
                <w:sz w:val="17"/>
                <w:szCs w:val="17"/>
                <w:color w:val="auto"/>
              </w:rPr>
            </w:pPr>
          </w:p>
        </w:tc>
        <w:tc>
          <w:tcPr>
            <w:tcW w:w="1300" w:type="dxa"/>
            <w:vAlign w:val="bottom"/>
          </w:tcPr>
          <w:p>
            <w:pPr>
              <w:jc w:val="right"/>
              <w:ind w:right="141"/>
              <w:spacing w:after="0"/>
              <w:rPr>
                <w:sz w:val="20"/>
                <w:szCs w:val="20"/>
                <w:color w:val="auto"/>
              </w:rPr>
            </w:pPr>
            <w:r>
              <w:rPr>
                <w:rFonts w:ascii="Arial" w:cs="Arial" w:eastAsia="Arial" w:hAnsi="Arial"/>
                <w:sz w:val="14"/>
                <w:szCs w:val="14"/>
                <w:b w:val="1"/>
                <w:bCs w:val="1"/>
                <w:color w:val="auto"/>
              </w:rPr>
              <w:t>TERM LOAN A</w:t>
            </w:r>
          </w:p>
        </w:tc>
      </w:tr>
      <w:tr>
        <w:trPr>
          <w:trHeight w:val="237"/>
        </w:trPr>
        <w:tc>
          <w:tcPr>
            <w:tcW w:w="258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1"/>
                <w:shd w:val="clear" w:color="auto" w:fill="CCEEFF"/>
              </w:rPr>
              <w:t>March 29, 2020 through December 27,</w:t>
            </w:r>
          </w:p>
        </w:tc>
        <w:tc>
          <w:tcPr>
            <w:tcW w:w="7240" w:type="dxa"/>
            <w:vAlign w:val="bottom"/>
            <w:tcBorders>
              <w:top w:val="single" w:sz="8" w:color="auto"/>
              <w:bottom w:val="single" w:sz="8" w:color="CCEEFF"/>
            </w:tcBorders>
            <w:shd w:val="clear" w:color="auto" w:fill="CCEEFF"/>
          </w:tcPr>
          <w:p>
            <w:pPr>
              <w:jc w:val="right"/>
              <w:ind w:right="6819"/>
              <w:spacing w:after="0"/>
              <w:rPr>
                <w:sz w:val="20"/>
                <w:szCs w:val="20"/>
                <w:color w:val="auto"/>
              </w:rPr>
            </w:pPr>
            <w:r>
              <w:rPr>
                <w:rFonts w:ascii="Arial" w:cs="Arial" w:eastAsia="Arial" w:hAnsi="Arial"/>
                <w:sz w:val="16"/>
                <w:szCs w:val="16"/>
                <w:color w:val="auto"/>
                <w:w w:val="89"/>
                <w:shd w:val="clear" w:color="auto" w:fill="CCEEFF"/>
              </w:rPr>
              <w:t>2020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6,250</w:t>
            </w:r>
          </w:p>
        </w:tc>
      </w:tr>
      <w:tr>
        <w:trPr>
          <w:trHeight w:val="237"/>
        </w:trPr>
        <w:tc>
          <w:tcPr>
            <w:tcW w:w="720" w:type="dxa"/>
            <w:vAlign w:val="bottom"/>
          </w:tcPr>
          <w:p>
            <w:pPr>
              <w:ind w:left="40"/>
              <w:spacing w:after="0"/>
              <w:rPr>
                <w:sz w:val="20"/>
                <w:szCs w:val="20"/>
                <w:color w:val="auto"/>
              </w:rPr>
            </w:pPr>
            <w:r>
              <w:rPr>
                <w:rFonts w:ascii="Arial" w:cs="Arial" w:eastAsia="Arial" w:hAnsi="Arial"/>
                <w:sz w:val="16"/>
                <w:szCs w:val="16"/>
                <w:color w:val="auto"/>
                <w:w w:val="92"/>
              </w:rPr>
              <w:t>March 28,</w:t>
            </w:r>
          </w:p>
        </w:tc>
        <w:tc>
          <w:tcPr>
            <w:tcW w:w="1860" w:type="dxa"/>
            <w:vAlign w:val="bottom"/>
          </w:tcPr>
          <w:p>
            <w:pPr>
              <w:ind w:left="20"/>
              <w:spacing w:after="0"/>
              <w:rPr>
                <w:sz w:val="20"/>
                <w:szCs w:val="20"/>
                <w:color w:val="auto"/>
              </w:rPr>
            </w:pPr>
            <w:r>
              <w:rPr>
                <w:rFonts w:ascii="Arial" w:cs="Arial" w:eastAsia="Arial" w:hAnsi="Arial"/>
                <w:sz w:val="16"/>
                <w:szCs w:val="16"/>
                <w:color w:val="auto"/>
                <w:w w:val="91"/>
              </w:rPr>
              <w:t>2021 through December 26,</w:t>
            </w:r>
          </w:p>
        </w:tc>
        <w:tc>
          <w:tcPr>
            <w:tcW w:w="7240" w:type="dxa"/>
            <w:vAlign w:val="bottom"/>
          </w:tcPr>
          <w:p>
            <w:pPr>
              <w:jc w:val="right"/>
              <w:ind w:right="6819"/>
              <w:spacing w:after="0"/>
              <w:rPr>
                <w:sz w:val="20"/>
                <w:szCs w:val="20"/>
                <w:color w:val="auto"/>
              </w:rPr>
            </w:pPr>
            <w:r>
              <w:rPr>
                <w:rFonts w:ascii="Arial" w:cs="Arial" w:eastAsia="Arial" w:hAnsi="Arial"/>
                <w:sz w:val="16"/>
                <w:szCs w:val="16"/>
                <w:color w:val="auto"/>
                <w:w w:val="89"/>
              </w:rPr>
              <w:t>2021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9,375</w:t>
            </w:r>
          </w:p>
        </w:tc>
      </w:tr>
      <w:tr>
        <w:trPr>
          <w:trHeight w:val="33"/>
        </w:trPr>
        <w:tc>
          <w:tcPr>
            <w:tcW w:w="720" w:type="dxa"/>
            <w:vAlign w:val="bottom"/>
          </w:tcPr>
          <w:p>
            <w:pPr>
              <w:spacing w:after="0"/>
              <w:rPr>
                <w:sz w:val="2"/>
                <w:szCs w:val="2"/>
                <w:color w:val="auto"/>
              </w:rPr>
            </w:pPr>
          </w:p>
        </w:tc>
        <w:tc>
          <w:tcPr>
            <w:tcW w:w="9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March 27,</w:t>
            </w:r>
          </w:p>
        </w:tc>
        <w:tc>
          <w:tcPr>
            <w:tcW w:w="9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2022 through September 25,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12,500</w:t>
            </w:r>
          </w:p>
        </w:tc>
      </w:tr>
      <w:tr>
        <w:trPr>
          <w:trHeight w:val="33"/>
        </w:trPr>
        <w:tc>
          <w:tcPr>
            <w:tcW w:w="7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Senior Secured Credit Facility contains mandatory prepayment requirements for Term loan A. The Company is required to prepay outstanding amounts under these loans with 50% of its annual excess cash flow, as defined in the Credit Agreement. The amount of outstanding loans required to be prepaid in accordance with the debt covenants may vary based on the Company’s leverage ratio and year end results.</w:t>
      </w:r>
    </w:p>
    <w:p>
      <w:pPr>
        <w:sectPr>
          <w:pgSz w:w="11900" w:h="16838" w:orient="portrait"/>
          <w:cols w:equalWidth="0" w:num="1">
            <w:col w:w="11420"/>
          </w:cols>
          <w:pgMar w:left="240" w:top="122" w:right="239" w:bottom="1440" w:gutter="0" w:footer="0" w:header="0"/>
        </w:sectPr>
      </w:pPr>
    </w:p>
    <w:p>
      <w:pPr>
        <w:spacing w:after="0" w:line="118"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Other Long-term Liabilities,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net, consisted of the following as of the periods indicated:</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insurance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Unfavorable leases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Chef and Restaurant Managing Partner deferred compensation obligations and deposits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Net of accumulated amortization of $36.2 million as of December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40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30,</w:t>
            </w:r>
          </w:p>
        </w:tc>
      </w:tr>
      <w:tr>
        <w:trPr>
          <w:trHeight w:val="205"/>
        </w:trPr>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33,818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33,771</w:t>
            </w:r>
          </w:p>
        </w:tc>
      </w:tr>
      <w:tr>
        <w:trPr>
          <w:trHeight w:val="270"/>
        </w:trPr>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32,120</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47,831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64,766</w:t>
            </w:r>
          </w:p>
        </w:tc>
      </w:tr>
      <w:tr>
        <w:trPr>
          <w:trHeight w:val="257"/>
        </w:trPr>
        <w:tc>
          <w:tcPr>
            <w:tcW w:w="180" w:type="dxa"/>
            <w:vAlign w:val="bottom"/>
          </w:tcPr>
          <w:p>
            <w:pPr>
              <w:spacing w:after="0"/>
              <w:rPr>
                <w:sz w:val="22"/>
                <w:szCs w:val="22"/>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56,411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60,876</w:t>
            </w:r>
          </w:p>
        </w:tc>
      </w:tr>
      <w:tr>
        <w:trPr>
          <w:trHeight w:val="40"/>
        </w:trPr>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138,060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191,533</w:t>
            </w:r>
          </w:p>
        </w:tc>
      </w:tr>
      <w:tr>
        <w:trPr>
          <w:trHeight w:val="33"/>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93" w:lineRule="exact"/>
        <w:rPr>
          <w:sz w:val="20"/>
          <w:szCs w:val="20"/>
          <w:color w:val="auto"/>
        </w:rPr>
      </w:pPr>
    </w:p>
    <w:p>
      <w:pPr>
        <w:sectPr>
          <w:pgSz w:w="11900" w:h="16838" w:orient="portrait"/>
          <w:cols w:equalWidth="0" w:num="2">
            <w:col w:w="7400" w:space="720"/>
            <w:col w:w="3300"/>
          </w:cols>
          <w:pgMar w:left="240" w:top="122" w:right="239" w:bottom="1440" w:gutter="0" w:footer="0" w:header="0"/>
          <w:type w:val="continuous"/>
        </w:sectPr>
      </w:pPr>
    </w:p>
    <w:p>
      <w:pPr>
        <w:spacing w:after="0" w:line="14" w:lineRule="exact"/>
        <w:rPr>
          <w:sz w:val="20"/>
          <w:szCs w:val="20"/>
          <w:color w:val="auto"/>
        </w:rPr>
      </w:pPr>
    </w:p>
    <w:p>
      <w:pPr>
        <w:ind w:left="700" w:hanging="692"/>
        <w:spacing w:after="0"/>
        <w:tabs>
          <w:tab w:leader="none" w:pos="7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Following is a summary of the Company’s share repurchase programs as of December 29, 2019 (dollars in thousands):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SHARE REPURCHASE</w:t>
            </w: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BOARD APPROVAL</w:t>
            </w:r>
          </w:p>
        </w:tc>
        <w:tc>
          <w:tcPr>
            <w:tcW w:w="280" w:type="dxa"/>
            <w:vAlign w:val="bottom"/>
          </w:tcPr>
          <w:p>
            <w:pPr>
              <w:spacing w:after="0"/>
              <w:rPr>
                <w:sz w:val="14"/>
                <w:szCs w:val="14"/>
                <w:color w:val="auto"/>
              </w:rPr>
            </w:pPr>
          </w:p>
        </w:tc>
        <w:tc>
          <w:tcPr>
            <w:tcW w:w="15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AUTHORIZED</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CANCELED</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205"/>
        </w:trPr>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PROGRAM</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2014</w:t>
            </w: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12, 2014</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100,000</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 w:type="dxa"/>
            <w:vAlign w:val="bottom"/>
          </w:tcPr>
          <w:p>
            <w:pPr>
              <w:ind w:left="20"/>
              <w:spacing w:after="0"/>
              <w:rPr>
                <w:sz w:val="20"/>
                <w:szCs w:val="20"/>
                <w:color w:val="auto"/>
              </w:rPr>
            </w:pPr>
            <w:r>
              <w:rPr>
                <w:rFonts w:ascii="Arial" w:cs="Arial" w:eastAsia="Arial" w:hAnsi="Arial"/>
                <w:sz w:val="16"/>
                <w:szCs w:val="16"/>
                <w:color w:val="auto"/>
                <w:w w:val="89"/>
              </w:rPr>
              <w:t>2015</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August 3, 2015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69,999</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30,001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2016</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12, 2016</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139,892</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940" w:type="dxa"/>
            <w:vAlign w:val="bottom"/>
            <w:gridSpan w:val="3"/>
          </w:tcPr>
          <w:p>
            <w:pPr>
              <w:ind w:left="20"/>
              <w:spacing w:after="0"/>
              <w:rPr>
                <w:sz w:val="20"/>
                <w:szCs w:val="20"/>
                <w:color w:val="auto"/>
              </w:rPr>
            </w:pPr>
            <w:r>
              <w:rPr>
                <w:rFonts w:ascii="Arial" w:cs="Arial" w:eastAsia="Arial" w:hAnsi="Arial"/>
                <w:sz w:val="16"/>
                <w:szCs w:val="16"/>
                <w:color w:val="auto"/>
              </w:rPr>
              <w:t>July 2016</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26, 2016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247,731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52,269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shd w:val="clear" w:color="auto" w:fill="CCEEFF"/>
              </w:rPr>
              <w:t>2017</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April 21, 2017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195,000</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 w:type="dxa"/>
            <w:vAlign w:val="bottom"/>
          </w:tcPr>
          <w:p>
            <w:pPr>
              <w:ind w:left="20"/>
              <w:spacing w:after="0"/>
              <w:rPr>
                <w:sz w:val="20"/>
                <w:szCs w:val="20"/>
                <w:color w:val="auto"/>
              </w:rPr>
            </w:pPr>
            <w:r>
              <w:rPr>
                <w:rFonts w:ascii="Arial" w:cs="Arial" w:eastAsia="Arial" w:hAnsi="Arial"/>
                <w:sz w:val="16"/>
                <w:szCs w:val="16"/>
                <w:color w:val="auto"/>
                <w:w w:val="89"/>
              </w:rPr>
              <w:t>2018</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16, 2018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113,967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36,033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shd w:val="clear" w:color="auto" w:fill="CCEEFF"/>
              </w:rPr>
              <w:t>2019</w:t>
            </w: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February 12, 2019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106,992</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43,008</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tcBorders>
            <w:gridSpan w:val="5"/>
          </w:tcPr>
          <w:p>
            <w:pPr>
              <w:ind w:left="20"/>
              <w:spacing w:after="0"/>
              <w:rPr>
                <w:sz w:val="20"/>
                <w:szCs w:val="20"/>
                <w:color w:val="auto"/>
              </w:rPr>
            </w:pPr>
            <w:r>
              <w:rPr>
                <w:rFonts w:ascii="Arial" w:cs="Arial" w:eastAsia="Arial" w:hAnsi="Arial"/>
                <w:sz w:val="16"/>
                <w:szCs w:val="16"/>
                <w:color w:val="auto"/>
              </w:rPr>
              <w:t>Total share repurchase programs</w:t>
            </w:r>
          </w:p>
        </w:tc>
        <w:tc>
          <w:tcPr>
            <w:tcW w:w="28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973,581</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5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shares repurchased under the Company’s share repurchase programs for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AVERAGE REPURCHASE</w:t>
            </w:r>
          </w:p>
        </w:tc>
        <w:tc>
          <w:tcPr>
            <w:tcW w:w="240" w:type="dxa"/>
            <w:vAlign w:val="bottom"/>
          </w:tcPr>
          <w:p>
            <w:pPr>
              <w:spacing w:after="0"/>
              <w:rPr>
                <w:sz w:val="14"/>
                <w:szCs w:val="14"/>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700" w:type="dxa"/>
            <w:vAlign w:val="bottom"/>
          </w:tcPr>
          <w:p>
            <w:pPr>
              <w:spacing w:after="0"/>
              <w:rPr>
                <w:sz w:val="17"/>
                <w:szCs w:val="17"/>
                <w:color w:val="auto"/>
              </w:rPr>
            </w:pPr>
          </w:p>
        </w:tc>
        <w:tc>
          <w:tcPr>
            <w:tcW w:w="22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PRICE PER SHARE</w:t>
            </w:r>
          </w:p>
        </w:tc>
        <w:tc>
          <w:tcPr>
            <w:tcW w:w="2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0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50,996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Second fiscal quarter</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5,469</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1,287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106,992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30,004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fiscal quarter</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17,968</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Fourth fiscal quarter</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691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14,999</w:t>
            </w: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common stock repurchases</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5,062</w:t>
            </w:r>
          </w:p>
        </w:tc>
        <w:tc>
          <w:tcPr>
            <w:tcW w:w="2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6"/>
              </w:rPr>
              <w:t>113,967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the periods presented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5"/>
          </w:tcPr>
          <w:p>
            <w:pPr>
              <w:ind w:left="100"/>
              <w:spacing w:after="0"/>
              <w:rPr>
                <w:sz w:val="20"/>
                <w:szCs w:val="20"/>
                <w:color w:val="auto"/>
              </w:rPr>
            </w:pPr>
            <w:r>
              <w:rPr>
                <w:rFonts w:ascii="Arial" w:cs="Arial" w:eastAsia="Arial" w:hAnsi="Arial"/>
                <w:sz w:val="14"/>
                <w:szCs w:val="14"/>
                <w:b w:val="1"/>
                <w:bCs w:val="1"/>
                <w:color w:val="auto"/>
              </w:rPr>
              <w:t>DIVIDENDS PER SHARE</w:t>
            </w:r>
          </w:p>
        </w:tc>
        <w:tc>
          <w:tcPr>
            <w:tcW w:w="24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spacing w:after="0"/>
              <w:rPr>
                <w:sz w:val="17"/>
                <w:szCs w:val="17"/>
                <w:color w:val="auto"/>
              </w:rPr>
            </w:pPr>
          </w:p>
        </w:tc>
      </w:tr>
      <w:tr>
        <w:trPr>
          <w:trHeight w:val="26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w w:val="96"/>
              </w:rPr>
              <w:t>2018</w:t>
            </w: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9,140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8,371</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Second fiscal quarter</w:t>
            </w:r>
          </w:p>
        </w:tc>
        <w:tc>
          <w:tcPr>
            <w:tcW w:w="20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9,227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8,363</w:t>
            </w:r>
          </w:p>
        </w:tc>
      </w:tr>
      <w:tr>
        <w:trPr>
          <w:trHeight w:val="33"/>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fiscal quarter</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8,674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8,344</w:t>
            </w:r>
          </w:p>
        </w:tc>
      </w:tr>
      <w:tr>
        <w:trPr>
          <w:trHeight w:val="27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Fourth fiscal quarter</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8,693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8,234</w:t>
            </w: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dividends declared and paid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35,734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33,312</w:t>
            </w: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February 2020, the Company’s Board of Directors declared a quarterly cash dividend of $0.20 per share, payable on March 13, 2020 to shareholders of record at the close of business on February 28, 2020.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(“AOCL”) - </w:t>
      </w:r>
      <w:r>
        <w:rPr>
          <w:rFonts w:ascii="Arial" w:cs="Arial" w:eastAsia="Arial" w:hAnsi="Arial"/>
          <w:sz w:val="20"/>
          <w:szCs w:val="20"/>
          <w:color w:val="auto"/>
        </w:rPr>
        <w:t>Following are the components of AOCL as of the periods indicated: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DECEMBER 29, 2019</w:t>
            </w:r>
          </w:p>
        </w:tc>
        <w:tc>
          <w:tcPr>
            <w:tcW w:w="15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DECEMBER 30, 2018</w:t>
            </w:r>
          </w:p>
        </w:tc>
      </w:tr>
      <w:tr>
        <w:trPr>
          <w:trHeight w:val="237"/>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(152,031)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(135,149)</w:t>
            </w:r>
          </w:p>
        </w:tc>
      </w:tr>
      <w:tr>
        <w:trPr>
          <w:trHeight w:val="27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loss on derivatives, net of tax</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(17,745)</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(7,606)</w:t>
            </w: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(142,755)</w:t>
            </w: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Other comprehensive (loss) income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Bloomin’ Brands: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(16,882)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(36,576)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8,936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Unrealized (loss) gain on derivatives, net of tax (1)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(11,944)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(7,100)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 of adjustments for loss on derivatives included in Net income, net of tax (2)</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unrealized (loss) gain on derivatives, net of tax</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attributable to Bloomin’ Brands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11,944</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Unrealized (loss) gain on derivatives is net of tax of $(4.1) million, $(2.5) million and $0.5 million for 2019, 2018 and 2017, respectively.</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Reclassifications of adjustments for loss on derivatives are net of tax. See Note 16 -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discussion of the tax impact of reclassifications.</w:t>
      </w:r>
    </w:p>
    <w:p>
      <w:pPr>
        <w:sectPr>
          <w:pgSz w:w="11900" w:h="16838" w:orient="portrait"/>
          <w:cols w:equalWidth="0" w:num="1">
            <w:col w:w="11420"/>
          </w:cols>
          <w:pgMar w:left="240" w:top="121"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800" w:hanging="792"/>
        <w:spacing w:after="0"/>
        <w:tabs>
          <w:tab w:leader="none" w:pos="8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The Company manages economic risks, including interest rate variability, primarily by managing the amount, 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 of its debt funding and through the use of derivative financial instruments. The Company’s objectives in using interest rate derivatives are to manage its exposure to interest rate movements. To accomplish this objective, the Company uses interest rate swaps.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DESIGNATED HEDGES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On September 9, 2014, the Company entered into variable-to-fixed interest rate swap agreements</w:t>
      </w:r>
      <w:r>
        <w:rPr>
          <w:rFonts w:ascii="Arial" w:cs="Arial" w:eastAsia="Arial" w:hAnsi="Arial"/>
          <w:sz w:val="20"/>
          <w:szCs w:val="20"/>
          <w:i w:val="1"/>
          <w:iCs w:val="1"/>
          <w:color w:val="auto"/>
        </w:rPr>
        <w:t xml:space="preserve"> </w:t>
      </w:r>
      <w:r>
        <w:rPr>
          <w:rFonts w:ascii="Arial" w:cs="Arial" w:eastAsia="Arial" w:hAnsi="Arial"/>
          <w:sz w:val="20"/>
          <w:szCs w:val="20"/>
          <w:color w:val="252525"/>
        </w:rPr>
        <w:t>with eight counterparties to hedge a portion of the cash flows of the Company’s variable rate debt (the “2014 Swap Agreements”). The 2014 Swap Agreements had an aggregate notional amount of $400.0 million and matured on May 16, 2019. Under the terms of the 2014 Swap Agreements, the Company paid a weighted-average fixed rate of 2.02% on the notional amount and received payments from the counterparties based on the 30-day LIBOR rate.</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252525"/>
        </w:rPr>
        <w:t xml:space="preserve">On October 24, 2018 and October 25, 2018, the Company entered into variable-to-fixed interest rate swap agreements with 12 counterparties to hedge a portion of the cash flows of the Company’s variable rate debt (the “2018 Swap Agreements”). The 2018 Swap Agreements have an aggregate notional amount of $550.0 million, a start date of May 16, 2019 (the maturity date of the 2014 Swap Agreements), and mature on November 30, 2022. Under the terms of the 2018 Swap Agreements, the Company pays a weighted-average fixed rate of 3.04% on the notional amount and receives payments from the counterparties based on the </w:t>
      </w:r>
      <w:r>
        <w:rPr>
          <w:rFonts w:ascii="Arial" w:cs="Arial" w:eastAsia="Arial" w:hAnsi="Arial"/>
          <w:sz w:val="18"/>
          <w:szCs w:val="18"/>
          <w:color w:val="000000"/>
        </w:rPr>
        <w:t>one-month LIBOR</w:t>
      </w:r>
      <w:r>
        <w:rPr>
          <w:rFonts w:ascii="Arial" w:cs="Arial" w:eastAsia="Arial" w:hAnsi="Arial"/>
          <w:sz w:val="18"/>
          <w:szCs w:val="18"/>
          <w:color w:val="252525"/>
        </w:rPr>
        <w:t xml:space="preserve"> rate.</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Company’s swap agreements have been designated and qualify as cash flow hedges, are recognized on its Consolidated Balance Sheets at fair value and are classified based on the instruments’ maturity dates. The Company estimates $7.9 million will be reclassified to interest expense over the next 12 months related to the 2018 Swap Agreements.</w:t>
      </w:r>
    </w:p>
    <w:p>
      <w:pPr>
        <w:spacing w:after="0" w:line="18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252525"/>
        </w:rPr>
        <w:t xml:space="preserve">The following table presents the fair value of the Company’s interest rate swaps as well as their classification on </w:t>
      </w:r>
      <w:r>
        <w:rPr>
          <w:rFonts w:ascii="Arial" w:cs="Arial" w:eastAsia="Arial" w:hAnsi="Arial"/>
          <w:sz w:val="20"/>
          <w:szCs w:val="20"/>
          <w:color w:val="000000"/>
        </w:rPr>
        <w:t>the Company’s</w:t>
      </w:r>
      <w:r>
        <w:rPr>
          <w:rFonts w:ascii="Arial" w:cs="Arial" w:eastAsia="Arial" w:hAnsi="Arial"/>
          <w:sz w:val="20"/>
          <w:szCs w:val="20"/>
          <w:color w:val="252525"/>
        </w:rPr>
        <w:t xml:space="preserve"> Consolidated Balance Sheets </w:t>
      </w:r>
      <w:r>
        <w:rPr>
          <w:rFonts w:ascii="Arial" w:cs="Arial" w:eastAsia="Arial" w:hAnsi="Arial"/>
          <w:sz w:val="20"/>
          <w:szCs w:val="20"/>
          <w:color w:val="000000"/>
        </w:rPr>
        <w:t>as of the periods indicated</w:t>
      </w:r>
      <w:r>
        <w:rPr>
          <w:rFonts w:ascii="Arial" w:cs="Arial" w:eastAsia="Arial" w:hAnsi="Arial"/>
          <w:sz w:val="20"/>
          <w:szCs w:val="20"/>
          <w:color w:val="252525"/>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30,</w:t>
            </w:r>
          </w:p>
        </w:tc>
        <w:tc>
          <w:tcPr>
            <w:tcW w:w="120" w:type="dxa"/>
            <w:vAlign w:val="bottom"/>
          </w:tcPr>
          <w:p>
            <w:pPr>
              <w:spacing w:after="0"/>
              <w:rPr>
                <w:sz w:val="14"/>
                <w:szCs w:val="14"/>
                <w:color w:val="auto"/>
              </w:rPr>
            </w:pPr>
          </w:p>
        </w:tc>
        <w:tc>
          <w:tcPr>
            <w:tcW w:w="3280" w:type="dxa"/>
            <w:vAlign w:val="bottom"/>
          </w:tcPr>
          <w:p>
            <w:pPr>
              <w:ind w:left="440"/>
              <w:spacing w:after="0"/>
              <w:rPr>
                <w:sz w:val="20"/>
                <w:szCs w:val="20"/>
                <w:color w:val="auto"/>
              </w:rPr>
            </w:pPr>
            <w:r>
              <w:rPr>
                <w:rFonts w:ascii="Arial" w:cs="Arial" w:eastAsia="Arial" w:hAnsi="Arial"/>
                <w:sz w:val="14"/>
                <w:szCs w:val="14"/>
                <w:b w:val="1"/>
                <w:bCs w:val="1"/>
                <w:color w:val="auto"/>
              </w:rPr>
              <w:t>CONSOLIDATED BALANCE SHEET</w:t>
            </w:r>
          </w:p>
        </w:tc>
      </w:tr>
      <w:tr>
        <w:trPr>
          <w:trHeight w:val="205"/>
        </w:trPr>
        <w:tc>
          <w:tcPr>
            <w:tcW w:w="20" w:type="dxa"/>
            <w:vAlign w:val="bottom"/>
          </w:tcPr>
          <w:p>
            <w:pPr>
              <w:spacing w:after="0"/>
              <w:rPr>
                <w:sz w:val="17"/>
                <w:szCs w:val="17"/>
                <w:color w:val="auto"/>
              </w:rPr>
            </w:pPr>
          </w:p>
        </w:tc>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2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CLASSIFICATION</w:t>
            </w: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 asset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765</w:t>
            </w:r>
          </w:p>
        </w:tc>
        <w:tc>
          <w:tcPr>
            <w:tcW w:w="1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r>
      <w:tr>
        <w:trPr>
          <w:trHeight w:val="32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1,393</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 - liability</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16,835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9,723</w:t>
            </w:r>
          </w:p>
        </w:tc>
        <w:tc>
          <w:tcPr>
            <w:tcW w:w="120" w:type="dxa"/>
            <w:vAlign w:val="bottom"/>
            <w:tcBorders>
              <w:bottom w:val="single" w:sz="8" w:color="CCEEFF"/>
            </w:tcBorders>
          </w:tcPr>
          <w:p>
            <w:pPr>
              <w:spacing w:after="0"/>
              <w:rPr>
                <w:sz w:val="23"/>
                <w:szCs w:val="23"/>
                <w:color w:val="auto"/>
              </w:rPr>
            </w:pPr>
          </w:p>
        </w:tc>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net</w:t>
            </w: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fair value of derivative instruments - liabilities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11,116</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Other current assets, net</w:t>
            </w: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226"/>
        </w:trPr>
        <w:tc>
          <w:tcPr>
            <w:tcW w:w="4700" w:type="dxa"/>
            <w:vAlign w:val="bottom"/>
            <w:gridSpan w:val="2"/>
          </w:tcPr>
          <w:p>
            <w:pPr>
              <w:jc w:val="right"/>
              <w:ind w:right="3000"/>
              <w:spacing w:after="0"/>
              <w:rPr>
                <w:sz w:val="20"/>
                <w:szCs w:val="20"/>
                <w:color w:val="auto"/>
              </w:rPr>
            </w:pPr>
            <w:r>
              <w:rPr>
                <w:rFonts w:ascii="Arial" w:cs="Arial" w:eastAsia="Arial" w:hAnsi="Arial"/>
                <w:sz w:val="16"/>
                <w:szCs w:val="16"/>
                <w:color w:val="auto"/>
                <w:w w:val="89"/>
              </w:rPr>
              <w:t>____________________</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tcPr>
          <w:p>
            <w:pPr>
              <w:spacing w:after="0"/>
              <w:rPr>
                <w:sz w:val="19"/>
                <w:szCs w:val="19"/>
                <w:color w:val="auto"/>
              </w:rPr>
            </w:pPr>
          </w:p>
        </w:tc>
      </w:tr>
    </w:tbl>
    <w:p>
      <w:pPr>
        <w:ind w:left="360" w:hanging="352"/>
        <w:spacing w:after="0"/>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18</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swap agreements on Net income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expense recognized in Interest expense, net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(3,908)</w:t>
            </w:r>
          </w:p>
        </w:tc>
      </w:tr>
      <w:tr>
        <w:trPr>
          <w:trHeight w:val="27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recognized in Provision (benefit) for income taxes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1,527</w:t>
            </w: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effects of the interest rate swaps on 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records its derivatives on its Consolidated Balance Sheets on a gross balance basis. The Company’s interest rate swaps are subject to master netting arrangements. As of December 29, 2019, the Company did not have more than one derivative between the same counterparties and as such, there was no netting.</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252525"/>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December 29, 2019 and December 30, 2018, all counterparties to the interest rate swaps had performed in accordance with their contractual obligations.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252525"/>
        </w:rPr>
        <w:t>As of December 29, 2019 and December 30, 2018, the fair value of the Company’s interest rate swaps was in a net liability position, including accrued interest but excluding any adjustment for nonperformance risk, of $24.8 million and $10.5 million, respectively. As of December 29, 2019 and December 30, 2018, the Company has not posted any collateral related to these agreements. If the Company had breached any of these provisions as of December 29, 2019 and December 30, 2018, it could have been required to settle its obligations under the agreements at their termination value of $24.8 million and $10.5 million, respectively.</w:t>
      </w:r>
    </w:p>
    <w:p>
      <w:pPr>
        <w:spacing w:after="0" w:line="181"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Leases</w:t>
      </w:r>
    </w:p>
    <w:p>
      <w:pPr>
        <w:spacing w:after="0" w:line="229"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following table includes a detail of lease assets and liabilities included on the Company’s Consolidated Balance Sheet as of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50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CONSOLIDATED BALANCE SHEET CLASSIFICATION</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DECEMBER 29, 2019</w:t>
            </w: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1,266,548</w:t>
            </w:r>
          </w:p>
        </w:tc>
      </w:tr>
      <w:tr>
        <w:trPr>
          <w:trHeight w:val="27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Finance lease right-of-use assets (1)</w:t>
            </w:r>
          </w:p>
        </w:tc>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Property, fixtures and equipment, net</w:t>
            </w:r>
          </w:p>
        </w:tc>
        <w:tc>
          <w:tcPr>
            <w:tcW w:w="2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2,036</w:t>
            </w:r>
          </w:p>
        </w:tc>
      </w:tr>
      <w:tr>
        <w:trPr>
          <w:trHeight w:val="255"/>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lease assets, net</w:t>
            </w:r>
          </w:p>
        </w:tc>
        <w:tc>
          <w:tcPr>
            <w:tcW w:w="5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1,268,584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operating lease liabilities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finance lease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operating lease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finance lease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lease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Net of accumulated amortization of $1.3 million.</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Excludes accrued contingent percentage rent.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20"/>
                <w:szCs w:val="20"/>
                <w:color w:val="auto"/>
              </w:rPr>
            </w:pPr>
            <w:r>
              <w:rPr>
                <w:rFonts w:ascii="Arial" w:cs="Arial" w:eastAsia="Arial" w:hAnsi="Arial"/>
                <w:sz w:val="16"/>
                <w:szCs w:val="16"/>
                <w:color w:val="auto"/>
              </w:rPr>
              <w:t>Accrued and other current liabilities</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171,866</w:t>
            </w: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74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1,361</w:t>
            </w: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74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1,279,051</w:t>
            </w:r>
          </w:p>
        </w:tc>
      </w:tr>
      <w:tr>
        <w:trPr>
          <w:trHeight w:val="297"/>
        </w:trPr>
        <w:tc>
          <w:tcPr>
            <w:tcW w:w="5120" w:type="dxa"/>
            <w:vAlign w:val="bottom"/>
          </w:tcPr>
          <w:p>
            <w:pPr>
              <w:spacing w:after="0"/>
              <w:rPr>
                <w:sz w:val="20"/>
                <w:szCs w:val="20"/>
                <w:color w:val="auto"/>
              </w:rPr>
            </w:pPr>
            <w:r>
              <w:rPr>
                <w:rFonts w:ascii="Arial" w:cs="Arial" w:eastAsia="Arial" w:hAnsi="Arial"/>
                <w:sz w:val="16"/>
                <w:szCs w:val="16"/>
                <w:color w:val="auto"/>
              </w:rPr>
              <w:t>Long-term debt, net</w:t>
            </w:r>
          </w:p>
        </w:tc>
        <w:tc>
          <w:tcPr>
            <w:tcW w:w="7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947</w:t>
            </w:r>
          </w:p>
        </w:tc>
      </w:tr>
      <w:tr>
        <w:trPr>
          <w:trHeight w:val="224"/>
        </w:trPr>
        <w:tc>
          <w:tcPr>
            <w:tcW w:w="5120" w:type="dxa"/>
            <w:vAlign w:val="bottom"/>
          </w:tcPr>
          <w:p>
            <w:pPr>
              <w:spacing w:after="0"/>
              <w:rPr>
                <w:sz w:val="19"/>
                <w:szCs w:val="19"/>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1,453,225</w:t>
            </w:r>
          </w:p>
        </w:tc>
      </w:tr>
      <w:tr>
        <w:trPr>
          <w:trHeight w:val="33"/>
        </w:trPr>
        <w:tc>
          <w:tcPr>
            <w:tcW w:w="5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-539750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-196850</wp:posOffset>
            </wp:positionV>
            <wp:extent cx="72466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54" w:lineRule="exact"/>
        <w:rPr>
          <w:sz w:val="20"/>
          <w:szCs w:val="20"/>
          <w:color w:val="auto"/>
        </w:rPr>
      </w:pPr>
    </w:p>
    <w:p>
      <w:pPr>
        <w:sectPr>
          <w:pgSz w:w="11900" w:h="16838" w:orient="portrait"/>
          <w:cols w:equalWidth="0" w:num="2">
            <w:col w:w="3840" w:space="320"/>
            <w:col w:w="7260"/>
          </w:cols>
          <w:pgMar w:left="240" w:top="121" w:right="23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 for the period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00" w:type="dxa"/>
            <w:vAlign w:val="bottom"/>
          </w:tcPr>
          <w:p>
            <w:pPr>
              <w:jc w:val="right"/>
              <w:ind w:right="841"/>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CONSOLIDATED INCOME STATEMENT CLASSIFICATION</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118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 (1)</w:t>
            </w:r>
          </w:p>
        </w:tc>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181,397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4460" w:type="dxa"/>
            <w:vAlign w:val="bottom"/>
            <w:gridSpan w:val="2"/>
          </w:tcPr>
          <w:p>
            <w:pPr>
              <w:ind w:left="40"/>
              <w:spacing w:after="0"/>
              <w:rPr>
                <w:sz w:val="20"/>
                <w:szCs w:val="20"/>
                <w:color w:val="auto"/>
              </w:rPr>
            </w:pPr>
            <w:r>
              <w:rPr>
                <w:rFonts w:ascii="Arial" w:cs="Arial" w:eastAsia="Arial" w:hAnsi="Arial"/>
                <w:sz w:val="16"/>
                <w:szCs w:val="16"/>
                <w:color w:val="auto"/>
              </w:rPr>
              <w:t>Other restaurant operating</w:t>
            </w:r>
          </w:p>
        </w:tc>
        <w:tc>
          <w:tcPr>
            <w:tcW w:w="520" w:type="dxa"/>
            <w:vAlign w:val="bottom"/>
          </w:tcPr>
          <w:p>
            <w:pPr>
              <w:spacing w:after="0"/>
              <w:rPr>
                <w:sz w:val="20"/>
                <w:szCs w:val="20"/>
                <w:color w:val="auto"/>
              </w:rPr>
            </w:pPr>
          </w:p>
        </w:tc>
        <w:tc>
          <w:tcPr>
            <w:tcW w:w="2300" w:type="dxa"/>
            <w:vAlign w:val="bottom"/>
          </w:tcPr>
          <w:p>
            <w:pPr>
              <w:jc w:val="right"/>
              <w:ind w:right="21"/>
              <w:spacing w:after="0"/>
              <w:rPr>
                <w:sz w:val="20"/>
                <w:szCs w:val="20"/>
                <w:color w:val="auto"/>
              </w:rPr>
            </w:pPr>
            <w:r>
              <w:rPr>
                <w:rFonts w:ascii="Arial" w:cs="Arial" w:eastAsia="Arial" w:hAnsi="Arial"/>
                <w:sz w:val="16"/>
                <w:szCs w:val="16"/>
                <w:color w:val="auto"/>
              </w:rPr>
              <w:t>3,504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6"/>
                <w:szCs w:val="16"/>
                <w:color w:val="auto"/>
              </w:rPr>
              <w:t>Amortization of leased assets</w:t>
            </w:r>
          </w:p>
        </w:tc>
        <w:tc>
          <w:tcPr>
            <w:tcW w:w="4460" w:type="dxa"/>
            <w:vAlign w:val="bottom"/>
            <w:gridSpan w:val="2"/>
          </w:tcPr>
          <w:p>
            <w:pPr>
              <w:ind w:left="40"/>
              <w:spacing w:after="0"/>
              <w:rPr>
                <w:sz w:val="20"/>
                <w:szCs w:val="20"/>
                <w:color w:val="auto"/>
              </w:rPr>
            </w:pPr>
            <w:r>
              <w:rPr>
                <w:rFonts w:ascii="Arial" w:cs="Arial" w:eastAsia="Arial" w:hAnsi="Arial"/>
                <w:sz w:val="16"/>
                <w:szCs w:val="16"/>
                <w:color w:val="auto"/>
              </w:rPr>
              <w:t>Depreciation and amortization</w:t>
            </w:r>
          </w:p>
        </w:tc>
        <w:tc>
          <w:tcPr>
            <w:tcW w:w="520" w:type="dxa"/>
            <w:vAlign w:val="bottom"/>
          </w:tcPr>
          <w:p>
            <w:pPr>
              <w:spacing w:after="0"/>
              <w:rPr>
                <w:sz w:val="20"/>
                <w:szCs w:val="20"/>
                <w:color w:val="auto"/>
              </w:rPr>
            </w:pPr>
          </w:p>
        </w:tc>
        <w:tc>
          <w:tcPr>
            <w:tcW w:w="2300" w:type="dxa"/>
            <w:vAlign w:val="bottom"/>
          </w:tcPr>
          <w:p>
            <w:pPr>
              <w:jc w:val="right"/>
              <w:ind w:right="21"/>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on lease liabilities</w:t>
            </w:r>
          </w:p>
        </w:tc>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5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Sublease revenue (2)</w:t>
            </w:r>
          </w:p>
        </w:tc>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Franchise and other revenues</w:t>
            </w:r>
          </w:p>
        </w:tc>
        <w:tc>
          <w:tcPr>
            <w:tcW w:w="52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costs, net (3)</w:t>
            </w: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180,023</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jc w:val="right"/>
              <w:ind w:right="2740"/>
              <w:spacing w:after="0"/>
              <w:rPr>
                <w:sz w:val="20"/>
                <w:szCs w:val="20"/>
                <w:color w:val="auto"/>
              </w:rPr>
            </w:pPr>
            <w:r>
              <w:rPr>
                <w:rFonts w:ascii="Arial" w:cs="Arial" w:eastAsia="Arial" w:hAnsi="Arial"/>
                <w:sz w:val="16"/>
                <w:szCs w:val="16"/>
                <w:color w:val="auto"/>
                <w:w w:val="89"/>
              </w:rPr>
              <w:t>________________</w:t>
            </w: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20" w:type="dxa"/>
            <w:vAlign w:val="bottom"/>
            <w:gridSpan w:val="2"/>
            <w:vMerge w:val="continue"/>
          </w:tcPr>
          <w:p>
            <w:pPr>
              <w:spacing w:after="0"/>
              <w:rPr>
                <w:sz w:val="15"/>
                <w:szCs w:val="15"/>
                <w:color w:val="auto"/>
              </w:rPr>
            </w:pP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Excludes rent expense for office facilities and Company-owned closed or subleased properties for 2019 of $14.6 million, which is included in General and administrative expense and certain supply chain related rent expenses of $1.3 million, which is included in Cost of sales.</w:t>
      </w:r>
    </w:p>
    <w:p>
      <w:pPr>
        <w:ind w:left="660" w:hanging="652"/>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Excludes rental income from Company-owned properties for the fiscal year ended December 29, 2019 of $2.2 million.</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During 2018 and 2017, the Company recorded rent expense of $185.4 million and $188.2 million, including variable rent expense of $4.5 million and $4.3 million, and sublease revenue of $5.6 million and $4.5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29, 2019, future minimum lease payments and sublease revenues under non-cancelable leases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4"/>
                <w:szCs w:val="14"/>
                <w:color w:val="auto"/>
              </w:rPr>
            </w:pPr>
          </w:p>
        </w:tc>
        <w:tc>
          <w:tcPr>
            <w:tcW w:w="1040" w:type="dxa"/>
            <w:vAlign w:val="bottom"/>
          </w:tcPr>
          <w:p>
            <w:pPr>
              <w:jc w:val="right"/>
              <w:ind w:right="221"/>
              <w:spacing w:after="0"/>
              <w:rPr>
                <w:sz w:val="20"/>
                <w:szCs w:val="20"/>
                <w:color w:val="auto"/>
              </w:rPr>
            </w:pPr>
            <w:r>
              <w:rPr>
                <w:rFonts w:ascii="Arial" w:cs="Arial" w:eastAsia="Arial" w:hAnsi="Arial"/>
                <w:sz w:val="14"/>
                <w:szCs w:val="14"/>
                <w:b w:val="1"/>
                <w:bCs w:val="1"/>
                <w:color w:val="auto"/>
              </w:rPr>
              <w:t>FINANCE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221"/>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205"/>
        </w:trPr>
        <w:tc>
          <w:tcPr>
            <w:tcW w:w="7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9"/>
              </w:rPr>
              <w:t>LEASES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179,168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(6,191)</w:t>
            </w:r>
          </w:p>
        </w:tc>
        <w:tc>
          <w:tcPr>
            <w:tcW w:w="0" w:type="dxa"/>
            <w:vAlign w:val="bottom"/>
          </w:tcPr>
          <w:p>
            <w:pPr>
              <w:spacing w:after="0"/>
              <w:rPr>
                <w:sz w:val="1"/>
                <w:szCs w:val="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193,102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(6,232)</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188,752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(6,131)</w:t>
            </w:r>
          </w:p>
        </w:tc>
        <w:tc>
          <w:tcPr>
            <w:tcW w:w="0" w:type="dxa"/>
            <w:vAlign w:val="bottom"/>
          </w:tcPr>
          <w:p>
            <w:pPr>
              <w:spacing w:after="0"/>
              <w:rPr>
                <w:sz w:val="1"/>
                <w:szCs w:val="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0"/>
                <w:szCs w:val="20"/>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185,238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(6,012)</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179,673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(5,856)</w:t>
            </w:r>
          </w:p>
        </w:tc>
        <w:tc>
          <w:tcPr>
            <w:tcW w:w="0" w:type="dxa"/>
            <w:vAlign w:val="bottom"/>
          </w:tcPr>
          <w:p>
            <w:pPr>
              <w:spacing w:after="0"/>
              <w:rPr>
                <w:sz w:val="1"/>
                <w:szCs w:val="1"/>
                <w:color w:val="auto"/>
              </w:rPr>
            </w:pPr>
          </w:p>
        </w:tc>
      </w:tr>
      <w:tr>
        <w:trPr>
          <w:trHeight w:val="270"/>
        </w:trPr>
        <w:tc>
          <w:tcPr>
            <w:tcW w:w="7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1,717,709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(63,512)</w:t>
            </w:r>
          </w:p>
        </w:tc>
        <w:tc>
          <w:tcPr>
            <w:tcW w:w="0" w:type="dxa"/>
            <w:vAlign w:val="bottom"/>
          </w:tcPr>
          <w:p>
            <w:pPr>
              <w:spacing w:after="0"/>
              <w:rPr>
                <w:sz w:val="1"/>
                <w:szCs w:val="1"/>
                <w:color w:val="auto"/>
              </w:rPr>
            </w:pPr>
          </w:p>
        </w:tc>
      </w:tr>
      <w:tr>
        <w:trPr>
          <w:trHeight w:val="284"/>
        </w:trPr>
        <w:tc>
          <w:tcPr>
            <w:tcW w:w="7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minimum lease payments (receipts) (2)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2,643,642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2,495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(93,934)</w:t>
            </w:r>
          </w:p>
        </w:tc>
        <w:tc>
          <w:tcPr>
            <w:tcW w:w="0" w:type="dxa"/>
            <w:vAlign w:val="bottom"/>
          </w:tcPr>
          <w:p>
            <w:pPr>
              <w:spacing w:after="0"/>
              <w:rPr>
                <w:sz w:val="1"/>
                <w:szCs w:val="1"/>
                <w:color w:val="auto"/>
              </w:rPr>
            </w:pPr>
          </w:p>
        </w:tc>
      </w:tr>
      <w:tr>
        <w:trPr>
          <w:trHeight w:val="257"/>
        </w:trPr>
        <w:tc>
          <w:tcPr>
            <w:tcW w:w="730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6"/>
                <w:szCs w:val="16"/>
                <w:color w:val="auto"/>
              </w:rPr>
              <w:t>Less: Interest</w:t>
            </w: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(1,192,725)</w:t>
            </w:r>
          </w:p>
        </w:tc>
        <w:tc>
          <w:tcPr>
            <w:tcW w:w="1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16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future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1,450,917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Net of operating lease prepaid rent of $14.7 million.</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$1.0 billion related to lease renewal options that are reasonably certain of exercise and excludes $111.9 million of signed operating leases that have not yet commenced.</w:t>
      </w:r>
    </w:p>
    <w:p>
      <w:pPr>
        <w:spacing w:after="0" w:line="19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is a summary of the weighted-average remaining lease terms and weighted-average discount rates of the Company’s leases as of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32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DECEMBER 29, 2019</w:t>
            </w: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remaining lease term (1):</w:t>
            </w:r>
          </w:p>
        </w:tc>
        <w:tc>
          <w:tcPr>
            <w:tcW w:w="2100" w:type="dxa"/>
            <w:vAlign w:val="bottom"/>
            <w:tcBorders>
              <w:bottom w:val="single" w:sz="8" w:color="CCEEFF"/>
            </w:tcBorders>
            <w:shd w:val="clear" w:color="auto" w:fill="CCEEFF"/>
          </w:tcPr>
          <w:p>
            <w:pPr>
              <w:spacing w:after="0"/>
              <w:rPr>
                <w:sz w:val="21"/>
                <w:szCs w:val="21"/>
                <w:color w:val="auto"/>
              </w:rPr>
            </w:pPr>
          </w:p>
        </w:tc>
      </w:tr>
      <w:tr>
        <w:trPr>
          <w:trHeight w:val="224"/>
        </w:trPr>
        <w:tc>
          <w:tcPr>
            <w:tcW w:w="932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2100" w:type="dxa"/>
            <w:vAlign w:val="bottom"/>
          </w:tcPr>
          <w:p>
            <w:pPr>
              <w:jc w:val="right"/>
              <w:ind w:right="81"/>
              <w:spacing w:after="0"/>
              <w:rPr>
                <w:sz w:val="20"/>
                <w:szCs w:val="20"/>
                <w:color w:val="auto"/>
              </w:rPr>
            </w:pPr>
            <w:r>
              <w:rPr>
                <w:rFonts w:ascii="Arial" w:cs="Arial" w:eastAsia="Arial" w:hAnsi="Arial"/>
                <w:sz w:val="16"/>
                <w:szCs w:val="16"/>
                <w:color w:val="auto"/>
              </w:rPr>
              <w:t>14.5 years</w:t>
            </w:r>
          </w:p>
        </w:tc>
      </w:tr>
      <w:tr>
        <w:trPr>
          <w:trHeight w:val="33"/>
        </w:trPr>
        <w:tc>
          <w:tcPr>
            <w:tcW w:w="93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9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21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 years</w:t>
            </w:r>
          </w:p>
        </w:tc>
      </w:tr>
      <w:tr>
        <w:trPr>
          <w:trHeight w:val="237"/>
        </w:trPr>
        <w:tc>
          <w:tcPr>
            <w:tcW w:w="9320" w:type="dxa"/>
            <w:vAlign w:val="bottom"/>
          </w:tcPr>
          <w:p>
            <w:pPr>
              <w:ind w:left="40"/>
              <w:spacing w:after="0"/>
              <w:rPr>
                <w:sz w:val="20"/>
                <w:szCs w:val="20"/>
                <w:color w:val="auto"/>
              </w:rPr>
            </w:pPr>
            <w:r>
              <w:rPr>
                <w:rFonts w:ascii="Arial" w:cs="Arial" w:eastAsia="Arial" w:hAnsi="Arial"/>
                <w:sz w:val="16"/>
                <w:szCs w:val="16"/>
                <w:color w:val="auto"/>
              </w:rPr>
              <w:t>Weighted-average discount rate (2):</w:t>
            </w:r>
          </w:p>
        </w:tc>
        <w:tc>
          <w:tcPr>
            <w:tcW w:w="2100" w:type="dxa"/>
            <w:vAlign w:val="bottom"/>
          </w:tcPr>
          <w:p>
            <w:pPr>
              <w:spacing w:after="0"/>
              <w:rPr>
                <w:sz w:val="20"/>
                <w:szCs w:val="20"/>
                <w:color w:val="auto"/>
              </w:rPr>
            </w:pPr>
          </w:p>
        </w:tc>
      </w:tr>
      <w:tr>
        <w:trPr>
          <w:trHeight w:val="33"/>
        </w:trPr>
        <w:tc>
          <w:tcPr>
            <w:tcW w:w="93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9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w:t>
            </w:r>
          </w:p>
        </w:tc>
      </w:tr>
      <w:tr>
        <w:trPr>
          <w:trHeight w:val="224"/>
        </w:trPr>
        <w:tc>
          <w:tcPr>
            <w:tcW w:w="932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210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226"/>
        </w:trPr>
        <w:tc>
          <w:tcPr>
            <w:tcW w:w="9320" w:type="dxa"/>
            <w:vAlign w:val="bottom"/>
          </w:tcPr>
          <w:p>
            <w:pPr>
              <w:spacing w:after="0"/>
              <w:rPr>
                <w:sz w:val="20"/>
                <w:szCs w:val="20"/>
                <w:color w:val="auto"/>
              </w:rPr>
            </w:pPr>
            <w:r>
              <w:rPr>
                <w:rFonts w:ascii="Arial" w:cs="Arial" w:eastAsia="Arial" w:hAnsi="Arial"/>
                <w:sz w:val="16"/>
                <w:szCs w:val="16"/>
                <w:color w:val="auto"/>
              </w:rPr>
              <w:t>____________________</w:t>
            </w:r>
          </w:p>
        </w:tc>
        <w:tc>
          <w:tcPr>
            <w:tcW w:w="2100" w:type="dxa"/>
            <w:vAlign w:val="bottom"/>
          </w:tcPr>
          <w:p>
            <w:pPr>
              <w:spacing w:after="0"/>
              <w:rPr>
                <w:sz w:val="19"/>
                <w:szCs w:val="19"/>
                <w:color w:val="auto"/>
              </w:rPr>
            </w:pPr>
          </w:p>
        </w:tc>
      </w:tr>
    </w:tbl>
    <w:p>
      <w:pPr>
        <w:ind w:left="660" w:hanging="652"/>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Includes lease renewal options that are reasonably certain of exercise.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the Company’s incremental borrowing rate at lease commencement.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is a summary of other impacts to the Company’s consolidated financial statements related to its leases for the period indicated: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0" w:type="dxa"/>
            <w:vAlign w:val="bottom"/>
          </w:tcPr>
          <w:p>
            <w:pPr>
              <w:jc w:val="center"/>
              <w:ind w:right="465"/>
              <w:spacing w:after="0"/>
              <w:rPr>
                <w:sz w:val="20"/>
                <w:szCs w:val="20"/>
                <w:color w:val="auto"/>
              </w:rPr>
            </w:pPr>
            <w:r>
              <w:rPr>
                <w:rFonts w:ascii="Arial" w:cs="Arial" w:eastAsia="Arial" w:hAnsi="Arial"/>
                <w:sz w:val="14"/>
                <w:szCs w:val="14"/>
                <w:b w:val="1"/>
                <w:bCs w:val="1"/>
                <w:color w:val="auto"/>
              </w:rPr>
              <w:t>FISCAL YEAR</w:t>
            </w:r>
          </w:p>
        </w:tc>
      </w:tr>
      <w:tr>
        <w:trPr>
          <w:trHeight w:val="222"/>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1245"/>
              <w:spacing w:after="0"/>
              <w:rPr>
                <w:sz w:val="20"/>
                <w:szCs w:val="20"/>
                <w:color w:val="auto"/>
              </w:rPr>
            </w:pPr>
            <w:r>
              <w:rPr>
                <w:rFonts w:ascii="Arial" w:cs="Arial" w:eastAsia="Arial" w:hAnsi="Arial"/>
                <w:sz w:val="14"/>
                <w:szCs w:val="14"/>
                <w:b w:val="1"/>
                <w:bCs w:val="1"/>
                <w:color w:val="auto"/>
              </w:rPr>
              <w:t>2019</w:t>
            </w: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24"/>
        </w:trPr>
        <w:tc>
          <w:tcPr>
            <w:tcW w:w="8420" w:type="dxa"/>
            <w:vAlign w:val="bottom"/>
          </w:tcPr>
          <w:p>
            <w:pPr>
              <w:ind w:left="16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25"/>
              <w:spacing w:after="0"/>
              <w:rPr>
                <w:sz w:val="20"/>
                <w:szCs w:val="20"/>
                <w:color w:val="auto"/>
              </w:rPr>
            </w:pPr>
            <w:r>
              <w:rPr>
                <w:rFonts w:ascii="Arial" w:cs="Arial" w:eastAsia="Arial" w:hAnsi="Arial"/>
                <w:sz w:val="16"/>
                <w:szCs w:val="16"/>
                <w:color w:val="auto"/>
              </w:rPr>
              <w:t>191,855</w:t>
            </w:r>
          </w:p>
        </w:tc>
      </w:tr>
    </w:tbl>
    <w:p>
      <w:pPr>
        <w:spacing w:after="0" w:line="200" w:lineRule="exact"/>
        <w:rPr>
          <w:sz w:val="20"/>
          <w:szCs w:val="20"/>
          <w:color w:val="auto"/>
        </w:rPr>
      </w:pP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Properties Leased to Third Parties </w:t>
      </w:r>
      <w:r>
        <w:rPr>
          <w:rFonts w:ascii="Arial" w:cs="Arial" w:eastAsia="Arial" w:hAnsi="Arial"/>
          <w:sz w:val="20"/>
          <w:szCs w:val="20"/>
          <w:color w:val="auto"/>
        </w:rPr>
        <w:t>- The Company leases certain owned land and buildings to third parties, generally related to closed or</w:t>
      </w:r>
      <w:r>
        <w:rPr>
          <w:rFonts w:ascii="Arial" w:cs="Arial" w:eastAsia="Arial" w:hAnsi="Arial"/>
          <w:sz w:val="20"/>
          <w:szCs w:val="20"/>
          <w:i w:val="1"/>
          <w:iCs w:val="1"/>
          <w:color w:val="auto"/>
        </w:rPr>
        <w:t xml:space="preserve"> </w:t>
      </w:r>
      <w:r>
        <w:rPr>
          <w:rFonts w:ascii="Arial" w:cs="Arial" w:eastAsia="Arial" w:hAnsi="Arial"/>
          <w:sz w:val="20"/>
          <w:szCs w:val="20"/>
          <w:color w:val="auto"/>
        </w:rPr>
        <w:t>refranchised restaurants. The following table is a summary of assets leased to third parties as of the period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DECEMBER 29, 2019</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9,885</w:t>
            </w:r>
          </w:p>
        </w:tc>
      </w:tr>
      <w:tr>
        <w:trPr>
          <w:trHeight w:val="297"/>
        </w:trPr>
        <w:tc>
          <w:tcPr>
            <w:tcW w:w="9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12,823</w:t>
            </w:r>
          </w:p>
        </w:tc>
      </w:tr>
      <w:tr>
        <w:trPr>
          <w:trHeight w:val="270"/>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(6,400)</w:t>
            </w: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6,423</w:t>
            </w:r>
          </w:p>
        </w:tc>
      </w:tr>
      <w:tr>
        <w:trPr>
          <w:trHeight w:val="20"/>
        </w:trPr>
        <w:tc>
          <w:tcPr>
            <w:tcW w:w="9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Sale-leaseback Transactions </w:t>
      </w:r>
      <w:r>
        <w:rPr>
          <w:rFonts w:ascii="Arial" w:cs="Arial" w:eastAsia="Arial" w:hAnsi="Arial"/>
          <w:sz w:val="19"/>
          <w:szCs w:val="19"/>
          <w:color w:val="auto"/>
        </w:rPr>
        <w:t>- The following is a summary of sale-leaseback transactions with third-parties for the periods indicated:</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63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proceeds from sale-leaseback transactions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7,337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17,294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108,010</w:t>
            </w: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Number of restaurant properties sold and leased back</w:t>
            </w:r>
          </w:p>
        </w:tc>
        <w:tc>
          <w:tcPr>
            <w:tcW w:w="380" w:type="dxa"/>
            <w:vAlign w:val="bottom"/>
          </w:tcPr>
          <w:p>
            <w:pPr>
              <w:spacing w:after="0"/>
              <w:rPr>
                <w:sz w:val="20"/>
                <w:szCs w:val="20"/>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31</w:t>
            </w:r>
          </w:p>
        </w:tc>
      </w:tr>
    </w:tbl>
    <w:p>
      <w:pPr>
        <w:spacing w:after="0" w:line="200" w:lineRule="exact"/>
        <w:rPr>
          <w:sz w:val="20"/>
          <w:szCs w:val="20"/>
          <w:color w:val="auto"/>
        </w:rPr>
      </w:pPr>
    </w:p>
    <w:p>
      <w:pPr>
        <w:spacing w:after="0" w:line="248" w:lineRule="exact"/>
        <w:rPr>
          <w:sz w:val="20"/>
          <w:szCs w:val="20"/>
          <w:color w:val="auto"/>
        </w:rPr>
      </w:pPr>
    </w:p>
    <w:p>
      <w:pPr>
        <w:ind w:left="800" w:hanging="792"/>
        <w:spacing w:after="0"/>
        <w:tabs>
          <w:tab w:leader="none" w:pos="8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Fair Value Measurements</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DECEMBER 29, 2019</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8"/>
              </w:rPr>
              <w:t>DECEMBER 30, 2018</w:t>
            </w:r>
          </w:p>
        </w:tc>
        <w:tc>
          <w:tcPr>
            <w:tcW w:w="94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LEVEL 2</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12,752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12,752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17,827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17,827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765</w:t>
            </w: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 recurring fair value measurements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13,789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13,789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19,219</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18,454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7,174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1,393</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16,835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16,835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9,723</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9,723</w:t>
            </w: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color w:val="auto"/>
              </w:rPr>
              <w:t>Total liability recurring fair value measurements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24,009</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24,009</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11,116</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11,116</w:t>
            </w: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1" w:right="23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FINANCIAL INSTRUMENT</w:t>
            </w:r>
          </w:p>
        </w:tc>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METHODS AND ASSUMPTIONS</w:t>
            </w:r>
          </w:p>
        </w:tc>
      </w:tr>
      <w:tr>
        <w:trPr>
          <w:trHeight w:val="73"/>
        </w:trPr>
        <w:tc>
          <w:tcPr>
            <w:tcW w:w="2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900" w:type="dxa"/>
            <w:vAlign w:val="bottom"/>
            <w:tcBorders>
              <w:bottom w:val="single" w:sz="8" w:color="auto"/>
            </w:tcBorders>
          </w:tcPr>
          <w:p>
            <w:pPr>
              <w:spacing w:after="0"/>
              <w:rPr>
                <w:sz w:val="6"/>
                <w:szCs w:val="6"/>
                <w:color w:val="auto"/>
              </w:rPr>
            </w:pPr>
          </w:p>
        </w:tc>
      </w:tr>
      <w:tr>
        <w:trPr>
          <w:trHeight w:val="22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Fixed income funds and</w:t>
            </w:r>
          </w:p>
        </w:tc>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Carrying value approximates fair value because maturities are less than three months.</w:t>
            </w:r>
          </w:p>
        </w:tc>
      </w:tr>
      <w:tr>
        <w:trPr>
          <w:trHeight w:val="219"/>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Money market funds</w:t>
            </w:r>
          </w:p>
        </w:tc>
        <w:tc>
          <w:tcPr>
            <w:tcW w:w="8900" w:type="dxa"/>
            <w:vAlign w:val="bottom"/>
            <w:tcBorders>
              <w:bottom w:val="single" w:sz="8" w:color="CCEEFF"/>
            </w:tcBorders>
            <w:shd w:val="clear" w:color="auto" w:fill="CCEEFF"/>
          </w:tcPr>
          <w:p>
            <w:pPr>
              <w:spacing w:after="0"/>
              <w:rPr>
                <w:sz w:val="19"/>
                <w:szCs w:val="19"/>
                <w:color w:val="auto"/>
              </w:rPr>
            </w:pPr>
          </w:p>
        </w:tc>
      </w:tr>
      <w:tr>
        <w:trPr>
          <w:trHeight w:val="220"/>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Derivative instruments</w:t>
            </w:r>
          </w:p>
        </w:tc>
        <w:tc>
          <w:tcPr>
            <w:tcW w:w="8900" w:type="dxa"/>
            <w:vAlign w:val="bottom"/>
          </w:tcPr>
          <w:p>
            <w:pPr>
              <w:ind w:left="20"/>
              <w:spacing w:after="0"/>
              <w:rPr>
                <w:sz w:val="20"/>
                <w:szCs w:val="20"/>
                <w:color w:val="auto"/>
              </w:rPr>
            </w:pPr>
            <w:r>
              <w:rPr>
                <w:rFonts w:ascii="Arial" w:cs="Arial" w:eastAsia="Arial" w:hAnsi="Arial"/>
                <w:sz w:val="16"/>
                <w:szCs w:val="16"/>
                <w:color w:val="auto"/>
                <w:w w:val="93"/>
              </w:rPr>
              <w:t>The Company’s derivative instruments include interest rate swaps. Fair value measurements are based on the contractual terms of the</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3"/>
              </w:rPr>
              <w:t>derivatives and use observable market-based inputs. The interest rate swaps are valued using a discounted cash flow analysis on the</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4"/>
              </w:rPr>
              <w:t>expected cash flows of each derivative using observable inputs including interest rate curves and credit spreads. The Company also</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5"/>
              </w:rPr>
              <w:t>considers its own nonperformance risk and the respective counterparty’s nonperformance risk in the fair value measurements. As of</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1"/>
              </w:rPr>
              <w:t>December 29, 2019 and December 30, 2018, the Company has determined that the credit valuation adjustments are not significant to the</w:t>
            </w:r>
          </w:p>
        </w:tc>
      </w:tr>
      <w:tr>
        <w:trPr>
          <w:trHeight w:val="20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rPr>
              <w:t>overall valuation of its derivatives.</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to 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2017</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20" w:type="dxa"/>
            <w:vAlign w:val="bottom"/>
          </w:tcPr>
          <w:p>
            <w:pPr>
              <w:jc w:val="right"/>
              <w:ind w:right="82"/>
              <w:spacing w:after="0" w:line="153"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20" w:type="dxa"/>
            <w:vAlign w:val="bottom"/>
          </w:tcPr>
          <w:p>
            <w:pPr>
              <w:jc w:val="right"/>
              <w:ind w:right="82"/>
              <w:spacing w:after="0" w:line="153"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342"/>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IMPAIRMENT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8,590</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Operating lease right-of-use assets (2)</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6,597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fixtures and equipment (3)</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23,539</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(4)</w:t>
            </w: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55"/>
        </w:trPr>
        <w:tc>
          <w:tcPr>
            <w:tcW w:w="2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12,561</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15,054</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26,799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20,092</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25,450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All assets are measured using third-party market appraisals or executed sales contracts (Level 2). Refer to Note 4 - </w:t>
      </w:r>
      <w:r>
        <w:rPr>
          <w:rFonts w:ascii="Arial" w:cs="Arial" w:eastAsia="Arial" w:hAnsi="Arial"/>
          <w:sz w:val="16"/>
          <w:szCs w:val="16"/>
          <w:i w:val="1"/>
          <w:iCs w:val="1"/>
          <w:color w:val="auto"/>
        </w:rPr>
        <w:t>Disposals</w:t>
      </w:r>
      <w:r>
        <w:rPr>
          <w:rFonts w:ascii="Arial" w:cs="Arial" w:eastAsia="Arial" w:hAnsi="Arial"/>
          <w:sz w:val="16"/>
          <w:szCs w:val="16"/>
          <w:color w:val="auto"/>
        </w:rPr>
        <w:t xml:space="preserve"> for discussion of impairments related to Carrabba’s Italian Grill in 2018.</w:t>
      </w:r>
    </w:p>
    <w:p>
      <w:pPr>
        <w:ind w:left="660" w:hanging="652"/>
        <w:spacing w:after="0" w:line="246"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Carrying values for Operating lease right-of-use assets measured using Level 3 inputs to estimate fair value totaled $6.4 million for 2019. Third-party market appraisals (Level 2) and discounted cash flow models (Level 3) were used to estimate the fair value.</w:t>
      </w:r>
    </w:p>
    <w:p>
      <w:pPr>
        <w:jc w:val="both"/>
        <w:ind w:left="660" w:hanging="652"/>
        <w:spacing w:after="0" w:line="246"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Carrying values for Property, fixtures and equipment measured using Level 3 inputs to estimate fair value totaled $1.6 million and $1.9 million for 2019 and 2018, respectively. Carrying values for Property, fixtures and equipment measured using level 2 inputs to estimate fair value totaled $2.3 million, $4.6 million and $19.2 million for 2019, 2018 and 2017, respectively. Third-party market appraisals (Level 2) and discounted cash flow models (Level 3) were used to estimate the fair value. Refer to Note 5 - </w:t>
      </w:r>
      <w:r>
        <w:rPr>
          <w:rFonts w:ascii="Arial" w:cs="Arial" w:eastAsia="Arial" w:hAnsi="Arial"/>
          <w:sz w:val="16"/>
          <w:szCs w:val="16"/>
          <w:i w:val="1"/>
          <w:iCs w:val="1"/>
          <w:color w:val="auto"/>
        </w:rPr>
        <w:t>Impairments and Exit Costs</w:t>
      </w:r>
      <w:r>
        <w:rPr>
          <w:rFonts w:ascii="Arial" w:cs="Arial" w:eastAsia="Arial" w:hAnsi="Arial"/>
          <w:sz w:val="16"/>
          <w:szCs w:val="16"/>
          <w:color w:val="auto"/>
        </w:rPr>
        <w:t xml:space="preserve"> for a more detailed discussion of impairments.</w:t>
      </w:r>
    </w:p>
    <w:p>
      <w:pPr>
        <w:spacing w:after="0" w:line="1"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Other primarily includes goodwill related to the Company’s China subsidiary within the international segment in 2017. All assets measured using market appraisals (Level 2) to estimate the fair value.</w:t>
      </w:r>
    </w:p>
    <w:p>
      <w:pPr>
        <w:spacing w:after="0" w:line="1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Fair Value of Financial Instruments - </w:t>
      </w:r>
      <w:r>
        <w:rPr>
          <w:rFonts w:ascii="Arial" w:cs="Arial" w:eastAsia="Arial" w:hAnsi="Arial"/>
          <w:sz w:val="16"/>
          <w:szCs w:val="16"/>
          <w:color w:val="auto"/>
        </w:rPr>
        <w:t>The Company’s non-derivative financial instruments as of December 29, 2019 and December 30, 2018</w:t>
      </w:r>
      <w:r>
        <w:rPr>
          <w:rFonts w:ascii="Arial" w:cs="Arial" w:eastAsia="Arial" w:hAnsi="Arial"/>
          <w:sz w:val="16"/>
          <w:szCs w:val="16"/>
          <w:i w:val="1"/>
          <w:iCs w:val="1"/>
          <w:color w:val="auto"/>
        </w:rPr>
        <w:t xml:space="preserve"> </w:t>
      </w:r>
      <w:r>
        <w:rPr>
          <w:rFonts w:ascii="Arial" w:cs="Arial" w:eastAsia="Arial" w:hAnsi="Arial"/>
          <w:sz w:val="16"/>
          <w:szCs w:val="16"/>
          <w:color w:val="auto"/>
        </w:rPr>
        <w:t>consist of cash equivalents, accounts receivable, accounts payable and current and long-term debt. The fair values of cash equivalents, accounts receivable and accounts payable approximate their carrying amounts reported on its Consolidated Balance Sheets due to their short duration.</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center"/>
              <w:ind w:right="323"/>
              <w:spacing w:after="0"/>
              <w:rPr>
                <w:sz w:val="20"/>
                <w:szCs w:val="20"/>
                <w:color w:val="auto"/>
              </w:rPr>
            </w:pPr>
            <w:r>
              <w:rPr>
                <w:rFonts w:ascii="Arial" w:cs="Arial" w:eastAsia="Arial" w:hAnsi="Arial"/>
                <w:sz w:val="14"/>
                <w:szCs w:val="14"/>
                <w:b w:val="1"/>
                <w:bCs w:val="1"/>
                <w:color w:val="auto"/>
                <w:w w:val="99"/>
              </w:rPr>
              <w:t>DECEMBER 29, 2019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center"/>
              <w:ind w:right="103"/>
              <w:spacing w:after="0"/>
              <w:rPr>
                <w:sz w:val="20"/>
                <w:szCs w:val="20"/>
                <w:color w:val="auto"/>
              </w:rPr>
            </w:pPr>
            <w:r>
              <w:rPr>
                <w:rFonts w:ascii="Arial" w:cs="Arial" w:eastAsia="Arial" w:hAnsi="Arial"/>
                <w:sz w:val="14"/>
                <w:szCs w:val="14"/>
                <w:b w:val="1"/>
                <w:bCs w:val="1"/>
                <w:color w:val="auto"/>
                <w:w w:val="99"/>
              </w:rPr>
              <w:t>DECEMBER 30, 2018</w:t>
            </w: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30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22"/>
                <w:szCs w:val="22"/>
                <w:color w:val="auto"/>
              </w:rPr>
            </w:pPr>
          </w:p>
        </w:tc>
        <w:tc>
          <w:tcPr>
            <w:tcW w:w="1340" w:type="dxa"/>
            <w:vAlign w:val="bottom"/>
          </w:tcPr>
          <w:p>
            <w:pPr>
              <w:jc w:val="right"/>
              <w:ind w:right="28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70"/>
        </w:trPr>
        <w:tc>
          <w:tcPr>
            <w:tcW w:w="5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7"/>
                <w:szCs w:val="17"/>
                <w:color w:val="auto"/>
              </w:rPr>
            </w:pPr>
          </w:p>
        </w:tc>
        <w:tc>
          <w:tcPr>
            <w:tcW w:w="1380" w:type="dxa"/>
            <w:vAlign w:val="bottom"/>
          </w:tcPr>
          <w:p>
            <w:pPr>
              <w:jc w:val="right"/>
              <w:ind w:right="443"/>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7"/>
                <w:szCs w:val="17"/>
                <w:color w:val="auto"/>
              </w:rPr>
            </w:pPr>
          </w:p>
        </w:tc>
        <w:tc>
          <w:tcPr>
            <w:tcW w:w="1340" w:type="dxa"/>
            <w:vAlign w:val="bottom"/>
          </w:tcPr>
          <w:p>
            <w:pPr>
              <w:jc w:val="right"/>
              <w:ind w:right="42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Term loan A</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450,000</w:t>
            </w:r>
          </w:p>
        </w:tc>
        <w:tc>
          <w:tcPr>
            <w:tcW w:w="120" w:type="dxa"/>
            <w:vAlign w:val="bottom"/>
          </w:tcPr>
          <w:p>
            <w:pPr>
              <w:spacing w:after="0"/>
              <w:rPr>
                <w:sz w:val="20"/>
                <w:szCs w:val="20"/>
                <w:color w:val="auto"/>
              </w:rPr>
            </w:pP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450,563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475,000</w:t>
            </w:r>
          </w:p>
        </w:tc>
        <w:tc>
          <w:tcPr>
            <w:tcW w:w="100" w:type="dxa"/>
            <w:vAlign w:val="bottom"/>
          </w:tcPr>
          <w:p>
            <w:pPr>
              <w:spacing w:after="0"/>
              <w:rPr>
                <w:sz w:val="20"/>
                <w:szCs w:val="20"/>
                <w:color w:val="auto"/>
              </w:rPr>
            </w:pPr>
          </w:p>
        </w:tc>
        <w:tc>
          <w:tcPr>
            <w:tcW w:w="24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464,906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Revolving credit facility</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599,000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599,000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599,500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590,508</w:t>
            </w:r>
          </w:p>
        </w:tc>
        <w:tc>
          <w:tcPr>
            <w:tcW w:w="0" w:type="dxa"/>
            <w:vAlign w:val="bottom"/>
          </w:tcPr>
          <w:p>
            <w:pPr>
              <w:spacing w:after="0"/>
              <w:rPr>
                <w:sz w:val="1"/>
                <w:szCs w:val="1"/>
                <w:color w:val="auto"/>
              </w:rPr>
            </w:pPr>
          </w:p>
        </w:tc>
      </w:tr>
      <w:tr>
        <w:trPr>
          <w:trHeight w:val="33"/>
        </w:trPr>
        <w:tc>
          <w:tcPr>
            <w:tcW w:w="5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1" w:right="2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800" w:hanging="792"/>
        <w:spacing w:after="0"/>
        <w:tabs>
          <w:tab w:leader="none" w:pos="8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presents the domestic and foreign components of Income before provision (benefit) for income taxes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129,826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109,965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112,226</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Foreign</w:t>
            </w:r>
          </w:p>
        </w:tc>
        <w:tc>
          <w:tcPr>
            <w:tcW w:w="40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11,864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(1,089)</w:t>
            </w: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2"/>
        </w:trPr>
        <w:tc>
          <w:tcPr>
            <w:tcW w:w="6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141,690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100,305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111,137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Provision (benefit) for income taxes consisted of the following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provision:</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Federal</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13,265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11,089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18,384</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State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9,696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8,155</w:t>
            </w: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Foreign</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10,502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9,041</w:t>
            </w: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82"/>
        </w:trPr>
        <w:tc>
          <w:tcPr>
            <w:tcW w:w="64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33,463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20,257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35,580</w:t>
            </w:r>
          </w:p>
        </w:tc>
      </w:tr>
      <w:tr>
        <w:trPr>
          <w:trHeight w:val="197"/>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Deferred (benefit) provision:</w:t>
            </w:r>
          </w:p>
        </w:tc>
        <w:tc>
          <w:tcPr>
            <w:tcW w:w="4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47"/>
        </w:trPr>
        <w:tc>
          <w:tcPr>
            <w:tcW w:w="6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(24,248)</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State</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24"/>
        </w:trPr>
        <w:tc>
          <w:tcPr>
            <w:tcW w:w="640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(25,890)</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(29,490)</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(28,051)</w:t>
            </w: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2"/>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7,529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Effective Income Tax Rate </w:t>
      </w:r>
      <w:r>
        <w:rPr>
          <w:rFonts w:ascii="Arial" w:cs="Arial" w:eastAsia="Arial" w:hAnsi="Arial"/>
          <w:sz w:val="20"/>
          <w:szCs w:val="20"/>
          <w:color w:val="auto"/>
        </w:rPr>
        <w:t>- The reconciliation of income taxes calculated at the United States federal tax statutory rate to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effective income tax rate is as follows for the periods indicated:</w:t>
      </w:r>
    </w:p>
    <w:p>
      <w:pPr>
        <w:spacing w:after="0" w:line="11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23495</wp:posOffset>
            </wp:positionV>
            <wp:extent cx="32848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8485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r>
      <w:tr>
        <w:trPr>
          <w:trHeight w:val="237"/>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taxes at federal statutory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State and local income taxes, net of federal benefit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660" w:type="dxa"/>
            <w:vAlign w:val="bottom"/>
          </w:tcPr>
          <w:p>
            <w:pPr>
              <w:jc w:val="right"/>
              <w:ind w:right="1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2.2</w:t>
            </w:r>
          </w:p>
        </w:tc>
      </w:tr>
      <w:tr>
        <w:trPr>
          <w:trHeight w:val="33"/>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Employment-related credits, net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(27.2)</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Net changes in deferred tax valuation allowances</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60" w:type="dxa"/>
            <w:vAlign w:val="bottom"/>
          </w:tcPr>
          <w:p>
            <w:pPr>
              <w:jc w:val="right"/>
              <w:ind w:right="1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3.3</w:t>
            </w:r>
          </w:p>
        </w:tc>
      </w:tr>
      <w:tr>
        <w:trPr>
          <w:trHeight w:val="33"/>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life insurance (benefit) expense</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Enhanced charitable contributions deduction</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(1.7)</w:t>
            </w:r>
          </w:p>
        </w:tc>
      </w:tr>
      <w:tr>
        <w:trPr>
          <w:trHeight w:val="33"/>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Excess tax benefits from stock-based compensation arrangements</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(2.2)</w:t>
            </w:r>
          </w:p>
        </w:tc>
      </w:tr>
      <w:tr>
        <w:trPr>
          <w:trHeight w:val="33"/>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Nondeductible expenses</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Foreign tax rate differential</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660" w:type="dxa"/>
            <w:vAlign w:val="bottom"/>
          </w:tcPr>
          <w:p>
            <w:pPr>
              <w:jc w:val="right"/>
              <w:ind w:right="8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1.7</w:t>
            </w:r>
          </w:p>
        </w:tc>
      </w:tr>
      <w:tr>
        <w:trPr>
          <w:trHeight w:val="33"/>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Domestic manufacturing deduction</w:t>
            </w: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Cumulative effect of the Tax Act</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(3.3)</w:t>
            </w:r>
          </w:p>
        </w:tc>
      </w:tr>
      <w:tr>
        <w:trPr>
          <w:trHeight w:val="33"/>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r>
      <w:tr>
        <w:trPr>
          <w:trHeight w:val="224"/>
        </w:trPr>
        <w:tc>
          <w:tcPr>
            <w:tcW w:w="6240" w:type="dxa"/>
            <w:vAlign w:val="bottom"/>
            <w:tcBorders>
              <w:top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Borders>
              <w:top w:val="single" w:sz="8" w:color="CCEEFF"/>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top w:val="single" w:sz="8" w:color="CCEEFF"/>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6.8 %</w:t>
            </w:r>
          </w:p>
        </w:tc>
      </w:tr>
      <w:tr>
        <w:trPr>
          <w:trHeight w:val="33"/>
        </w:trPr>
        <w:tc>
          <w:tcPr>
            <w:tcW w:w="6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2"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net increase in the effective income tax rate in 2019 as compared to 2018 was primarily due to employment-related credits being a lower percentage of net income in 2019, excess tax benefits from equity-based compensation arrangements recorded in 2018 and an increase in the foreign tax rate differential in 2019. These increases were partially offset by a decrease in valuation allowances recorded against deferred income tax assets in 2019.</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The net decrease in the effective income tax rate in 2018 as compared to 2017 was primarily due to the reduction in the U.S. federal corporate tax rate from 35% </w:t>
      </w:r>
      <w:r>
        <w:rPr>
          <w:rFonts w:ascii="Arial" w:cs="Arial" w:eastAsia="Arial" w:hAnsi="Arial"/>
          <w:sz w:val="18"/>
          <w:szCs w:val="18"/>
          <w:color w:val="auto"/>
        </w:rPr>
        <w:t>to</w:t>
      </w:r>
      <w:r>
        <w:rPr>
          <w:rFonts w:ascii="Arial" w:cs="Arial" w:eastAsia="Arial" w:hAnsi="Arial"/>
          <w:sz w:val="20"/>
          <w:szCs w:val="20"/>
          <w:color w:val="auto"/>
        </w:rPr>
        <w:t xml:space="preserve"> 21% as part of the Tax Cuts and Jobs Act (the “Tax Act”). The remaining decrease was primarily due to employment-related credits being a higher percentage of net income in 2018 and excess tax benefits from equity-based compensation arrangements recorded in 2018. These decreases were partially offset by the domestic manufacturing deduction and the cumulative effect of the Tax Act recorded in 2017.</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Deferred Tax Assets and Liabilities </w:t>
      </w:r>
      <w:r>
        <w:rPr>
          <w:rFonts w:ascii="Arial" w:cs="Arial" w:eastAsia="Arial" w:hAnsi="Arial"/>
          <w:sz w:val="20"/>
          <w:szCs w:val="20"/>
          <w:color w:val="auto"/>
        </w:rPr>
        <w:t>- The income tax effects of temporary differences that give rise to significant portions of deferred income</w:t>
      </w:r>
      <w:r>
        <w:rPr>
          <w:rFonts w:ascii="Arial" w:cs="Arial" w:eastAsia="Arial" w:hAnsi="Arial"/>
          <w:sz w:val="20"/>
          <w:szCs w:val="20"/>
          <w:i w:val="1"/>
          <w:iCs w:val="1"/>
          <w:color w:val="auto"/>
        </w:rPr>
        <w:t xml:space="preserve"> </w:t>
      </w:r>
      <w:r>
        <w:rPr>
          <w:rFonts w:ascii="Arial" w:cs="Arial" w:eastAsia="Arial" w:hAnsi="Arial"/>
          <w:sz w:val="20"/>
          <w:szCs w:val="20"/>
          <w:color w:val="auto"/>
        </w:rPr>
        <w:t>tax assets and liabilities are as follows as of the periods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40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30,</w:t>
            </w:r>
          </w:p>
        </w:tc>
      </w:tr>
      <w:tr>
        <w:trPr>
          <w:trHeight w:val="20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 assets: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378,518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42,550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Insurance reserves</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13,722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14,232</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12,590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Deferred compensation</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27,222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30,864</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operating loss carryforwards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10,279</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Federal tax credit carryforwards</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115,273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99,591</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Partner deposits and accrued partner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4,389</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13,706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17,885</w:t>
            </w:r>
          </w:p>
        </w:tc>
      </w:tr>
      <w:tr>
        <w:trPr>
          <w:trHeight w:val="40"/>
        </w:trPr>
        <w:tc>
          <w:tcPr>
            <w:tcW w:w="8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deferred income tax assets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584,996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232,380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Less: valuation allowance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(17,535)</w:t>
            </w:r>
          </w:p>
        </w:tc>
      </w:tr>
      <w:tr>
        <w:trPr>
          <w:trHeight w:val="40"/>
        </w:trPr>
        <w:tc>
          <w:tcPr>
            <w:tcW w:w="8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income tax assets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570,074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214,845</w:t>
            </w:r>
          </w:p>
        </w:tc>
      </w:tr>
      <w:tr>
        <w:trPr>
          <w:trHeight w:val="27"/>
        </w:trPr>
        <w:tc>
          <w:tcPr>
            <w:tcW w:w="8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bl>
    <w:p>
      <w:pPr>
        <w:spacing w:after="0" w:line="4"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Arial" w:cs="Arial" w:eastAsia="Arial" w:hAnsi="Arial"/>
          <w:sz w:val="16"/>
          <w:szCs w:val="16"/>
          <w:color w:val="auto"/>
        </w:rPr>
        <w:t>Deferred income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 operating lease right-of-use asset basis differences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 property, fixtures and equipment basis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Less: intangible asset basis differences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deferred income tax assets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880"/>
        <w:spacing w:after="0"/>
        <w:tabs>
          <w:tab w:leader="none" w:pos="2980" w:val="left"/>
        </w:tabs>
        <w:rPr>
          <w:sz w:val="20"/>
          <w:szCs w:val="20"/>
          <w:color w:val="auto"/>
        </w:rPr>
      </w:pPr>
      <w:r>
        <w:rPr>
          <w:rFonts w:ascii="Arial" w:cs="Arial" w:eastAsia="Arial" w:hAnsi="Arial"/>
          <w:sz w:val="16"/>
          <w:szCs w:val="16"/>
          <w:color w:val="auto"/>
        </w:rPr>
        <w:t>(326,166)</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jc w:val="both"/>
        <w:ind w:left="980"/>
        <w:spacing w:after="0"/>
        <w:tabs>
          <w:tab w:leader="none" w:pos="2660" w:val="left"/>
        </w:tabs>
        <w:rPr>
          <w:sz w:val="20"/>
          <w:szCs w:val="20"/>
          <w:color w:val="auto"/>
        </w:rPr>
      </w:pPr>
      <w:r>
        <w:rPr>
          <w:rFonts w:ascii="Arial" w:cs="Arial" w:eastAsia="Arial" w:hAnsi="Arial"/>
          <w:sz w:val="16"/>
          <w:szCs w:val="16"/>
          <w:color w:val="auto"/>
        </w:rPr>
        <w:t>(65,404)</w:t>
      </w:r>
      <w:r>
        <w:rPr>
          <w:sz w:val="20"/>
          <w:szCs w:val="20"/>
          <w:color w:val="auto"/>
        </w:rPr>
        <w:tab/>
      </w:r>
      <w:r>
        <w:rPr>
          <w:rFonts w:ascii="Arial" w:cs="Arial" w:eastAsia="Arial" w:hAnsi="Arial"/>
          <w:sz w:val="16"/>
          <w:szCs w:val="16"/>
          <w:color w:val="auto"/>
        </w:rPr>
        <w:t>(19,445)</w:t>
      </w:r>
    </w:p>
    <w:p>
      <w:pPr>
        <w:spacing w:after="0" w:line="73" w:lineRule="exact"/>
        <w:rPr>
          <w:sz w:val="20"/>
          <w:szCs w:val="20"/>
          <w:color w:val="auto"/>
        </w:rPr>
      </w:pPr>
    </w:p>
    <w:p>
      <w:pPr>
        <w:jc w:val="both"/>
        <w:ind w:left="900"/>
        <w:spacing w:after="0"/>
        <w:tabs>
          <w:tab w:leader="none" w:pos="2580" w:val="left"/>
        </w:tabs>
        <w:rPr>
          <w:sz w:val="20"/>
          <w:szCs w:val="20"/>
          <w:color w:val="auto"/>
        </w:rPr>
      </w:pPr>
      <w:r>
        <w:rPr>
          <w:rFonts w:ascii="Arial" w:cs="Arial" w:eastAsia="Arial" w:hAnsi="Arial"/>
          <w:sz w:val="16"/>
          <w:szCs w:val="16"/>
          <w:color w:val="auto"/>
        </w:rPr>
        <w:t>(118,855)</w:t>
      </w:r>
      <w:r>
        <w:rPr>
          <w:sz w:val="20"/>
          <w:szCs w:val="20"/>
          <w:color w:val="auto"/>
        </w:rPr>
        <w:tab/>
      </w:r>
      <w:r>
        <w:rPr>
          <w:rFonts w:ascii="Arial" w:cs="Arial" w:eastAsia="Arial" w:hAnsi="Arial"/>
          <w:sz w:val="16"/>
          <w:szCs w:val="16"/>
          <w:color w:val="auto"/>
        </w:rPr>
        <w:t>(117,200)</w:t>
      </w:r>
    </w:p>
    <w:p>
      <w:pPr>
        <w:spacing w:after="0" w:line="100" w:lineRule="exact"/>
        <w:rPr>
          <w:sz w:val="20"/>
          <w:szCs w:val="20"/>
          <w:color w:val="auto"/>
        </w:rPr>
      </w:pPr>
    </w:p>
    <w:p>
      <w:pPr>
        <w:spacing w:after="0"/>
        <w:tabs>
          <w:tab w:leader="none" w:pos="1000" w:val="left"/>
          <w:tab w:leader="none" w:pos="1700" w:val="left"/>
          <w:tab w:leader="none" w:pos="2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59,649</w:t>
        <w:tab/>
        <w:t>$</w:t>
      </w:r>
      <w:r>
        <w:rPr>
          <w:sz w:val="20"/>
          <w:szCs w:val="20"/>
          <w:color w:val="auto"/>
        </w:rPr>
        <w:tab/>
      </w:r>
      <w:r>
        <w:rPr>
          <w:rFonts w:ascii="Arial" w:cs="Arial" w:eastAsia="Arial" w:hAnsi="Arial"/>
          <w:sz w:val="15"/>
          <w:szCs w:val="15"/>
          <w:color w:val="auto"/>
        </w:rPr>
        <w:t>78,200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34925</wp:posOffset>
            </wp:positionV>
            <wp:extent cx="2101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280"/>
          </w:cols>
          <w:pgMar w:left="240" w:top="121" w:right="239" w:bottom="1440" w:gutter="0" w:footer="0" w:header="0"/>
          <w:type w:val="continuous"/>
        </w:sectPr>
      </w:pPr>
    </w:p>
    <w:p>
      <w:pPr>
        <w:spacing w:after="0" w:line="32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net change in deferred tax valuation allowance in 2019 was primarily attributable to changes in tax rates and the expiration of net operating loss carryforwards in certain foreign jurisdictions with full valuation allowances recorded. These decreases were partially offset by an increase in the valuation allowances in certain foreign jurisdictions where the realization of deferred tax assets does not meet the more likely than not to be realized threshold.</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Undistributed Earnings </w:t>
      </w:r>
      <w:r>
        <w:rPr>
          <w:rFonts w:ascii="Arial" w:cs="Arial" w:eastAsia="Arial" w:hAnsi="Arial"/>
          <w:sz w:val="20"/>
          <w:szCs w:val="20"/>
          <w:color w:val="auto"/>
        </w:rPr>
        <w:t>- As of December 29, 2019, the Company had aggregate accumulated foreign earnings of approximately $84.4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This amount consisted primarily of historical earnings from 2017 and prior that were previously taxed in the U.S. under the Tax Act and post-2017 foreign earnings, which the Company may repatriate to the U.S. without additional material U.S. federal income taxes. These amounts are no longer considered indefinitely reinvested in the Company’s foreign subsidiaries.</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December 29, 2019, the Company maintained a deferred tax liability for state income taxes on historical earnings of $0.2 million. The Company has not recorded a deferred tax liability on the financial statement carrying amount over the tax basis of its investments in foreign subsidiaries because the Company continues to assert that it is indefinitely reinvested in its underlying investments in foreign subsidiaries. The determination of any unrecorded deferred tax liability on this amount in not practicable due to the uncertainty of how these investments would be recovered.</w:t>
      </w:r>
    </w:p>
    <w:p>
      <w:pPr>
        <w:sectPr>
          <w:pgSz w:w="11900" w:h="16838" w:orient="portrait"/>
          <w:cols w:equalWidth="0" w:num="1">
            <w:col w:w="11420"/>
          </w:cols>
          <w:pgMar w:left="240" w:top="121"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Tax Carryforwards - </w:t>
      </w:r>
      <w:r>
        <w:rPr>
          <w:rFonts w:ascii="Arial" w:cs="Arial" w:eastAsia="Arial" w:hAnsi="Arial"/>
          <w:sz w:val="20"/>
          <w:szCs w:val="20"/>
          <w:color w:val="auto"/>
        </w:rPr>
        <w:t>The amount and expiration dates of tax loss carryforwards and credit carryforwards as of December 29, 2019 are as</w:t>
      </w:r>
      <w:r>
        <w:rPr>
          <w:rFonts w:ascii="Arial" w:cs="Arial" w:eastAsia="Arial" w:hAnsi="Arial"/>
          <w:sz w:val="20"/>
          <w:szCs w:val="20"/>
          <w:i w:val="1"/>
          <w:iCs w:val="1"/>
          <w:color w:val="auto"/>
        </w:rPr>
        <w:t xml:space="preserve"> </w:t>
      </w:r>
      <w:r>
        <w:rPr>
          <w:rFonts w:ascii="Arial" w:cs="Arial" w:eastAsia="Arial" w:hAnsi="Arial"/>
          <w:sz w:val="20"/>
          <w:szCs w:val="20"/>
          <w:color w:val="auto"/>
        </w:rPr>
        <w:t>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EXPIRATION DATE</w:t>
            </w:r>
          </w:p>
        </w:tc>
        <w:tc>
          <w:tcPr>
            <w:tcW w:w="400" w:type="dxa"/>
            <w:vAlign w:val="bottom"/>
          </w:tcPr>
          <w:p>
            <w:pPr>
              <w:spacing w:after="0"/>
              <w:rPr>
                <w:sz w:val="17"/>
                <w:szCs w:val="17"/>
                <w:color w:val="auto"/>
              </w:rPr>
            </w:pPr>
          </w:p>
        </w:tc>
        <w:tc>
          <w:tcPr>
            <w:tcW w:w="1640" w:type="dxa"/>
            <w:vAlign w:val="bottom"/>
          </w:tcPr>
          <w:p>
            <w:pPr>
              <w:jc w:val="right"/>
              <w:ind w:right="621"/>
              <w:spacing w:after="0"/>
              <w:rPr>
                <w:sz w:val="20"/>
                <w:szCs w:val="20"/>
                <w:color w:val="auto"/>
              </w:rPr>
            </w:pPr>
            <w:r>
              <w:rPr>
                <w:rFonts w:ascii="Arial" w:cs="Arial" w:eastAsia="Arial" w:hAnsi="Arial"/>
                <w:sz w:val="14"/>
                <w:szCs w:val="14"/>
                <w:b w:val="1"/>
                <w:bCs w:val="1"/>
                <w:color w:val="auto"/>
              </w:rPr>
              <w:t>AMOUNT</w:t>
            </w:r>
          </w:p>
        </w:tc>
      </w:tr>
      <w:tr>
        <w:trPr>
          <w:trHeight w:val="237"/>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tax credit carryforwards</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2039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131,201</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Foreign loss carryforwards</w:t>
            </w:r>
          </w:p>
        </w:tc>
        <w:tc>
          <w:tcPr>
            <w:tcW w:w="1060" w:type="dxa"/>
            <w:vAlign w:val="bottom"/>
          </w:tcPr>
          <w:p>
            <w:pPr>
              <w:jc w:val="right"/>
              <w:spacing w:after="0"/>
              <w:rPr>
                <w:sz w:val="20"/>
                <w:szCs w:val="20"/>
                <w:color w:val="auto"/>
              </w:rPr>
            </w:pPr>
            <w:r>
              <w:rPr>
                <w:rFonts w:ascii="Arial" w:cs="Arial" w:eastAsia="Arial" w:hAnsi="Arial"/>
                <w:sz w:val="16"/>
                <w:szCs w:val="16"/>
                <w:color w:val="auto"/>
              </w:rPr>
              <w:t>2020</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Indefinite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41,406</w:t>
            </w:r>
          </w:p>
        </w:tc>
      </w:tr>
      <w:tr>
        <w:trPr>
          <w:trHeight w:val="33"/>
        </w:trPr>
        <w:tc>
          <w:tcPr>
            <w:tcW w:w="698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tax credit carryforwards</w:t>
            </w:r>
          </w:p>
        </w:tc>
        <w:tc>
          <w:tcPr>
            <w:tcW w:w="240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809</w:t>
            </w:r>
          </w:p>
        </w:tc>
      </w:tr>
      <w:tr>
        <w:trPr>
          <w:trHeight w:val="33"/>
        </w:trPr>
        <w:tc>
          <w:tcPr>
            <w:tcW w:w="6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December 29, 2019, the Company had $128.6 million in general business tax credit carryforwards, which have a 20-year carryforward period and are utilized on a first-in, first-out basis. The Company currently expects to utilize all of these tax credit carryforwards within a four to six year period. However, the Company’s ability to utilize these tax credits could be adversely impacted by, among other items, a future “ownership change” as defined under Section 382 of the Internal Revenue Code.</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anticipates generating additional business tax credits in future years. The amount of business tax credits expected to be generated in 2020 is approximately $40 million to $45 million.</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Unrecognized Tax Benefits - </w:t>
      </w:r>
      <w:r>
        <w:rPr>
          <w:rFonts w:ascii="Arial" w:cs="Arial" w:eastAsia="Arial" w:hAnsi="Arial"/>
          <w:sz w:val="20"/>
          <w:szCs w:val="20"/>
          <w:color w:val="auto"/>
        </w:rPr>
        <w:t>As of December 29, 2019 and December 30, 2018, the liability for unrecognized tax benefits was $27.2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and $25.2 million, respectively. Of the total amount of unrecognized tax benefits, including accrued interest and penalties, $27.0 million and $25.0 million, respectively, if recognized, would impact the Company’s effective tax rate.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Company’s unrecognized tax benefits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beginning of year</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25,190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23,663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19,583</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Additions for tax positions taken during a prior period</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2,461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4,149</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Reductions for tax positions taken during a prior period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Additions for tax positions taken during the current period</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2,237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1,822</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 with taxing authorities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Lapses in the applicable statutes of limitations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Translation adjustments</w:t>
            </w:r>
          </w:p>
        </w:tc>
        <w:tc>
          <w:tcPr>
            <w:tcW w:w="4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r>
      <w:tr>
        <w:trPr>
          <w:trHeight w:val="211"/>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as of end of year</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27,201</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25,190</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23,663</w:t>
            </w:r>
          </w:p>
        </w:tc>
      </w:tr>
      <w:tr>
        <w:trPr>
          <w:trHeight w:val="33"/>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had approximately $1.9 million and $1.5 million accrued for the payment of interest and penalties as of December 29, 2019 and December 30, 2018, respectively. The Company recognized immaterial interest and penalties related to uncertain tax positions in the Provision (benefit) for income taxes, for all periods presented.</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many cases, the Company’s uncertain tax positions are related to tax years that remain subject to examination by relevant taxable authorities. Based on the outcome of these examinations, or a result of the expiration of the statute of limitations for specific jurisdictions, it is reasonably possible that the related recorded unrecognized tax benefits for tax positions taken on previously filed tax returns will change by approximately $2.0 million to $3.0 million within the next twelve months.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Open Tax Years - </w:t>
      </w:r>
      <w:r>
        <w:rPr>
          <w:rFonts w:ascii="Arial" w:cs="Arial" w:eastAsia="Arial" w:hAnsi="Arial"/>
          <w:sz w:val="20"/>
          <w:szCs w:val="20"/>
          <w:color w:val="auto"/>
        </w:rPr>
        <w:t>Following is a summary of the open audit years by jurisdiction as of December 29, 2019:</w:t>
      </w:r>
    </w:p>
    <w:p>
      <w:pPr>
        <w:spacing w:after="0" w:line="210"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OPEN AUDIT YEARS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9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 - federal</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2018</w:t>
            </w:r>
          </w:p>
        </w:tc>
      </w:tr>
      <w:tr>
        <w:trPr>
          <w:trHeight w:val="224"/>
        </w:trPr>
        <w:tc>
          <w:tcPr>
            <w:tcW w:w="9340" w:type="dxa"/>
            <w:vAlign w:val="bottom"/>
          </w:tcPr>
          <w:p>
            <w:pPr>
              <w:ind w:left="20"/>
              <w:spacing w:after="0"/>
              <w:rPr>
                <w:sz w:val="20"/>
                <w:szCs w:val="20"/>
                <w:color w:val="auto"/>
              </w:rPr>
            </w:pPr>
            <w:r>
              <w:rPr>
                <w:rFonts w:ascii="Arial" w:cs="Arial" w:eastAsia="Arial" w:hAnsi="Arial"/>
                <w:sz w:val="16"/>
                <w:szCs w:val="16"/>
                <w:color w:val="auto"/>
              </w:rPr>
              <w:t>United States - state</w:t>
            </w:r>
          </w:p>
        </w:tc>
        <w:tc>
          <w:tcPr>
            <w:tcW w:w="960" w:type="dxa"/>
            <w:vAlign w:val="bottom"/>
          </w:tcPr>
          <w:p>
            <w:pPr>
              <w:jc w:val="right"/>
              <w:spacing w:after="0"/>
              <w:rPr>
                <w:sz w:val="20"/>
                <w:szCs w:val="20"/>
                <w:color w:val="auto"/>
              </w:rPr>
            </w:pPr>
            <w:r>
              <w:rPr>
                <w:rFonts w:ascii="Arial" w:cs="Arial" w:eastAsia="Arial" w:hAnsi="Arial"/>
                <w:sz w:val="16"/>
                <w:szCs w:val="16"/>
                <w:color w:val="auto"/>
              </w:rPr>
              <w:t>2001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59"/>
              <w:spacing w:after="0"/>
              <w:rPr>
                <w:sz w:val="20"/>
                <w:szCs w:val="20"/>
                <w:color w:val="auto"/>
              </w:rPr>
            </w:pPr>
            <w:r>
              <w:rPr>
                <w:rFonts w:ascii="Arial" w:cs="Arial" w:eastAsia="Arial" w:hAnsi="Arial"/>
                <w:sz w:val="16"/>
                <w:szCs w:val="16"/>
                <w:color w:val="auto"/>
              </w:rPr>
              <w:t>2018</w:t>
            </w:r>
          </w:p>
        </w:tc>
      </w:tr>
      <w:tr>
        <w:trPr>
          <w:trHeight w:val="33"/>
        </w:trPr>
        <w:tc>
          <w:tcPr>
            <w:tcW w:w="9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4"/>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2018</w:t>
            </w:r>
          </w:p>
        </w:tc>
      </w:tr>
      <w:tr>
        <w:trPr>
          <w:trHeight w:val="33"/>
        </w:trPr>
        <w:tc>
          <w:tcPr>
            <w:tcW w:w="9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ind w:left="800" w:hanging="792"/>
        <w:spacing w:after="0"/>
        <w:tabs>
          <w:tab w:leader="none" w:pos="8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Lease Guarantees </w:t>
      </w:r>
      <w:r>
        <w:rPr>
          <w:rFonts w:ascii="Arial" w:cs="Arial" w:eastAsia="Arial" w:hAnsi="Arial"/>
          <w:sz w:val="19"/>
          <w:szCs w:val="19"/>
          <w:color w:val="auto"/>
        </w:rPr>
        <w:t>- The Company assigned its interest, and is contingently liable, under certain real estate leases. These leases have varying</w:t>
      </w:r>
      <w:r>
        <w:rPr>
          <w:rFonts w:ascii="Arial" w:cs="Arial" w:eastAsia="Arial" w:hAnsi="Arial"/>
          <w:sz w:val="19"/>
          <w:szCs w:val="19"/>
          <w:i w:val="1"/>
          <w:iCs w:val="1"/>
          <w:color w:val="auto"/>
        </w:rPr>
        <w:t xml:space="preserve"> </w:t>
      </w:r>
      <w:r>
        <w:rPr>
          <w:rFonts w:ascii="Arial" w:cs="Arial" w:eastAsia="Arial" w:hAnsi="Arial"/>
          <w:sz w:val="19"/>
          <w:szCs w:val="19"/>
          <w:color w:val="auto"/>
        </w:rPr>
        <w:t>terms, the latest of which expires in 2032. As of December 29, 2019, the undiscounted payments the Company could be required to make in the event of non-payment by the primary lessees was approximately $31.2 million. The present value of these potential payments discounted at the Company’s incremental borrowing rate as of December 29, 2019 was approximately $24.7 million. In the event of default, the indemnity clauses in the Company’s purchase and sale agreements govern its ability to pursue and recover damages incurred. As of December 29, 2019, the Company recorded a contingent lease liability of $0.8 million.</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Purchase Obligations - </w:t>
      </w:r>
      <w:r>
        <w:rPr>
          <w:rFonts w:ascii="Arial" w:cs="Arial" w:eastAsia="Arial" w:hAnsi="Arial"/>
          <w:sz w:val="19"/>
          <w:szCs w:val="19"/>
          <w:color w:val="auto"/>
        </w:rPr>
        <w:t>Purchase obligations were $312.0 million and $364.3 million as of December 29, 2019 and December 30, 2018,</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respectively. These purchase obligations are primarily due within five years, however, commitments with various vendors extend through January 2028. Outstanding commitments consist primarily of food and beverage products related to normal business operations, advertising, restaurant-level service contracts and technology. In 2019, the Company purchased approximately 95% of its U.S. beef raw materials from four beef suppliers that represent more than 80% of the total beef marketplace in the U.S.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In relation to various legal matters, the Company had $3.0 million and $2.8 million of liability recorded as of</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29, 2019 and December 30, 2018, respectively. During 2019, 2018 and 2017, the Company recognized $1.3 million, $1.6 million and $1.2 million, respectively, in Other restaurant operating expense in the Company’s Consolidated Statements of Operations and Comprehensive Income for certain legal settlements.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Insurance - </w:t>
      </w:r>
      <w:r>
        <w:rPr>
          <w:rFonts w:ascii="Arial" w:cs="Arial" w:eastAsia="Arial" w:hAnsi="Arial"/>
          <w:sz w:val="20"/>
          <w:szCs w:val="20"/>
          <w:color w:val="auto"/>
        </w:rPr>
        <w:t>As of December 29, 2019, the future undiscounted payments the Company expects for workers’ compensation, general liability and</w:t>
      </w:r>
      <w:r>
        <w:rPr>
          <w:rFonts w:ascii="Arial" w:cs="Arial" w:eastAsia="Arial" w:hAnsi="Arial"/>
          <w:sz w:val="20"/>
          <w:szCs w:val="20"/>
          <w:i w:val="1"/>
          <w:iCs w:val="1"/>
          <w:color w:val="auto"/>
        </w:rPr>
        <w:t xml:space="preserve"> </w:t>
      </w:r>
      <w:r>
        <w:rPr>
          <w:rFonts w:ascii="Arial" w:cs="Arial" w:eastAsia="Arial" w:hAnsi="Arial"/>
          <w:sz w:val="20"/>
          <w:szCs w:val="20"/>
          <w:color w:val="auto"/>
        </w:rPr>
        <w:t>health insurance claims 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3"/>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20,468</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2021</w:t>
            </w:r>
          </w:p>
        </w:tc>
        <w:tc>
          <w:tcPr>
            <w:tcW w:w="5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11,316</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7,341</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2023</w:t>
            </w:r>
          </w:p>
        </w:tc>
        <w:tc>
          <w:tcPr>
            <w:tcW w:w="5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4,216</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2,392</w:t>
            </w:r>
          </w:p>
        </w:tc>
      </w:tr>
      <w:tr>
        <w:trPr>
          <w:trHeight w:val="270"/>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11,220</w:t>
            </w:r>
          </w:p>
        </w:tc>
      </w:tr>
      <w:tr>
        <w:trPr>
          <w:trHeight w:val="255"/>
        </w:trPr>
        <w:tc>
          <w:tcPr>
            <w:tcW w:w="9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56,953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 xml:space="preserve">The following is a reconciliation of the expected aggregate undiscounted reserves to the discounted reserves for insurance claims recognized on the Company’s </w:t>
      </w:r>
      <w:r>
        <w:rPr>
          <w:rFonts w:ascii="Arial" w:cs="Arial" w:eastAsia="Arial" w:hAnsi="Arial"/>
          <w:sz w:val="20"/>
          <w:szCs w:val="20"/>
          <w:color w:val="252525"/>
        </w:rPr>
        <w:t>Consolidated Balance Sheets</w:t>
      </w:r>
      <w:r>
        <w:rPr>
          <w:rFonts w:ascii="Arial" w:cs="Arial" w:eastAsia="Arial" w:hAnsi="Arial"/>
          <w:sz w:val="20"/>
          <w:szCs w:val="20"/>
          <w:color w:val="auto"/>
        </w:rPr>
        <w:t xml:space="preserve"> as of the periods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30,</w:t>
            </w:r>
          </w:p>
        </w:tc>
      </w:tr>
      <w:tr>
        <w:trPr>
          <w:trHeight w:val="20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Undiscounted reserves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56,953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60,473</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Discount (1)</w:t>
            </w:r>
          </w:p>
        </w:tc>
        <w:tc>
          <w:tcPr>
            <w:tcW w:w="1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(4,647)</w:t>
            </w:r>
          </w:p>
        </w:tc>
      </w:tr>
      <w:tr>
        <w:trPr>
          <w:trHeight w:val="40"/>
        </w:trPr>
        <w:tc>
          <w:tcPr>
            <w:tcW w:w="8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Discounted reserves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54,318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55,826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Discounted reserves recognized in the Company’s Consolidated Balance Sheets: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20,500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22,055</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33,818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33,771</w:t>
            </w:r>
          </w:p>
        </w:tc>
      </w:tr>
      <w:tr>
        <w:trPr>
          <w:trHeight w:val="224"/>
        </w:trPr>
        <w:tc>
          <w:tcPr>
            <w:tcW w:w="8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54,318</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55,826</w:t>
            </w:r>
          </w:p>
        </w:tc>
      </w:tr>
      <w:tr>
        <w:trPr>
          <w:trHeight w:val="33"/>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Discount rates of 1.61% and 2.77% were used for December 29, 2019 and December 30, 2018, respectively.</w:t>
      </w:r>
    </w:p>
    <w:p>
      <w:pPr>
        <w:spacing w:after="0" w:line="17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Segment Reporting</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whom the Company has determined to be its Chief Operating Decision Maker. The Company aggregates its operating segments into two reportable segments, U.S. and international. The U.S. segment includes all restaurants operating in the U.S. while restaurants operating outside the U.S. are included in the international segment.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reporting segments as of December 29,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6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6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00" w:type="dxa"/>
            <w:vAlign w:val="bottom"/>
          </w:tcPr>
          <w:p>
            <w:pPr>
              <w:jc w:val="right"/>
              <w:ind w:right="11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14"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 xml:space="preserve">Segment accounting policies are the same as those described in Note 2 -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revenues by segment,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3,687,918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3,687,239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3,760,867</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451,471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439,174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462,269</w:t>
            </w:r>
          </w:p>
        </w:tc>
      </w:tr>
      <w:tr>
        <w:trPr>
          <w:trHeight w:val="250"/>
        </w:trPr>
        <w:tc>
          <w:tcPr>
            <w:tcW w:w="640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4,139,389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4,126,413</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4,223,136</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40"/>
          </w:cols>
          <w:pgMar w:left="240" w:top="121" w:right="21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is a reconciliation of segment income from operations to Income before provision (benefit) for income taxes,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311,666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288,959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289,971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44,428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22,001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28,798</w:t>
            </w: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Total segment income from operations</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356,094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310,960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318,769</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Unallocated corporate operating expense</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(180,083)</w:t>
            </w: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Total income from operations</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191,090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145,253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138,686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extinguishment and modification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14,912</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(41,392)</w:t>
            </w:r>
          </w:p>
        </w:tc>
      </w:tr>
      <w:tr>
        <w:trPr>
          <w:trHeight w:val="250"/>
        </w:trPr>
        <w:tc>
          <w:tcPr>
            <w:tcW w:w="6400" w:type="dxa"/>
            <w:vAlign w:val="bottom"/>
          </w:tcPr>
          <w:p>
            <w:pPr>
              <w:ind w:left="500"/>
              <w:spacing w:after="0"/>
              <w:rPr>
                <w:sz w:val="20"/>
                <w:szCs w:val="20"/>
                <w:color w:val="auto"/>
              </w:rPr>
            </w:pPr>
            <w:r>
              <w:rPr>
                <w:rFonts w:ascii="Arial" w:cs="Arial" w:eastAsia="Arial" w:hAnsi="Arial"/>
                <w:sz w:val="16"/>
                <w:szCs w:val="16"/>
                <w:color w:val="auto"/>
              </w:rPr>
              <w:t>Income before provision (benefit) for income taxes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141,690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100,305</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111,137</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152,881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158,307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149,976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27,491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27,796</w:t>
            </w:r>
          </w:p>
        </w:tc>
      </w:tr>
      <w:tr>
        <w:trPr>
          <w:trHeight w:val="270"/>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16,439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16,982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14,510</w:t>
            </w:r>
          </w:p>
        </w:tc>
      </w:tr>
      <w:tr>
        <w:trPr>
          <w:trHeight w:val="244"/>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depreciation and amortization</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196,811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201,593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192,282</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capital expenditures by segment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121,646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162,207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209,260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28,496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36,962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33,302</w:t>
            </w:r>
          </w:p>
        </w:tc>
      </w:tr>
      <w:tr>
        <w:trPr>
          <w:trHeight w:val="270"/>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8,885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11,754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13,280</w:t>
            </w:r>
          </w:p>
        </w:tc>
      </w:tr>
      <w:tr>
        <w:trPr>
          <w:trHeight w:val="244"/>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capital expenditures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159,027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210,923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255,842</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Total assets by segment as of the periods indicated:</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DECEMBER 29, 2019</w:t>
            </w:r>
          </w:p>
        </w:tc>
        <w:tc>
          <w:tcPr>
            <w:tcW w:w="15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DECEMBER 30, 2018</w:t>
            </w:r>
          </w:p>
        </w:tc>
      </w:tr>
      <w:tr>
        <w:trPr>
          <w:trHeight w:val="250"/>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040" w:type="dxa"/>
            <w:vAlign w:val="bottom"/>
          </w:tcPr>
          <w:p>
            <w:pPr>
              <w:ind w:left="260"/>
              <w:spacing w:after="0"/>
              <w:rPr>
                <w:sz w:val="20"/>
                <w:szCs w:val="20"/>
                <w:color w:val="auto"/>
              </w:rPr>
            </w:pPr>
            <w:r>
              <w:rPr>
                <w:rFonts w:ascii="Arial" w:cs="Arial" w:eastAsia="Arial" w:hAnsi="Arial"/>
                <w:sz w:val="16"/>
                <w:szCs w:val="16"/>
                <w:color w:val="auto"/>
              </w:rPr>
              <w:t>U.S.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2,941,831</w:t>
            </w:r>
          </w:p>
        </w:tc>
        <w:tc>
          <w:tcPr>
            <w:tcW w:w="120" w:type="dxa"/>
            <w:vAlign w:val="bottom"/>
          </w:tcPr>
          <w:p>
            <w:pPr>
              <w:spacing w:after="0"/>
              <w:rPr>
                <w:sz w:val="20"/>
                <w:szCs w:val="20"/>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1,841,482</w:t>
            </w:r>
          </w:p>
        </w:tc>
      </w:tr>
      <w:tr>
        <w:trPr>
          <w:trHeight w:val="33"/>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462,308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401,557</w:t>
            </w:r>
          </w:p>
        </w:tc>
      </w:tr>
      <w:tr>
        <w:trPr>
          <w:trHeight w:val="270"/>
        </w:trPr>
        <w:tc>
          <w:tcPr>
            <w:tcW w:w="8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Corporate</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188,544</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221,735</w:t>
            </w:r>
          </w:p>
        </w:tc>
      </w:tr>
      <w:tr>
        <w:trPr>
          <w:trHeight w:val="244"/>
        </w:trPr>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3,592,683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2,464,774</w:t>
            </w:r>
          </w:p>
        </w:tc>
      </w:tr>
      <w:tr>
        <w:trPr>
          <w:trHeight w:val="20"/>
        </w:trPr>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2" w:right="2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Geographic areas </w:t>
      </w:r>
      <w:r>
        <w:rPr>
          <w:rFonts w:ascii="Arial" w:cs="Arial" w:eastAsia="Arial" w:hAnsi="Arial"/>
          <w:sz w:val="20"/>
          <w:szCs w:val="20"/>
          <w:color w:val="auto"/>
        </w:rPr>
        <w:t>— International assets are defined as assets residing in a country other than the U.S. The following table details long-lived</w:t>
      </w:r>
      <w:r>
        <w:rPr>
          <w:rFonts w:ascii="Arial" w:cs="Arial" w:eastAsia="Arial" w:hAnsi="Arial"/>
          <w:sz w:val="20"/>
          <w:szCs w:val="20"/>
          <w:i w:val="1"/>
          <w:iCs w:val="1"/>
          <w:color w:val="auto"/>
        </w:rPr>
        <w:t xml:space="preserve"> </w:t>
      </w:r>
      <w:r>
        <w:rPr>
          <w:rFonts w:ascii="Arial" w:cs="Arial" w:eastAsia="Arial" w:hAnsi="Arial"/>
          <w:sz w:val="20"/>
          <w:szCs w:val="20"/>
          <w:color w:val="auto"/>
        </w:rPr>
        <w:t>assets, excluding goodwill, operating lease right-of-use assets, intangible assets and deferred tax assets, by major geographic area as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29, 2019</w:t>
            </w:r>
          </w:p>
        </w:tc>
        <w:tc>
          <w:tcPr>
            <w:tcW w:w="15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DECEMBER 30, 2018</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1,023,146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1,107,679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Brazil</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113,795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115,560</w:t>
            </w:r>
          </w:p>
        </w:tc>
      </w:tr>
      <w:tr>
        <w:trPr>
          <w:trHeight w:val="27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16,246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13,663</w:t>
            </w: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1,153,187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1,236,902</w:t>
            </w:r>
          </w:p>
        </w:tc>
      </w:tr>
      <w:tr>
        <w:trPr>
          <w:trHeight w:val="20"/>
        </w:trPr>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International revenues are defined as revenues generated from restaurant sales originating in a country other than the U.S. The following table details Total revenues by major geographic area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3,687,918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3,687,239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3,760,867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Brazil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393,700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376,317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410,249</w:t>
            </w:r>
          </w:p>
        </w:tc>
      </w:tr>
      <w:tr>
        <w:trPr>
          <w:trHeight w:val="27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57,771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62,857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52,020</w:t>
            </w: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4,139,389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4,126,413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4,223,136</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Selected Quarterly Financial Data (Unaudited)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2019 FISCAL QUARTERS</w:t>
            </w:r>
          </w:p>
        </w:tc>
        <w:tc>
          <w:tcPr>
            <w:tcW w:w="300" w:type="dxa"/>
            <w:vAlign w:val="bottom"/>
          </w:tcPr>
          <w:p>
            <w:pPr>
              <w:spacing w:after="0"/>
              <w:rPr>
                <w:sz w:val="14"/>
                <w:szCs w:val="14"/>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FIRST (1)</w:t>
            </w:r>
          </w:p>
        </w:tc>
        <w:tc>
          <w:tcPr>
            <w:tcW w:w="26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SECOND (1)</w:t>
            </w:r>
          </w:p>
        </w:tc>
        <w:tc>
          <w:tcPr>
            <w:tcW w:w="280" w:type="dxa"/>
            <w:vAlign w:val="bottom"/>
          </w:tcPr>
          <w:p>
            <w:pPr>
              <w:spacing w:after="0"/>
              <w:rPr>
                <w:sz w:val="14"/>
                <w:szCs w:val="1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THIRD (1)</w:t>
            </w:r>
          </w:p>
        </w:tc>
        <w:tc>
          <w:tcPr>
            <w:tcW w:w="240" w:type="dxa"/>
            <w:vAlign w:val="bottom"/>
          </w:tcPr>
          <w:p>
            <w:pPr>
              <w:spacing w:after="0"/>
              <w:rPr>
                <w:sz w:val="14"/>
                <w:szCs w:val="14"/>
                <w:color w:val="auto"/>
              </w:rPr>
            </w:pPr>
          </w:p>
        </w:tc>
        <w:tc>
          <w:tcPr>
            <w:tcW w:w="13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FOURTH (1)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3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1,128,131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1,021,930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967,144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1,022,184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82,494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43,460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21,958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43,178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Net income attributable to Bloomin’ Brands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64,300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29,021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9,248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28,004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2018 FISCAL QUARTERS</w:t>
            </w:r>
          </w:p>
        </w:tc>
        <w:tc>
          <w:tcPr>
            <w:tcW w:w="300" w:type="dxa"/>
            <w:vAlign w:val="bottom"/>
          </w:tcPr>
          <w:p>
            <w:pPr>
              <w:spacing w:after="0"/>
              <w:rPr>
                <w:sz w:val="24"/>
                <w:szCs w:val="24"/>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FIRST (2)</w:t>
            </w:r>
          </w:p>
        </w:tc>
        <w:tc>
          <w:tcPr>
            <w:tcW w:w="260" w:type="dxa"/>
            <w:vAlign w:val="bottom"/>
          </w:tcPr>
          <w:p>
            <w:pPr>
              <w:spacing w:after="0"/>
              <w:rPr>
                <w:sz w:val="24"/>
                <w:szCs w:val="2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SECOND (2)</w:t>
            </w:r>
          </w:p>
        </w:tc>
        <w:tc>
          <w:tcPr>
            <w:tcW w:w="280" w:type="dxa"/>
            <w:vAlign w:val="bottom"/>
          </w:tcPr>
          <w:p>
            <w:pPr>
              <w:spacing w:after="0"/>
              <w:rPr>
                <w:sz w:val="24"/>
                <w:szCs w:val="2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THIRD (2)</w:t>
            </w:r>
          </w:p>
        </w:tc>
        <w:tc>
          <w:tcPr>
            <w:tcW w:w="240" w:type="dxa"/>
            <w:vAlign w:val="bottom"/>
          </w:tcPr>
          <w:p>
            <w:pPr>
              <w:spacing w:after="0"/>
              <w:rPr>
                <w:sz w:val="24"/>
                <w:szCs w:val="24"/>
                <w:color w:val="auto"/>
              </w:rPr>
            </w:pPr>
          </w:p>
        </w:tc>
        <w:tc>
          <w:tcPr>
            <w:tcW w:w="13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FOURTH (2)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3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1,116,465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1,031,814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965,021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1,013,113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78,371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32,924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12,537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21,421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66,137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Net income attributable to Bloomin’ Brands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65,398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26,721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4,072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10,907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0.71</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____________________</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Income from operations in the first, second, third and fourth quarters include expense of $6.0 million, $3.7 million, $3.9 million and $4.0 million, respectively, for impairments, closing costs and severance related to certain restructuring activities and the relocation of certain restaurants. Income from operations in the third and fourth quarters also include $3.8 million of gains related to the sale of certain surplus properties and $6.0 million of benefit from the recognition of certain value-added tax credits in Brazil, respectively.</w:t>
      </w:r>
    </w:p>
    <w:p>
      <w:pPr>
        <w:spacing w:after="0" w:line="1"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Income from operations in the first, second, third and fourth quarters include expense of $4.5 million, $9.5 million, $6.9 million and $21.8 million, respectively, for impairments, closing costs and severance related to certain restructuring activities and the relocation of certain restaurants.</w:t>
      </w:r>
    </w:p>
    <w:p>
      <w:pPr>
        <w:sectPr>
          <w:pgSz w:w="11900" w:h="16838" w:orient="portrait"/>
          <w:cols w:equalWidth="0" w:num="1">
            <w:col w:w="11420"/>
          </w:cols>
          <w:pgMar w:left="240" w:top="121"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1" w:right="23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have established and maintain disclosure controls and procedures that are designed to ensure that information required to be disclosed by us in the reports that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December 29, 2019.</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report on our internal control over financial reporting and the attestation report of PricewaterhouseCoopers LLP, our independent registered certified public accounting firm, on our internal control over financial reporting are included in Item 8, Financial Statements and Supplementary Data, of this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our most recent quarter ended December 29, 2019 that have materially affected, or are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by this item relating to our directors and nominees will be included under the captions “Proposal No. 1: Election of Directors—Nominees for Election at this Annual Meeting” and “—Directors Continuing in Office” in our definitive Proxy Statement for the 2020 Annual Meeting of Stockholders (“Definitive Proxy Statement”) and is incorporated herein by reference.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relating to our executive officers is included under the caption “Information About Our Executive Officers” in Part I of this Report on Form 10-K.</w:t>
      </w:r>
    </w:p>
    <w:p>
      <w:pPr>
        <w:spacing w:after="0" w:line="190"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information required by this item regarding compliance with Section 16(a) of the Securities Act of 1934 will be included under the caption “Ownership of Securities—Delinquent Section 16(a) Reports” in our Definitive Proxy Statement and is incorporated herein by reference.</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adopted a Business Conduct and Code of Ethics that applies to all employees. A copy of our Business Conduct and Code of Ethics is available on our website, free of charge. The Internet address for our website is www.bloominbrands.com, and the Business Conduct and Code of Ethics may be found on our main webpage by clicking first on “Investors” and then on “Governance—Governance Documents” and next on “Code of Business Conduct and Ethics.”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intend to satisfy any disclosure requirement under Item 5.05 of Form 8-K regarding an amendment to, or waiver from, a provision of this code of ethics by posting such information on our website, on the webpage found by clicking through to “Code of Business Conduct and Ethics” as specified above.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regarding our Audit Committee will be included under the caption “Proposal No. 1: Election of Directors —Board Committees and Meetings” in our Definitive Proxy Statement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information required by this item will be included under the captions “Proposal No. 1: Election of Directors—Director Compensation” and “Executive Compensation and Related Information” in our Definitive Proxy Statement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will be included under the caption “Ownership of Securities” in our Definitive Proxy Statement and is incorporated herein by reference.</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relating to securities authorized for issuance under equity compensation plans is included under the caption “Securities Authorized for Issuance Under Equity Compensation Plans” in Item 5 of this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“Proposal No. 1: Election of Directors—Independent Directors,” in each case in our Definitive Proxy Statement, and is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information required by this item will be included under the captions “Proposal No. 2: Ratification of Independent Registered Certified Public Accounting Firm—Principal Accountant Fees and Services” and “—Policy on Audit Committee Pre-Approval of Audit and Permissible Non-Audit Services of Independent Auditor” in our Definitive Proxy Statement and is incorporated herein by reference.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9"/>
          <w:szCs w:val="19"/>
          <w:color w:val="auto"/>
        </w:rPr>
        <w:t>LISTING OF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consolidated financial statements of the Company and subsidiaries are included in Item 8 of this Report:</w:t>
      </w:r>
    </w:p>
    <w:p>
      <w:pPr>
        <w:spacing w:after="0" w:line="229"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Consolidated Balance Sheets – December 29, 2019 and December 30, 2018</w:t>
      </w:r>
    </w:p>
    <w:p>
      <w:pPr>
        <w:spacing w:after="0" w:line="15" w:lineRule="exact"/>
        <w:rPr>
          <w:rFonts w:ascii="Arial" w:cs="Arial" w:eastAsia="Arial" w:hAnsi="Arial"/>
          <w:sz w:val="20"/>
          <w:szCs w:val="20"/>
          <w:b w:val="1"/>
          <w:bCs w:val="1"/>
          <w:color w:val="auto"/>
        </w:rPr>
      </w:pPr>
    </w:p>
    <w:p>
      <w:pPr>
        <w:ind w:left="660" w:hanging="328"/>
        <w:spacing w:after="0"/>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Consolidated Statements of Operations and Comprehensive Income – Fiscal years 2019, 2018, and 2017</w:t>
      </w:r>
    </w:p>
    <w:p>
      <w:pPr>
        <w:ind w:left="660" w:hanging="328"/>
        <w:spacing w:after="0"/>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Consolidated Statements of Changes in Stockholders’ Equity – Fiscal years 2019, 2018, and 2017</w:t>
      </w:r>
    </w:p>
    <w:p>
      <w:pPr>
        <w:ind w:left="660" w:hanging="328"/>
        <w:spacing w:after="0"/>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Consolidated Statements of Cash Flows – Fiscal years 2019, 2018, and 2017</w:t>
      </w:r>
    </w:p>
    <w:p>
      <w:pPr>
        <w:ind w:left="660" w:hanging="328"/>
        <w:spacing w:after="0"/>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(a)(2) FINANCIAL STATEMENT SCHEDULES</w:t>
      </w:r>
    </w:p>
    <w:p>
      <w:pPr>
        <w:spacing w:after="0" w:line="22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(a)(3) EXHIBITS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6740" w:type="dxa"/>
            <w:vAlign w:val="bottom"/>
            <w:gridSpan w:val="2"/>
          </w:tcPr>
          <w:p>
            <w:pPr>
              <w:ind w:left="222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bl>
    <w:p>
      <w:pPr>
        <w:spacing w:after="0" w:line="132" w:lineRule="exact"/>
        <w:rPr>
          <w:sz w:val="20"/>
          <w:szCs w:val="20"/>
          <w:color w:val="auto"/>
        </w:rPr>
      </w:pPr>
    </w:p>
    <w:p>
      <w:pPr>
        <w:sectPr>
          <w:pgSz w:w="11900" w:h="16838" w:orient="portrait"/>
          <w:cols w:equalWidth="0" w:num="1">
            <w:col w:w="11420"/>
          </w:cols>
          <w:pgMar w:left="240" w:top="121" w:right="239" w:bottom="1440" w:gutter="0" w:footer="0" w:header="0"/>
        </w:sectPr>
      </w:pPr>
    </w:p>
    <w:tbl>
      <w:tblPr>
        <w:tblLayout w:type="fixed"/>
        <w:tblInd w:w="400" w:type="dxa"/>
        <w:tblCellMar>
          <w:top w:w="0" w:type="dxa"/>
          <w:left w:w="0" w:type="dxa"/>
          <w:bottom w:w="0" w:type="dxa"/>
          <w:right w:w="0" w:type="dxa"/>
        </w:tblCellMar>
      </w:tblPr>
      <w:tr>
        <w:trPr>
          <w:trHeight w:val="250"/>
        </w:trPr>
        <w:tc>
          <w:tcPr>
            <w:tcW w:w="800" w:type="dxa"/>
            <w:vAlign w:val="bottom"/>
          </w:tcPr>
          <w:p>
            <w:pPr>
              <w:jc w:val="right"/>
              <w:ind w:right="441"/>
              <w:spacing w:after="0"/>
              <w:rPr>
                <w:sz w:val="20"/>
                <w:szCs w:val="20"/>
                <w:color w:val="auto"/>
              </w:rPr>
            </w:pPr>
            <w:r>
              <w:rPr>
                <w:rFonts w:ascii="Arial" w:cs="Arial" w:eastAsia="Arial" w:hAnsi="Arial"/>
                <w:sz w:val="20"/>
                <w:szCs w:val="20"/>
                <w:color w:val="auto"/>
                <w:w w:val="86"/>
              </w:rPr>
              <w:t>3.1</w:t>
            </w:r>
          </w:p>
        </w:tc>
        <w:tc>
          <w:tcPr>
            <w:tcW w:w="6380" w:type="dxa"/>
            <w:vAlign w:val="bottom"/>
            <w:gridSpan w:val="2"/>
            <w:vMerge w:val="restart"/>
          </w:tcPr>
          <w:p>
            <w:pPr>
              <w:spacing w:after="0"/>
              <w:rPr>
                <w:rFonts w:ascii="Arial" w:cs="Arial" w:eastAsia="Arial" w:hAnsi="Arial"/>
                <w:sz w:val="20"/>
                <w:szCs w:val="20"/>
                <w:color w:val="0000FF"/>
                <w:w w:val="90"/>
              </w:rPr>
            </w:pPr>
            <w:hyperlink r:id="rId63">
              <w:r>
                <w:rPr>
                  <w:rFonts w:ascii="Arial" w:cs="Arial" w:eastAsia="Arial" w:hAnsi="Arial"/>
                  <w:sz w:val="20"/>
                  <w:szCs w:val="20"/>
                  <w:color w:val="0000FF"/>
                  <w:w w:val="90"/>
                </w:rPr>
                <w:t>Second Amended and Restated Certificate of Incorporation of Bloomin’ Brands,</w:t>
              </w:r>
            </w:hyperlink>
          </w:p>
        </w:tc>
        <w:tc>
          <w:tcPr>
            <w:tcW w:w="0" w:type="dxa"/>
            <w:vAlign w:val="bottom"/>
          </w:tcPr>
          <w:p>
            <w:pPr>
              <w:spacing w:after="0"/>
              <w:rPr>
                <w:sz w:val="1"/>
                <w:szCs w:val="1"/>
                <w:color w:val="auto"/>
              </w:rPr>
            </w:pPr>
          </w:p>
        </w:tc>
      </w:tr>
      <w:tr>
        <w:trPr>
          <w:trHeight w:val="42"/>
        </w:trPr>
        <w:tc>
          <w:tcPr>
            <w:tcW w:w="800" w:type="dxa"/>
            <w:vAlign w:val="bottom"/>
          </w:tcPr>
          <w:p>
            <w:pPr>
              <w:spacing w:after="0"/>
              <w:rPr>
                <w:sz w:val="3"/>
                <w:szCs w:val="3"/>
                <w:color w:val="auto"/>
              </w:rPr>
            </w:pPr>
          </w:p>
        </w:tc>
        <w:tc>
          <w:tcPr>
            <w:tcW w:w="6380" w:type="dxa"/>
            <w:vAlign w:val="bottom"/>
            <w:tcBorders>
              <w:bottom w:val="single" w:sz="8" w:color="0000FF"/>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00" w:type="dxa"/>
            <w:vAlign w:val="bottom"/>
            <w:tcBorders>
              <w:bottom w:val="single" w:sz="8" w:color="0000FF"/>
            </w:tcBorders>
          </w:tcPr>
          <w:p>
            <w:pPr>
              <w:spacing w:after="0" w:line="209" w:lineRule="exact"/>
              <w:rPr>
                <w:rFonts w:ascii="Arial" w:cs="Arial" w:eastAsia="Arial" w:hAnsi="Arial"/>
                <w:sz w:val="20"/>
                <w:szCs w:val="20"/>
                <w:color w:val="0000FF"/>
                <w:w w:val="86"/>
              </w:rPr>
            </w:pPr>
            <w:hyperlink r:id="rId63">
              <w:r>
                <w:rPr>
                  <w:rFonts w:ascii="Arial" w:cs="Arial" w:eastAsia="Arial" w:hAnsi="Arial"/>
                  <w:sz w:val="20"/>
                  <w:szCs w:val="20"/>
                  <w:color w:val="0000FF"/>
                  <w:w w:val="86"/>
                </w:rPr>
                <w:t>Inc.</w:t>
              </w:r>
            </w:hyperlink>
          </w:p>
        </w:tc>
        <w:tc>
          <w:tcPr>
            <w:tcW w:w="6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400"/>
        <w:spacing w:after="0"/>
        <w:tabs>
          <w:tab w:leader="none" w:pos="1180" w:val="left"/>
        </w:tabs>
        <w:rPr>
          <w:rFonts w:ascii="Arial" w:cs="Arial" w:eastAsia="Arial" w:hAnsi="Arial"/>
          <w:sz w:val="18"/>
          <w:szCs w:val="18"/>
          <w:u w:val="single" w:color="auto"/>
          <w:color w:val="0000FF"/>
        </w:rPr>
      </w:pPr>
      <w:r>
        <w:rPr>
          <w:rFonts w:ascii="Arial" w:cs="Arial" w:eastAsia="Arial" w:hAnsi="Arial"/>
          <w:sz w:val="20"/>
          <w:szCs w:val="20"/>
          <w:color w:val="auto"/>
        </w:rPr>
        <w:t>3.2</w:t>
      </w:r>
      <w:r>
        <w:rPr>
          <w:sz w:val="20"/>
          <w:szCs w:val="20"/>
          <w:color w:val="auto"/>
        </w:rPr>
        <w:tab/>
      </w:r>
      <w:hyperlink r:id="rId64">
        <w:r>
          <w:rPr>
            <w:rFonts w:ascii="Arial" w:cs="Arial" w:eastAsia="Arial" w:hAnsi="Arial"/>
            <w:sz w:val="18"/>
            <w:szCs w:val="18"/>
            <w:u w:val="single" w:color="auto"/>
            <w:color w:val="0000FF"/>
          </w:rPr>
          <w:t>Third Amended and Restated Bylaws of Bloomin’ Brands, Inc.</w:t>
        </w:r>
      </w:hyperlink>
    </w:p>
    <w:p>
      <w:pPr>
        <w:spacing w:after="0" w:line="337" w:lineRule="exact"/>
        <w:rPr>
          <w:sz w:val="20"/>
          <w:szCs w:val="20"/>
          <w:color w:val="auto"/>
        </w:rPr>
      </w:pPr>
    </w:p>
    <w:p>
      <w:pPr>
        <w:ind w:left="400"/>
        <w:spacing w:after="0"/>
        <w:tabs>
          <w:tab w:leader="none" w:pos="1180" w:val="left"/>
        </w:tabs>
        <w:rPr>
          <w:rFonts w:ascii="Arial" w:cs="Arial" w:eastAsia="Arial" w:hAnsi="Arial"/>
          <w:sz w:val="18"/>
          <w:szCs w:val="18"/>
          <w:u w:val="single" w:color="auto"/>
          <w:color w:val="0000FF"/>
        </w:rPr>
      </w:pPr>
      <w:r>
        <w:rPr>
          <w:rFonts w:ascii="Arial" w:cs="Arial" w:eastAsia="Arial" w:hAnsi="Arial"/>
          <w:sz w:val="20"/>
          <w:szCs w:val="20"/>
          <w:color w:val="auto"/>
        </w:rPr>
        <w:t>4.1</w:t>
      </w:r>
      <w:r>
        <w:rPr>
          <w:sz w:val="20"/>
          <w:szCs w:val="20"/>
          <w:color w:val="auto"/>
        </w:rPr>
        <w:tab/>
      </w:r>
      <w:hyperlink r:id="rId65">
        <w:r>
          <w:rPr>
            <w:rFonts w:ascii="Arial" w:cs="Arial" w:eastAsia="Arial" w:hAnsi="Arial"/>
            <w:sz w:val="18"/>
            <w:szCs w:val="18"/>
            <w:u w:val="single" w:color="auto"/>
            <w:color w:val="0000FF"/>
          </w:rPr>
          <w:t>Form of Common Stock Certificate</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Registration Statement on Form S-8, File No. 333-183270, filed on August 13, 2012, Exhibit 4.1</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December 7, 2018 Form 8-K, Exhibit 3.1</w:t>
      </w:r>
    </w:p>
    <w:p>
      <w:pPr>
        <w:spacing w:after="0" w:line="268"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Amendment No. 4 to Registration Statement on Form S-1, File No. 333-180615, filed on July 18, 2012, Exhibit 4.1</w:t>
      </w:r>
    </w:p>
    <w:p>
      <w:pPr>
        <w:spacing w:after="0" w:line="87" w:lineRule="exact"/>
        <w:rPr>
          <w:sz w:val="20"/>
          <w:szCs w:val="20"/>
          <w:color w:val="auto"/>
        </w:rPr>
      </w:pPr>
    </w:p>
    <w:p>
      <w:pPr>
        <w:sectPr>
          <w:pgSz w:w="11900" w:h="16838" w:orient="portrait"/>
          <w:cols w:equalWidth="0" w:num="2">
            <w:col w:w="7580" w:space="340"/>
            <w:col w:w="3500"/>
          </w:cols>
          <w:pgMar w:left="240" w:top="121" w:right="239" w:bottom="1440" w:gutter="0" w:footer="0" w:header="0"/>
          <w:type w:val="continuous"/>
        </w:sectPr>
      </w:pPr>
    </w:p>
    <w:tbl>
      <w:tblPr>
        <w:tblLayout w:type="fixed"/>
        <w:tblInd w:w="360" w:type="dxa"/>
        <w:tblCellMar>
          <w:top w:w="0" w:type="dxa"/>
          <w:left w:w="0" w:type="dxa"/>
          <w:bottom w:w="0" w:type="dxa"/>
          <w:right w:w="0" w:type="dxa"/>
        </w:tblCellMar>
      </w:tblPr>
      <w:tr>
        <w:trPr>
          <w:trHeight w:val="230"/>
        </w:trPr>
        <w:tc>
          <w:tcPr>
            <w:tcW w:w="840" w:type="dxa"/>
            <w:vAlign w:val="bottom"/>
          </w:tcPr>
          <w:p>
            <w:pPr>
              <w:jc w:val="right"/>
              <w:ind w:right="441"/>
              <w:spacing w:after="0"/>
              <w:rPr>
                <w:sz w:val="20"/>
                <w:szCs w:val="20"/>
                <w:color w:val="auto"/>
              </w:rPr>
            </w:pPr>
            <w:r>
              <w:rPr>
                <w:rFonts w:ascii="Arial" w:cs="Arial" w:eastAsia="Arial" w:hAnsi="Arial"/>
                <w:sz w:val="20"/>
                <w:szCs w:val="20"/>
                <w:color w:val="auto"/>
              </w:rPr>
              <w:t>4.2</w:t>
            </w:r>
          </w:p>
        </w:tc>
        <w:tc>
          <w:tcPr>
            <w:tcW w:w="6600" w:type="dxa"/>
            <w:vAlign w:val="bottom"/>
            <w:gridSpan w:val="5"/>
          </w:tcPr>
          <w:p>
            <w:pPr>
              <w:spacing w:after="0"/>
              <w:rPr>
                <w:rFonts w:ascii="Arial" w:cs="Arial" w:eastAsia="Arial" w:hAnsi="Arial"/>
                <w:sz w:val="20"/>
                <w:szCs w:val="20"/>
                <w:color w:val="0000FF"/>
              </w:rPr>
            </w:pPr>
            <w:hyperlink w:anchor="page110">
              <w:r>
                <w:rPr>
                  <w:rFonts w:ascii="Arial" w:cs="Arial" w:eastAsia="Arial" w:hAnsi="Arial"/>
                  <w:sz w:val="20"/>
                  <w:szCs w:val="20"/>
                  <w:color w:val="0000FF"/>
                </w:rPr>
                <w:t>Description of Common Stock</w:t>
              </w:r>
            </w:hyperlink>
          </w:p>
        </w:tc>
        <w:tc>
          <w:tcPr>
            <w:tcW w:w="3300" w:type="dxa"/>
            <w:vAlign w:val="bottom"/>
          </w:tcPr>
          <w:p>
            <w:pPr>
              <w:ind w:left="120"/>
              <w:spacing w:after="0"/>
              <w:rPr>
                <w:sz w:val="20"/>
                <w:szCs w:val="20"/>
                <w:color w:val="auto"/>
              </w:rPr>
            </w:pPr>
            <w:r>
              <w:rPr>
                <w:rFonts w:ascii="Arial" w:cs="Arial" w:eastAsia="Arial" w:hAnsi="Arial"/>
                <w:sz w:val="20"/>
                <w:szCs w:val="20"/>
                <w:color w:val="auto"/>
              </w:rPr>
              <w:t>Filed herewith</w:t>
            </w:r>
          </w:p>
        </w:tc>
      </w:tr>
      <w:tr>
        <w:trPr>
          <w:trHeight w:val="20"/>
        </w:trPr>
        <w:tc>
          <w:tcPr>
            <w:tcW w:w="84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85"/>
        </w:trPr>
        <w:tc>
          <w:tcPr>
            <w:tcW w:w="840" w:type="dxa"/>
            <w:vAlign w:val="bottom"/>
          </w:tcPr>
          <w:p>
            <w:pPr>
              <w:jc w:val="right"/>
              <w:ind w:right="401"/>
              <w:spacing w:after="0"/>
              <w:rPr>
                <w:sz w:val="20"/>
                <w:szCs w:val="20"/>
                <w:color w:val="auto"/>
              </w:rPr>
            </w:pPr>
            <w:r>
              <w:rPr>
                <w:rFonts w:ascii="Arial" w:cs="Arial" w:eastAsia="Arial" w:hAnsi="Arial"/>
                <w:sz w:val="20"/>
                <w:szCs w:val="20"/>
                <w:color w:val="auto"/>
                <w:w w:val="82"/>
              </w:rPr>
              <w:t>10.1</w:t>
            </w:r>
          </w:p>
        </w:tc>
        <w:tc>
          <w:tcPr>
            <w:tcW w:w="6600" w:type="dxa"/>
            <w:vAlign w:val="bottom"/>
            <w:gridSpan w:val="5"/>
          </w:tcPr>
          <w:p>
            <w:pPr>
              <w:spacing w:after="0"/>
              <w:rPr>
                <w:rFonts w:ascii="Arial" w:cs="Arial" w:eastAsia="Arial" w:hAnsi="Arial"/>
                <w:sz w:val="20"/>
                <w:szCs w:val="20"/>
                <w:color w:val="0000FF"/>
                <w:w w:val="92"/>
              </w:rPr>
            </w:pPr>
            <w:hyperlink r:id="rId66">
              <w:r>
                <w:rPr>
                  <w:rFonts w:ascii="Arial" w:cs="Arial" w:eastAsia="Arial" w:hAnsi="Arial"/>
                  <w:sz w:val="20"/>
                  <w:szCs w:val="20"/>
                  <w:color w:val="0000FF"/>
                  <w:w w:val="92"/>
                </w:rPr>
                <w:t>Credit Agreement dated as of November 30, 2017, among Bloomin’ Brands, Inc.,</w:t>
              </w:r>
            </w:hyperlink>
          </w:p>
        </w:tc>
        <w:tc>
          <w:tcPr>
            <w:tcW w:w="3300" w:type="dxa"/>
            <w:vAlign w:val="bottom"/>
          </w:tcPr>
          <w:p>
            <w:pPr>
              <w:ind w:left="120"/>
              <w:spacing w:after="0"/>
              <w:rPr>
                <w:sz w:val="20"/>
                <w:szCs w:val="20"/>
                <w:color w:val="auto"/>
              </w:rPr>
            </w:pPr>
            <w:r>
              <w:rPr>
                <w:rFonts w:ascii="Arial" w:cs="Arial" w:eastAsia="Arial" w:hAnsi="Arial"/>
                <w:sz w:val="20"/>
                <w:szCs w:val="20"/>
                <w:color w:val="auto"/>
                <w:w w:val="91"/>
              </w:rPr>
              <w:t>December 31, 2017 Form 10-K, Exhibit</w:t>
            </w:r>
          </w:p>
        </w:tc>
      </w:tr>
      <w:tr>
        <w:trPr>
          <w:trHeight w:val="210"/>
        </w:trPr>
        <w:tc>
          <w:tcPr>
            <w:tcW w:w="840" w:type="dxa"/>
            <w:vAlign w:val="bottom"/>
          </w:tcPr>
          <w:p>
            <w:pPr>
              <w:spacing w:after="0"/>
              <w:rPr>
                <w:sz w:val="18"/>
                <w:szCs w:val="18"/>
                <w:color w:val="auto"/>
              </w:rPr>
            </w:pPr>
          </w:p>
        </w:tc>
        <w:tc>
          <w:tcPr>
            <w:tcW w:w="6460" w:type="dxa"/>
            <w:vAlign w:val="bottom"/>
            <w:tcBorders>
              <w:top w:val="single" w:sz="8" w:color="0000FF"/>
            </w:tcBorders>
            <w:gridSpan w:val="4"/>
          </w:tcPr>
          <w:p>
            <w:pPr>
              <w:spacing w:after="0" w:line="209" w:lineRule="exact"/>
              <w:rPr>
                <w:rFonts w:ascii="Arial" w:cs="Arial" w:eastAsia="Arial" w:hAnsi="Arial"/>
                <w:sz w:val="20"/>
                <w:szCs w:val="20"/>
                <w:color w:val="0000FF"/>
                <w:w w:val="90"/>
              </w:rPr>
            </w:pPr>
            <w:hyperlink r:id="rId66">
              <w:r>
                <w:rPr>
                  <w:rFonts w:ascii="Arial" w:cs="Arial" w:eastAsia="Arial" w:hAnsi="Arial"/>
                  <w:sz w:val="20"/>
                  <w:szCs w:val="20"/>
                  <w:color w:val="0000FF"/>
                  <w:w w:val="90"/>
                </w:rPr>
                <w:t>OSI Restaurant Partners, LLC, the lenders party thereto, and Wells Fargo Bank,</w:t>
              </w:r>
            </w:hyperlink>
          </w:p>
        </w:tc>
        <w:tc>
          <w:tcPr>
            <w:tcW w:w="140" w:type="dxa"/>
            <w:vAlign w:val="bottom"/>
          </w:tcPr>
          <w:p>
            <w:pPr>
              <w:spacing w:after="0"/>
              <w:rPr>
                <w:sz w:val="18"/>
                <w:szCs w:val="18"/>
                <w:color w:val="auto"/>
              </w:rPr>
            </w:pPr>
          </w:p>
        </w:tc>
        <w:tc>
          <w:tcPr>
            <w:tcW w:w="3300" w:type="dxa"/>
            <w:vAlign w:val="bottom"/>
          </w:tcPr>
          <w:p>
            <w:pPr>
              <w:ind w:left="120"/>
              <w:spacing w:after="0" w:line="209" w:lineRule="exact"/>
              <w:rPr>
                <w:sz w:val="20"/>
                <w:szCs w:val="20"/>
                <w:color w:val="auto"/>
              </w:rPr>
            </w:pPr>
            <w:r>
              <w:rPr>
                <w:rFonts w:ascii="Arial" w:cs="Arial" w:eastAsia="Arial" w:hAnsi="Arial"/>
                <w:sz w:val="20"/>
                <w:szCs w:val="20"/>
                <w:color w:val="auto"/>
              </w:rPr>
              <w:t>10.38</w:t>
            </w:r>
          </w:p>
        </w:tc>
      </w:tr>
      <w:tr>
        <w:trPr>
          <w:trHeight w:val="210"/>
        </w:trPr>
        <w:tc>
          <w:tcPr>
            <w:tcW w:w="840" w:type="dxa"/>
            <w:vAlign w:val="bottom"/>
          </w:tcPr>
          <w:p>
            <w:pPr>
              <w:spacing w:after="0"/>
              <w:rPr>
                <w:sz w:val="18"/>
                <w:szCs w:val="18"/>
                <w:color w:val="auto"/>
              </w:rPr>
            </w:pPr>
          </w:p>
        </w:tc>
        <w:tc>
          <w:tcPr>
            <w:tcW w:w="6300" w:type="dxa"/>
            <w:vAlign w:val="bottom"/>
            <w:tcBorders>
              <w:top w:val="single" w:sz="8" w:color="0000FF"/>
            </w:tcBorders>
            <w:gridSpan w:val="3"/>
          </w:tcPr>
          <w:p>
            <w:pPr>
              <w:spacing w:after="0" w:line="209" w:lineRule="exact"/>
              <w:rPr>
                <w:rFonts w:ascii="Arial" w:cs="Arial" w:eastAsia="Arial" w:hAnsi="Arial"/>
                <w:sz w:val="20"/>
                <w:szCs w:val="20"/>
                <w:color w:val="0000FF"/>
              </w:rPr>
            </w:pPr>
            <w:hyperlink r:id="rId66">
              <w:r>
                <w:rPr>
                  <w:rFonts w:ascii="Arial" w:cs="Arial" w:eastAsia="Arial" w:hAnsi="Arial"/>
                  <w:sz w:val="20"/>
                  <w:szCs w:val="20"/>
                  <w:color w:val="0000FF"/>
                </w:rPr>
                <w:t>National Association, as administrative agent</w:t>
              </w:r>
            </w:hyperlink>
          </w:p>
        </w:tc>
        <w:tc>
          <w:tcPr>
            <w:tcW w:w="300" w:type="dxa"/>
            <w:vAlign w:val="bottom"/>
            <w:gridSpan w:val="2"/>
          </w:tcPr>
          <w:p>
            <w:pPr>
              <w:spacing w:after="0"/>
              <w:rPr>
                <w:sz w:val="18"/>
                <w:szCs w:val="18"/>
                <w:color w:val="auto"/>
              </w:rPr>
            </w:pPr>
          </w:p>
        </w:tc>
        <w:tc>
          <w:tcPr>
            <w:tcW w:w="330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ind w:left="1200" w:hanging="841"/>
        <w:spacing w:after="0" w:line="273" w:lineRule="auto"/>
        <w:tabs>
          <w:tab w:leader="none" w:pos="1180" w:val="left"/>
        </w:tabs>
        <w:rPr>
          <w:rFonts w:ascii="Arial" w:cs="Arial" w:eastAsia="Arial" w:hAnsi="Arial"/>
          <w:sz w:val="18"/>
          <w:szCs w:val="18"/>
          <w:u w:val="single" w:color="auto"/>
          <w:color w:val="0000FF"/>
        </w:rPr>
      </w:pPr>
      <w:r>
        <w:rPr>
          <w:rFonts w:ascii="Arial" w:cs="Arial" w:eastAsia="Arial" w:hAnsi="Arial"/>
          <w:sz w:val="20"/>
          <w:szCs w:val="20"/>
          <w:color w:val="auto"/>
        </w:rPr>
        <w:t>10.2</w:t>
      </w:r>
      <w:r>
        <w:rPr>
          <w:sz w:val="20"/>
          <w:szCs w:val="20"/>
          <w:color w:val="auto"/>
        </w:rPr>
        <w:tab/>
      </w:r>
      <w:hyperlink r:id="rId67">
        <w:r>
          <w:rPr>
            <w:rFonts w:ascii="Arial" w:cs="Arial" w:eastAsia="Arial" w:hAnsi="Arial"/>
            <w:sz w:val="18"/>
            <w:szCs w:val="18"/>
            <w:u w:val="single" w:color="auto"/>
            <w:color w:val="0000FF"/>
          </w:rPr>
          <w:t>Royalty Agreement dated April 1995 among Carrabba’s Italian Grill, Inc.,</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Outback Steakhouse, Inc., Mangia Beve, Inc., Carrabba, Inc., Carrabba Woodway,</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Inc., John C. Carrabba, III, Damian C. Mandola, and John C. Carrabba, Jr., as</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amended by First Amendment to Royalty Agreement dated January 1997 and</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Second Amendment to Royalty Agreement made and entered into effective April</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7, 2010 by and among Carrabba’s Italian Grill, LLC, OSI Restaurant Partners,</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LLC, Mangia Beve, Inc., Mangia Beve II, Inc., Original, Inc., Voss, Inc., John C.</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Carrabba, III, Damian C. Mandola, and John C. Carrabba, Jr.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10.6</w:t>
      </w:r>
    </w:p>
    <w:p>
      <w:pPr>
        <w:spacing w:after="0" w:line="1269" w:lineRule="exact"/>
        <w:rPr>
          <w:rFonts w:ascii="Arial" w:cs="Arial" w:eastAsia="Arial" w:hAnsi="Arial"/>
          <w:sz w:val="18"/>
          <w:szCs w:val="18"/>
          <w:u w:val="single" w:color="auto"/>
          <w:color w:val="0000FF"/>
        </w:rPr>
      </w:pPr>
    </w:p>
    <w:p>
      <w:pPr>
        <w:sectPr>
          <w:pgSz w:w="11900" w:h="16838" w:orient="portrait"/>
          <w:cols w:equalWidth="0" w:num="2">
            <w:col w:w="7720" w:space="200"/>
            <w:col w:w="3500"/>
          </w:cols>
          <w:pgMar w:left="240" w:top="121" w:right="239" w:bottom="1440" w:gutter="0" w:footer="0" w:header="0"/>
          <w:type w:val="continuous"/>
        </w:sectPr>
      </w:pPr>
    </w:p>
    <w:tbl>
      <w:tblPr>
        <w:tblLayout w:type="fixed"/>
        <w:tblInd w:w="360" w:type="dxa"/>
        <w:tblCellMar>
          <w:top w:w="0" w:type="dxa"/>
          <w:left w:w="0" w:type="dxa"/>
          <w:bottom w:w="0" w:type="dxa"/>
          <w:right w:w="0" w:type="dxa"/>
        </w:tblCellMar>
      </w:tblPr>
      <w:tr>
        <w:trPr>
          <w:trHeight w:val="230"/>
        </w:trPr>
        <w:tc>
          <w:tcPr>
            <w:tcW w:w="840" w:type="dxa"/>
            <w:vAlign w:val="bottom"/>
          </w:tcPr>
          <w:p>
            <w:pPr>
              <w:jc w:val="right"/>
              <w:ind w:right="401"/>
              <w:spacing w:after="0"/>
              <w:rPr>
                <w:sz w:val="20"/>
                <w:szCs w:val="20"/>
                <w:color w:val="auto"/>
              </w:rPr>
            </w:pPr>
            <w:r>
              <w:rPr>
                <w:rFonts w:ascii="Arial" w:cs="Arial" w:eastAsia="Arial" w:hAnsi="Arial"/>
                <w:sz w:val="20"/>
                <w:szCs w:val="20"/>
                <w:color w:val="auto"/>
                <w:w w:val="82"/>
              </w:rPr>
              <w:t>10.3</w:t>
            </w:r>
          </w:p>
        </w:tc>
        <w:tc>
          <w:tcPr>
            <w:tcW w:w="9840" w:type="dxa"/>
            <w:vAlign w:val="bottom"/>
            <w:gridSpan w:val="5"/>
          </w:tcPr>
          <w:p>
            <w:pPr>
              <w:spacing w:after="0"/>
              <w:rPr>
                <w:rFonts w:ascii="Arial" w:cs="Arial" w:eastAsia="Arial" w:hAnsi="Arial"/>
                <w:sz w:val="20"/>
                <w:szCs w:val="20"/>
                <w:color w:val="0000FF"/>
                <w:w w:val="91"/>
              </w:rPr>
            </w:pPr>
            <w:hyperlink r:id="rId68">
              <w:r>
                <w:rPr>
                  <w:rFonts w:ascii="Arial" w:cs="Arial" w:eastAsia="Arial" w:hAnsi="Arial"/>
                  <w:sz w:val="20"/>
                  <w:szCs w:val="20"/>
                  <w:color w:val="0000FF"/>
                  <w:w w:val="91"/>
                </w:rPr>
                <w:t xml:space="preserve">Third Amendment to Royalty Agreement made and entered into effective June 1,   </w:t>
              </w:r>
            </w:hyperlink>
            <w:r>
              <w:rPr>
                <w:rFonts w:ascii="Arial" w:cs="Arial" w:eastAsia="Arial" w:hAnsi="Arial"/>
                <w:sz w:val="20"/>
                <w:szCs w:val="20"/>
                <w:color w:val="000000"/>
                <w:w w:val="91"/>
              </w:rPr>
              <w:t>June</w:t>
            </w:r>
            <w:r>
              <w:rPr>
                <w:rFonts w:ascii="Arial" w:cs="Arial" w:eastAsia="Arial" w:hAnsi="Arial"/>
                <w:sz w:val="20"/>
                <w:szCs w:val="20"/>
                <w:color w:val="0000FF"/>
                <w:w w:val="91"/>
              </w:rPr>
              <w:t xml:space="preserve"> </w:t>
            </w:r>
            <w:r>
              <w:rPr>
                <w:rFonts w:ascii="Arial" w:cs="Arial" w:eastAsia="Arial" w:hAnsi="Arial"/>
                <w:sz w:val="20"/>
                <w:szCs w:val="20"/>
                <w:color w:val="000000"/>
                <w:w w:val="91"/>
              </w:rPr>
              <w:t>29, 2014 Form 10-Q, Exhibit 10.6</w:t>
            </w:r>
          </w:p>
        </w:tc>
      </w:tr>
      <w:tr>
        <w:trPr>
          <w:trHeight w:val="20"/>
        </w:trPr>
        <w:tc>
          <w:tcPr>
            <w:tcW w:w="84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9840" w:type="dxa"/>
            <w:vAlign w:val="bottom"/>
            <w:gridSpan w:val="5"/>
          </w:tcPr>
          <w:p>
            <w:pPr>
              <w:spacing w:after="0" w:line="209" w:lineRule="exact"/>
              <w:rPr>
                <w:rFonts w:ascii="Arial" w:cs="Arial" w:eastAsia="Arial" w:hAnsi="Arial"/>
                <w:sz w:val="20"/>
                <w:szCs w:val="20"/>
                <w:color w:val="0000FF"/>
              </w:rPr>
            </w:pPr>
            <w:hyperlink r:id="rId68">
              <w:r>
                <w:rPr>
                  <w:rFonts w:ascii="Arial" w:cs="Arial" w:eastAsia="Arial" w:hAnsi="Arial"/>
                  <w:sz w:val="20"/>
                  <w:szCs w:val="20"/>
                  <w:color w:val="0000FF"/>
                </w:rPr>
                <w:t>2014, by and among Carrabba’s Italian Grill, LLC, OSI Restaurant Partners, LLC,</w:t>
              </w:r>
            </w:hyperlink>
          </w:p>
        </w:tc>
      </w:tr>
      <w:tr>
        <w:trPr>
          <w:trHeight w:val="210"/>
        </w:trPr>
        <w:tc>
          <w:tcPr>
            <w:tcW w:w="840" w:type="dxa"/>
            <w:vAlign w:val="bottom"/>
          </w:tcPr>
          <w:p>
            <w:pPr>
              <w:spacing w:after="0"/>
              <w:rPr>
                <w:sz w:val="18"/>
                <w:szCs w:val="18"/>
                <w:color w:val="auto"/>
              </w:rPr>
            </w:pPr>
          </w:p>
        </w:tc>
        <w:tc>
          <w:tcPr>
            <w:tcW w:w="5940" w:type="dxa"/>
            <w:vAlign w:val="bottom"/>
            <w:tcBorders>
              <w:top w:val="single" w:sz="8" w:color="0000FF"/>
              <w:bottom w:val="single" w:sz="8" w:color="0000FF"/>
            </w:tcBorders>
            <w:gridSpan w:val="2"/>
          </w:tcPr>
          <w:p>
            <w:pPr>
              <w:spacing w:after="0" w:line="209" w:lineRule="exact"/>
              <w:rPr>
                <w:rFonts w:ascii="Arial" w:cs="Arial" w:eastAsia="Arial" w:hAnsi="Arial"/>
                <w:sz w:val="20"/>
                <w:szCs w:val="20"/>
                <w:color w:val="0000FF"/>
                <w:w w:val="91"/>
              </w:rPr>
            </w:pPr>
            <w:hyperlink r:id="rId68">
              <w:r>
                <w:rPr>
                  <w:rFonts w:ascii="Arial" w:cs="Arial" w:eastAsia="Arial" w:hAnsi="Arial"/>
                  <w:sz w:val="20"/>
                  <w:szCs w:val="20"/>
                  <w:color w:val="0000FF"/>
                  <w:w w:val="91"/>
                </w:rPr>
                <w:t>Mangia Beve, Inc., Mangia Beve II, Inc., Original, Inc., Voss, Inc., John C.</w:t>
              </w:r>
            </w:hyperlink>
          </w:p>
        </w:tc>
        <w:tc>
          <w:tcPr>
            <w:tcW w:w="560" w:type="dxa"/>
            <w:vAlign w:val="bottom"/>
            <w:tcBorders>
              <w:top w:val="single" w:sz="8" w:color="0000FF"/>
            </w:tcBorders>
            <w:gridSpan w:val="2"/>
          </w:tcPr>
          <w:p>
            <w:pPr>
              <w:spacing w:after="0"/>
              <w:rPr>
                <w:sz w:val="18"/>
                <w:szCs w:val="18"/>
                <w:color w:val="auto"/>
              </w:rPr>
            </w:pPr>
          </w:p>
        </w:tc>
        <w:tc>
          <w:tcPr>
            <w:tcW w:w="334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9840" w:type="dxa"/>
            <w:vAlign w:val="bottom"/>
            <w:gridSpan w:val="5"/>
          </w:tcPr>
          <w:p>
            <w:pPr>
              <w:spacing w:after="0" w:line="209" w:lineRule="exact"/>
              <w:rPr>
                <w:rFonts w:ascii="Arial" w:cs="Arial" w:eastAsia="Arial" w:hAnsi="Arial"/>
                <w:sz w:val="20"/>
                <w:szCs w:val="20"/>
                <w:color w:val="0000FF"/>
              </w:rPr>
            </w:pPr>
            <w:hyperlink r:id="rId68">
              <w:r>
                <w:rPr>
                  <w:rFonts w:ascii="Arial" w:cs="Arial" w:eastAsia="Arial" w:hAnsi="Arial"/>
                  <w:sz w:val="20"/>
                  <w:szCs w:val="20"/>
                  <w:color w:val="0000FF"/>
                </w:rPr>
                <w:t>Carrabba, III, Damian C. Mandola, and John C. Carrabba, Jr.</w:t>
              </w:r>
            </w:hyperlink>
          </w:p>
        </w:tc>
      </w:tr>
      <w:tr>
        <w:trPr>
          <w:trHeight w:val="480"/>
        </w:trPr>
        <w:tc>
          <w:tcPr>
            <w:tcW w:w="840" w:type="dxa"/>
            <w:vAlign w:val="bottom"/>
          </w:tcPr>
          <w:p>
            <w:pPr>
              <w:spacing w:after="0"/>
              <w:rPr>
                <w:sz w:val="24"/>
                <w:szCs w:val="24"/>
                <w:color w:val="auto"/>
              </w:rPr>
            </w:pPr>
          </w:p>
        </w:tc>
        <w:tc>
          <w:tcPr>
            <w:tcW w:w="4820" w:type="dxa"/>
            <w:vAlign w:val="bottom"/>
            <w:tcBorders>
              <w:top w:val="single" w:sz="8" w:color="0000FF"/>
            </w:tcBorders>
          </w:tcPr>
          <w:p>
            <w:pPr>
              <w:ind w:left="4380"/>
              <w:spacing w:after="0"/>
              <w:rPr>
                <w:sz w:val="20"/>
                <w:szCs w:val="20"/>
                <w:color w:val="auto"/>
              </w:rPr>
            </w:pPr>
            <w:r>
              <w:rPr>
                <w:rFonts w:ascii="Arial" w:cs="Arial" w:eastAsia="Arial" w:hAnsi="Arial"/>
                <w:sz w:val="18"/>
                <w:szCs w:val="18"/>
                <w:color w:val="auto"/>
              </w:rPr>
              <w:t>104</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6700" w:type="dxa"/>
            <w:vAlign w:val="bottom"/>
            <w:gridSpan w:val="6"/>
          </w:tcPr>
          <w:p>
            <w:pPr>
              <w:ind w:left="218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338"/>
        </w:trPr>
        <w:tc>
          <w:tcPr>
            <w:tcW w:w="1040" w:type="dxa"/>
            <w:vAlign w:val="bottom"/>
          </w:tcPr>
          <w:p>
            <w:pPr>
              <w:jc w:val="center"/>
              <w:spacing w:after="0"/>
              <w:rPr>
                <w:sz w:val="20"/>
                <w:szCs w:val="20"/>
                <w:color w:val="auto"/>
              </w:rPr>
            </w:pPr>
            <w:r>
              <w:rPr>
                <w:rFonts w:ascii="Arial" w:cs="Arial" w:eastAsia="Arial" w:hAnsi="Arial"/>
                <w:sz w:val="20"/>
                <w:szCs w:val="20"/>
                <w:color w:val="auto"/>
                <w:w w:val="87"/>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20" w:type="dxa"/>
            <w:vAlign w:val="bottom"/>
            <w:tcBorders>
              <w:bottom w:val="single" w:sz="8" w:color="0000FF"/>
            </w:tcBorders>
            <w:gridSpan w:val="4"/>
          </w:tcPr>
          <w:p>
            <w:pPr>
              <w:spacing w:after="0"/>
              <w:rPr>
                <w:rFonts w:ascii="Arial" w:cs="Arial" w:eastAsia="Arial" w:hAnsi="Arial"/>
                <w:sz w:val="20"/>
                <w:szCs w:val="20"/>
                <w:color w:val="0000FF"/>
                <w:w w:val="90"/>
              </w:rPr>
            </w:pPr>
            <w:hyperlink r:id="rId69">
              <w:r>
                <w:rPr>
                  <w:rFonts w:ascii="Arial" w:cs="Arial" w:eastAsia="Arial" w:hAnsi="Arial"/>
                  <w:sz w:val="20"/>
                  <w:szCs w:val="20"/>
                  <w:color w:val="0000FF"/>
                  <w:w w:val="90"/>
                </w:rPr>
                <w:t>Fourth Amendment to Royalty Agreement made and entered into effective May 1,</w:t>
              </w:r>
            </w:hyperlink>
          </w:p>
        </w:tc>
        <w:tc>
          <w:tcPr>
            <w:tcW w:w="180" w:type="dxa"/>
            <w:vAlign w:val="bottom"/>
            <w:gridSpan w:val="2"/>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25, 2017 Form 10-Q, Exhibit 10.1</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6"/>
          </w:tcPr>
          <w:p>
            <w:pPr>
              <w:spacing w:after="0" w:line="209" w:lineRule="exact"/>
              <w:rPr>
                <w:rFonts w:ascii="Arial" w:cs="Arial" w:eastAsia="Arial" w:hAnsi="Arial"/>
                <w:sz w:val="20"/>
                <w:szCs w:val="20"/>
                <w:color w:val="0000FF"/>
                <w:w w:val="93"/>
              </w:rPr>
            </w:pPr>
            <w:hyperlink r:id="rId69">
              <w:r>
                <w:rPr>
                  <w:rFonts w:ascii="Arial" w:cs="Arial" w:eastAsia="Arial" w:hAnsi="Arial"/>
                  <w:sz w:val="20"/>
                  <w:szCs w:val="20"/>
                  <w:color w:val="0000FF"/>
                  <w:w w:val="93"/>
                </w:rPr>
                <w:t>2017, by and among Carrabba’s Italian Grill, LLC, OSI Restaurant Partners, LLC,</w:t>
              </w:r>
            </w:hyperlink>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tcBorders>
              <w:top w:val="single" w:sz="8" w:color="0000FF"/>
              <w:bottom w:val="single" w:sz="8" w:color="0000FF"/>
            </w:tcBorders>
            <w:gridSpan w:val="2"/>
          </w:tcPr>
          <w:p>
            <w:pPr>
              <w:spacing w:after="0" w:line="209" w:lineRule="exact"/>
              <w:rPr>
                <w:rFonts w:ascii="Arial" w:cs="Arial" w:eastAsia="Arial" w:hAnsi="Arial"/>
                <w:sz w:val="20"/>
                <w:szCs w:val="20"/>
                <w:color w:val="0000FF"/>
                <w:w w:val="91"/>
              </w:rPr>
            </w:pPr>
            <w:hyperlink r:id="rId69">
              <w:r>
                <w:rPr>
                  <w:rFonts w:ascii="Arial" w:cs="Arial" w:eastAsia="Arial" w:hAnsi="Arial"/>
                  <w:sz w:val="20"/>
                  <w:szCs w:val="20"/>
                  <w:color w:val="0000FF"/>
                  <w:w w:val="91"/>
                </w:rPr>
                <w:t>Mangia Beve, Inc., Mangia Beve II, Inc., Original, Inc., Voss, Inc., John C.</w:t>
              </w:r>
            </w:hyperlink>
          </w:p>
        </w:tc>
        <w:tc>
          <w:tcPr>
            <w:tcW w:w="560" w:type="dxa"/>
            <w:vAlign w:val="bottom"/>
            <w:tcBorders>
              <w:top w:val="single" w:sz="8" w:color="0000FF"/>
            </w:tcBorders>
          </w:tcPr>
          <w:p>
            <w:pPr>
              <w:spacing w:after="0"/>
              <w:rPr>
                <w:sz w:val="18"/>
                <w:szCs w:val="18"/>
                <w:color w:val="auto"/>
              </w:rPr>
            </w:pPr>
          </w:p>
        </w:tc>
        <w:tc>
          <w:tcPr>
            <w:tcW w:w="200" w:type="dxa"/>
            <w:vAlign w:val="bottom"/>
            <w:gridSpan w:val="3"/>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6"/>
          </w:tcPr>
          <w:p>
            <w:pPr>
              <w:spacing w:after="0" w:line="209" w:lineRule="exact"/>
              <w:rPr>
                <w:rFonts w:ascii="Arial" w:cs="Arial" w:eastAsia="Arial" w:hAnsi="Arial"/>
                <w:sz w:val="20"/>
                <w:szCs w:val="20"/>
                <w:color w:val="0000FF"/>
              </w:rPr>
            </w:pPr>
            <w:hyperlink r:id="rId69">
              <w:r>
                <w:rPr>
                  <w:rFonts w:ascii="Arial" w:cs="Arial" w:eastAsia="Arial" w:hAnsi="Arial"/>
                  <w:sz w:val="20"/>
                  <w:szCs w:val="20"/>
                  <w:color w:val="0000FF"/>
                </w:rPr>
                <w:t>Carrabba, III, Damian C. Mandola, and John C. Carrabba, Jr.</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121" w:right="239" w:bottom="1440" w:gutter="0" w:footer="0" w:header="0"/>
        </w:sectPr>
      </w:pPr>
    </w:p>
    <w:p>
      <w:pPr>
        <w:ind w:left="1200" w:hanging="841"/>
        <w:spacing w:after="0" w:line="246"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10.5</w:t>
      </w:r>
      <w:r>
        <w:rPr>
          <w:sz w:val="20"/>
          <w:szCs w:val="20"/>
          <w:color w:val="auto"/>
        </w:rPr>
        <w:tab/>
      </w:r>
      <w:hyperlink r:id="rId70">
        <w:r>
          <w:rPr>
            <w:rFonts w:ascii="Arial" w:cs="Arial" w:eastAsia="Arial" w:hAnsi="Arial"/>
            <w:sz w:val="20"/>
            <w:szCs w:val="20"/>
            <w:u w:val="single" w:color="auto"/>
            <w:color w:val="0000FF"/>
          </w:rPr>
          <w:t>Amended and Restated Operating Agreement for OSI/Fleming’s, LLC made as of</w:t>
        </w:r>
      </w:hyperlink>
      <w:r>
        <w:rPr>
          <w:rFonts w:ascii="Arial" w:cs="Arial" w:eastAsia="Arial" w:hAnsi="Arial"/>
          <w:sz w:val="20"/>
          <w:szCs w:val="20"/>
          <w:u w:val="single" w:color="auto"/>
          <w:color w:val="0000FF"/>
        </w:rPr>
        <w:t xml:space="preserve"> </w:t>
      </w:r>
      <w:hyperlink r:id="rId70">
        <w:r>
          <w:rPr>
            <w:rFonts w:ascii="Arial" w:cs="Arial" w:eastAsia="Arial" w:hAnsi="Arial"/>
            <w:sz w:val="20"/>
            <w:szCs w:val="20"/>
            <w:u w:val="single" w:color="auto"/>
            <w:color w:val="0000FF"/>
          </w:rPr>
          <w:t>June 4, 2010 by and among OS Prime, LLC, a wholly-owned subsidiary of OSI</w:t>
        </w:r>
      </w:hyperlink>
      <w:r>
        <w:rPr>
          <w:rFonts w:ascii="Arial" w:cs="Arial" w:eastAsia="Arial" w:hAnsi="Arial"/>
          <w:sz w:val="20"/>
          <w:szCs w:val="20"/>
          <w:u w:val="single" w:color="auto"/>
          <w:color w:val="0000FF"/>
        </w:rPr>
        <w:t xml:space="preserve"> </w:t>
      </w:r>
      <w:hyperlink r:id="rId70">
        <w:r>
          <w:rPr>
            <w:rFonts w:ascii="Arial" w:cs="Arial" w:eastAsia="Arial" w:hAnsi="Arial"/>
            <w:sz w:val="20"/>
            <w:szCs w:val="20"/>
            <w:u w:val="single" w:color="auto"/>
            <w:color w:val="0000FF"/>
          </w:rPr>
          <w:t>Restaurant Partners, LLC, FPSH Limited Partnership and AWA III Steakhouses,</w:t>
        </w:r>
      </w:hyperlink>
      <w:r>
        <w:rPr>
          <w:rFonts w:ascii="Arial" w:cs="Arial" w:eastAsia="Arial" w:hAnsi="Arial"/>
          <w:sz w:val="20"/>
          <w:szCs w:val="20"/>
          <w:u w:val="single" w:color="auto"/>
          <w:color w:val="0000FF"/>
        </w:rPr>
        <w:t xml:space="preserve"> </w:t>
      </w:r>
      <w:hyperlink r:id="rId70">
        <w:r>
          <w:rPr>
            <w:rFonts w:ascii="Arial" w:cs="Arial" w:eastAsia="Arial" w:hAnsi="Arial"/>
            <w:sz w:val="20"/>
            <w:szCs w:val="20"/>
            <w:u w:val="single" w:color="auto"/>
            <w:color w:val="0000FF"/>
          </w:rPr>
          <w:t>Inc.</w:t>
        </w:r>
      </w:hyperlink>
    </w:p>
    <w:p>
      <w:pPr>
        <w:spacing w:after="0" w:line="165" w:lineRule="exact"/>
        <w:rPr>
          <w:rFonts w:ascii="Arial" w:cs="Arial" w:eastAsia="Arial" w:hAnsi="Arial"/>
          <w:sz w:val="20"/>
          <w:szCs w:val="20"/>
          <w:u w:val="single" w:color="auto"/>
          <w:color w:val="0000FF"/>
        </w:rPr>
      </w:pPr>
    </w:p>
    <w:p>
      <w:pPr>
        <w:ind w:left="360"/>
        <w:spacing w:after="0"/>
        <w:tabs>
          <w:tab w:leader="none" w:pos="1180" w:val="left"/>
        </w:tabs>
        <w:rPr>
          <w:rFonts w:ascii="Arial" w:cs="Arial" w:eastAsia="Arial" w:hAnsi="Arial"/>
          <w:sz w:val="16"/>
          <w:szCs w:val="16"/>
          <w:u w:val="single" w:color="auto"/>
          <w:color w:val="0000FF"/>
        </w:rPr>
      </w:pPr>
      <w:r>
        <w:rPr>
          <w:rFonts w:ascii="Arial" w:cs="Arial" w:eastAsia="Arial" w:hAnsi="Arial"/>
          <w:sz w:val="20"/>
          <w:szCs w:val="20"/>
          <w:color w:val="auto"/>
        </w:rPr>
        <w:t>10.6</w:t>
      </w:r>
      <w:r>
        <w:rPr>
          <w:sz w:val="20"/>
          <w:szCs w:val="20"/>
          <w:color w:val="auto"/>
        </w:rPr>
        <w:tab/>
      </w:r>
      <w:hyperlink r:id="rId71">
        <w:r>
          <w:rPr>
            <w:rFonts w:ascii="Arial" w:cs="Arial" w:eastAsia="Arial" w:hAnsi="Arial"/>
            <w:sz w:val="16"/>
            <w:szCs w:val="16"/>
            <w:u w:val="single" w:color="auto"/>
            <w:color w:val="0000FF"/>
          </w:rPr>
          <w:t>Lease, dated January 21, 2014, between OS Southern, LLC and MVP LRS, LLC</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10.8</w:t>
      </w:r>
    </w:p>
    <w:p>
      <w:pPr>
        <w:spacing w:after="0" w:line="389" w:lineRule="exact"/>
        <w:rPr>
          <w:rFonts w:ascii="Arial" w:cs="Arial" w:eastAsia="Arial" w:hAnsi="Arial"/>
          <w:sz w:val="20"/>
          <w:szCs w:val="20"/>
          <w:u w:val="single" w:color="auto"/>
          <w:color w:val="0000FF"/>
        </w:rPr>
      </w:pPr>
    </w:p>
    <w:p>
      <w:pPr>
        <w:ind w:right="320"/>
        <w:spacing w:after="0" w:line="260" w:lineRule="auto"/>
        <w:rPr>
          <w:sz w:val="20"/>
          <w:szCs w:val="20"/>
          <w:color w:val="auto"/>
        </w:rPr>
      </w:pPr>
      <w:r>
        <w:rPr>
          <w:rFonts w:ascii="Arial" w:cs="Arial" w:eastAsia="Arial" w:hAnsi="Arial"/>
          <w:sz w:val="20"/>
          <w:szCs w:val="20"/>
          <w:color w:val="auto"/>
        </w:rPr>
        <w:t>December 31, 2013 Form 10-K, Exhibit 10.28</w:t>
      </w:r>
    </w:p>
    <w:p>
      <w:pPr>
        <w:spacing w:after="0" w:line="136" w:lineRule="exact"/>
        <w:rPr>
          <w:rFonts w:ascii="Arial" w:cs="Arial" w:eastAsia="Arial" w:hAnsi="Arial"/>
          <w:sz w:val="20"/>
          <w:szCs w:val="20"/>
          <w:u w:val="single" w:color="auto"/>
          <w:color w:val="0000FF"/>
        </w:rPr>
      </w:pPr>
    </w:p>
    <w:p>
      <w:pPr>
        <w:sectPr>
          <w:pgSz w:w="11900" w:h="16838" w:orient="portrait"/>
          <w:cols w:equalWidth="0" w:num="2">
            <w:col w:w="7680" w:space="240"/>
            <w:col w:w="3500"/>
          </w:cols>
          <w:pgMar w:left="240" w:top="121" w:right="239" w:bottom="1440" w:gutter="0" w:footer="0" w:header="0"/>
          <w:type w:val="continuous"/>
        </w:sectPr>
      </w:pPr>
    </w:p>
    <w:p>
      <w:pPr>
        <w:ind w:left="1200" w:right="80" w:hanging="89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10.7*</w:t>
      </w:r>
      <w:r>
        <w:rPr>
          <w:sz w:val="20"/>
          <w:szCs w:val="20"/>
          <w:color w:val="auto"/>
        </w:rPr>
        <w:tab/>
      </w:r>
      <w:hyperlink r:id="rId72">
        <w:r>
          <w:rPr>
            <w:rFonts w:ascii="Arial" w:cs="Arial" w:eastAsia="Arial" w:hAnsi="Arial"/>
            <w:sz w:val="20"/>
            <w:szCs w:val="20"/>
            <w:u w:val="single" w:color="auto"/>
            <w:color w:val="0000FF"/>
          </w:rPr>
          <w:t>OSI Restaurant Partners, LLC HCE Deferred Compensation Plan effective</w:t>
        </w:r>
      </w:hyperlink>
      <w:r>
        <w:rPr>
          <w:rFonts w:ascii="Arial" w:cs="Arial" w:eastAsia="Arial" w:hAnsi="Arial"/>
          <w:sz w:val="20"/>
          <w:szCs w:val="20"/>
          <w:u w:val="single" w:color="auto"/>
          <w:color w:val="0000FF"/>
        </w:rPr>
        <w:t xml:space="preserve"> </w:t>
      </w:r>
      <w:hyperlink r:id="rId72">
        <w:r>
          <w:rPr>
            <w:rFonts w:ascii="Arial" w:cs="Arial" w:eastAsia="Arial" w:hAnsi="Arial"/>
            <w:sz w:val="20"/>
            <w:szCs w:val="20"/>
            <w:u w:val="single" w:color="auto"/>
            <w:color w:val="0000FF"/>
          </w:rPr>
          <w:t>October 1, 2007</w:t>
        </w:r>
      </w:hyperlink>
    </w:p>
    <w:p>
      <w:pPr>
        <w:spacing w:after="0" w:line="20" w:lineRule="exact"/>
        <w:rPr>
          <w:sz w:val="20"/>
          <w:szCs w:val="20"/>
          <w:color w:val="auto"/>
        </w:rPr>
      </w:pPr>
      <w:r>
        <w:rPr>
          <w:sz w:val="20"/>
          <w:szCs w:val="20"/>
          <w:color w:val="auto"/>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10.46</w:t>
      </w:r>
    </w:p>
    <w:p>
      <w:pPr>
        <w:spacing w:after="0" w:line="122" w:lineRule="exact"/>
        <w:rPr>
          <w:sz w:val="20"/>
          <w:szCs w:val="20"/>
          <w:color w:val="auto"/>
        </w:rPr>
      </w:pPr>
    </w:p>
    <w:p>
      <w:pPr>
        <w:sectPr>
          <w:pgSz w:w="11900" w:h="16838" w:orient="portrait"/>
          <w:cols w:equalWidth="0" w:num="2">
            <w:col w:w="7200" w:space="720"/>
            <w:col w:w="3500"/>
          </w:cols>
          <w:pgMar w:left="240" w:top="121" w:right="239" w:bottom="1440" w:gutter="0" w:footer="0" w:header="0"/>
          <w:type w:val="continuous"/>
        </w:sectPr>
      </w:pPr>
    </w:p>
    <w:tbl>
      <w:tblPr>
        <w:tblLayout w:type="fixed"/>
        <w:tblInd w:w="300" w:type="dxa"/>
        <w:tblCellMar>
          <w:top w:w="0" w:type="dxa"/>
          <w:left w:w="0" w:type="dxa"/>
          <w:bottom w:w="0" w:type="dxa"/>
          <w:right w:w="0" w:type="dxa"/>
        </w:tblCellMar>
      </w:tblPr>
      <w:tr>
        <w:trPr>
          <w:trHeight w:val="230"/>
        </w:trPr>
        <w:tc>
          <w:tcPr>
            <w:tcW w:w="900" w:type="dxa"/>
            <w:vAlign w:val="bottom"/>
          </w:tcPr>
          <w:p>
            <w:pPr>
              <w:jc w:val="right"/>
              <w:ind w:right="341"/>
              <w:spacing w:after="0"/>
              <w:rPr>
                <w:sz w:val="20"/>
                <w:szCs w:val="20"/>
                <w:color w:val="auto"/>
              </w:rPr>
            </w:pPr>
            <w:r>
              <w:rPr>
                <w:rFonts w:ascii="Arial" w:cs="Arial" w:eastAsia="Arial" w:hAnsi="Arial"/>
                <w:sz w:val="20"/>
                <w:szCs w:val="20"/>
                <w:color w:val="auto"/>
                <w:w w:val="94"/>
              </w:rPr>
              <w:t>10.8*</w:t>
            </w:r>
          </w:p>
        </w:tc>
        <w:tc>
          <w:tcPr>
            <w:tcW w:w="5960" w:type="dxa"/>
            <w:vAlign w:val="bottom"/>
            <w:gridSpan w:val="2"/>
          </w:tcPr>
          <w:p>
            <w:pPr>
              <w:spacing w:after="0"/>
              <w:rPr>
                <w:rFonts w:ascii="Arial" w:cs="Arial" w:eastAsia="Arial" w:hAnsi="Arial"/>
                <w:sz w:val="20"/>
                <w:szCs w:val="20"/>
                <w:color w:val="0000FF"/>
              </w:rPr>
            </w:pPr>
            <w:hyperlink r:id="rId73">
              <w:r>
                <w:rPr>
                  <w:rFonts w:ascii="Arial" w:cs="Arial" w:eastAsia="Arial" w:hAnsi="Arial"/>
                  <w:sz w:val="20"/>
                  <w:szCs w:val="20"/>
                  <w:color w:val="0000FF"/>
                </w:rPr>
                <w:t>Kangaroo Holdings, Inc. 2007 Equity Incentive Plan, as amended</w:t>
              </w:r>
            </w:hyperlink>
          </w:p>
        </w:tc>
        <w:tc>
          <w:tcPr>
            <w:tcW w:w="4020" w:type="dxa"/>
            <w:vAlign w:val="bottom"/>
          </w:tcPr>
          <w:p>
            <w:pPr>
              <w:ind w:left="760"/>
              <w:spacing w:after="0"/>
              <w:rPr>
                <w:sz w:val="20"/>
                <w:szCs w:val="20"/>
                <w:color w:val="auto"/>
              </w:rPr>
            </w:pPr>
            <w:r>
              <w:rPr>
                <w:rFonts w:ascii="Arial" w:cs="Arial" w:eastAsia="Arial" w:hAnsi="Arial"/>
                <w:sz w:val="20"/>
                <w:szCs w:val="20"/>
                <w:color w:val="auto"/>
                <w:w w:val="89"/>
              </w:rPr>
              <w:t>Registration Statement on Form S-1, File</w:t>
            </w:r>
          </w:p>
        </w:tc>
      </w:tr>
      <w:tr>
        <w:trPr>
          <w:trHeight w:val="233"/>
        </w:trPr>
        <w:tc>
          <w:tcPr>
            <w:tcW w:w="900" w:type="dxa"/>
            <w:vAlign w:val="bottom"/>
          </w:tcPr>
          <w:p>
            <w:pPr>
              <w:spacing w:after="0"/>
              <w:rPr>
                <w:sz w:val="20"/>
                <w:szCs w:val="20"/>
                <w:color w:val="auto"/>
              </w:rPr>
            </w:pPr>
          </w:p>
        </w:tc>
        <w:tc>
          <w:tcPr>
            <w:tcW w:w="520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4020" w:type="dxa"/>
            <w:vAlign w:val="bottom"/>
          </w:tcPr>
          <w:p>
            <w:pPr>
              <w:ind w:left="760"/>
              <w:spacing w:after="0"/>
              <w:rPr>
                <w:sz w:val="20"/>
                <w:szCs w:val="20"/>
                <w:color w:val="auto"/>
              </w:rPr>
            </w:pPr>
            <w:r>
              <w:rPr>
                <w:rFonts w:ascii="Arial" w:cs="Arial" w:eastAsia="Arial" w:hAnsi="Arial"/>
                <w:sz w:val="20"/>
                <w:szCs w:val="20"/>
                <w:color w:val="auto"/>
                <w:w w:val="94"/>
              </w:rPr>
              <w:t>No. 333-180615, filed on April 6, 2012,</w:t>
            </w:r>
          </w:p>
        </w:tc>
      </w:tr>
      <w:tr>
        <w:trPr>
          <w:trHeight w:val="250"/>
        </w:trPr>
        <w:tc>
          <w:tcPr>
            <w:tcW w:w="90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20" w:type="dxa"/>
            <w:vAlign w:val="bottom"/>
          </w:tcPr>
          <w:p>
            <w:pPr>
              <w:ind w:left="760"/>
              <w:spacing w:after="0"/>
              <w:rPr>
                <w:sz w:val="20"/>
                <w:szCs w:val="20"/>
                <w:color w:val="auto"/>
              </w:rPr>
            </w:pPr>
            <w:r>
              <w:rPr>
                <w:rFonts w:ascii="Arial" w:cs="Arial" w:eastAsia="Arial" w:hAnsi="Arial"/>
                <w:sz w:val="20"/>
                <w:szCs w:val="20"/>
                <w:color w:val="auto"/>
              </w:rPr>
              <w:t>Exhibit 10.1</w:t>
            </w:r>
          </w:p>
        </w:tc>
      </w:tr>
    </w:tbl>
    <w:p>
      <w:pPr>
        <w:spacing w:after="0" w:line="155"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ind w:left="1200" w:hanging="89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10.9*</w:t>
      </w:r>
      <w:r>
        <w:rPr>
          <w:sz w:val="20"/>
          <w:szCs w:val="20"/>
          <w:color w:val="auto"/>
        </w:rPr>
        <w:tab/>
      </w:r>
      <w:hyperlink r:id="rId74">
        <w:r>
          <w:rPr>
            <w:rFonts w:ascii="Arial" w:cs="Arial" w:eastAsia="Arial" w:hAnsi="Arial"/>
            <w:sz w:val="20"/>
            <w:szCs w:val="20"/>
            <w:u w:val="single" w:color="auto"/>
            <w:color w:val="0000FF"/>
          </w:rPr>
          <w:t>Form of Option Agreement for Options under the Kangaroo Holdings, Inc. 2007</w:t>
        </w:r>
      </w:hyperlink>
      <w:r>
        <w:rPr>
          <w:rFonts w:ascii="Arial" w:cs="Arial" w:eastAsia="Arial" w:hAnsi="Arial"/>
          <w:sz w:val="20"/>
          <w:szCs w:val="20"/>
          <w:u w:val="single" w:color="auto"/>
          <w:color w:val="0000FF"/>
        </w:rPr>
        <w:t xml:space="preserve"> </w:t>
      </w:r>
      <w:hyperlink r:id="rId74">
        <w:r>
          <w:rPr>
            <w:rFonts w:ascii="Arial" w:cs="Arial" w:eastAsia="Arial" w:hAnsi="Arial"/>
            <w:sz w:val="20"/>
            <w:szCs w:val="20"/>
            <w:u w:val="single" w:color="auto"/>
            <w:color w:val="0000FF"/>
          </w:rPr>
          <w:t>Equity Incentive Plan</w:t>
        </w:r>
      </w:hyperlink>
    </w:p>
    <w:p>
      <w:pPr>
        <w:spacing w:after="0" w:line="20" w:lineRule="exact"/>
        <w:rPr>
          <w:sz w:val="20"/>
          <w:szCs w:val="20"/>
          <w:color w:val="auto"/>
        </w:rPr>
      </w:pPr>
      <w:r>
        <w:rPr>
          <w:sz w:val="20"/>
          <w:szCs w:val="20"/>
          <w:color w:val="auto"/>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10.42</w:t>
      </w:r>
    </w:p>
    <w:p>
      <w:pPr>
        <w:spacing w:after="0" w:line="122" w:lineRule="exact"/>
        <w:rPr>
          <w:sz w:val="20"/>
          <w:szCs w:val="20"/>
          <w:color w:val="auto"/>
        </w:rPr>
      </w:pPr>
    </w:p>
    <w:p>
      <w:pPr>
        <w:sectPr>
          <w:pgSz w:w="11900" w:h="16838" w:orient="portrait"/>
          <w:cols w:equalWidth="0" w:num="2">
            <w:col w:w="7560" w:space="360"/>
            <w:col w:w="3500"/>
          </w:cols>
          <w:pgMar w:left="240" w:top="121" w:right="239" w:bottom="1440" w:gutter="0" w:footer="0" w:header="0"/>
          <w:type w:val="continuous"/>
        </w:sectPr>
      </w:pPr>
    </w:p>
    <w:tbl>
      <w:tblPr>
        <w:tblLayout w:type="fixed"/>
        <w:tblInd w:w="260" w:type="dxa"/>
        <w:tblCellMar>
          <w:top w:w="0" w:type="dxa"/>
          <w:left w:w="0" w:type="dxa"/>
          <w:bottom w:w="0" w:type="dxa"/>
          <w:right w:w="0" w:type="dxa"/>
        </w:tblCellMar>
      </w:tblPr>
      <w:tr>
        <w:trPr>
          <w:trHeight w:val="230"/>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10.10*</w:t>
            </w:r>
          </w:p>
        </w:tc>
        <w:tc>
          <w:tcPr>
            <w:tcW w:w="5340" w:type="dxa"/>
            <w:vAlign w:val="bottom"/>
            <w:gridSpan w:val="2"/>
          </w:tcPr>
          <w:p>
            <w:pPr>
              <w:spacing w:after="0"/>
              <w:rPr>
                <w:rFonts w:ascii="Arial" w:cs="Arial" w:eastAsia="Arial" w:hAnsi="Arial"/>
                <w:sz w:val="20"/>
                <w:szCs w:val="20"/>
                <w:color w:val="0000FF"/>
              </w:rPr>
            </w:pPr>
            <w:hyperlink r:id="rId75">
              <w:r>
                <w:rPr>
                  <w:rFonts w:ascii="Arial" w:cs="Arial" w:eastAsia="Arial" w:hAnsi="Arial"/>
                  <w:sz w:val="20"/>
                  <w:szCs w:val="20"/>
                  <w:color w:val="0000FF"/>
                </w:rPr>
                <w:t>Bloomin’ Brands, Inc. 2012 Incentive Award Plan</w:t>
              </w:r>
            </w:hyperlink>
          </w:p>
        </w:tc>
        <w:tc>
          <w:tcPr>
            <w:tcW w:w="4480" w:type="dxa"/>
            <w:vAlign w:val="bottom"/>
          </w:tcPr>
          <w:p>
            <w:pPr>
              <w:ind w:left="1380"/>
              <w:spacing w:after="0"/>
              <w:rPr>
                <w:sz w:val="20"/>
                <w:szCs w:val="20"/>
                <w:color w:val="auto"/>
              </w:rPr>
            </w:pPr>
            <w:r>
              <w:rPr>
                <w:rFonts w:ascii="Arial" w:cs="Arial" w:eastAsia="Arial" w:hAnsi="Arial"/>
                <w:sz w:val="20"/>
                <w:szCs w:val="20"/>
                <w:color w:val="auto"/>
              </w:rPr>
              <w:t>Amendment No. 4 to Registration</w:t>
            </w:r>
          </w:p>
        </w:tc>
      </w:tr>
      <w:tr>
        <w:trPr>
          <w:trHeight w:val="233"/>
        </w:trPr>
        <w:tc>
          <w:tcPr>
            <w:tcW w:w="940" w:type="dxa"/>
            <w:vAlign w:val="bottom"/>
          </w:tcPr>
          <w:p>
            <w:pPr>
              <w:spacing w:after="0"/>
              <w:rPr>
                <w:sz w:val="20"/>
                <w:szCs w:val="20"/>
                <w:color w:val="auto"/>
              </w:rPr>
            </w:pPr>
          </w:p>
        </w:tc>
        <w:tc>
          <w:tcPr>
            <w:tcW w:w="3960" w:type="dxa"/>
            <w:vAlign w:val="bottom"/>
            <w:tcBorders>
              <w:top w:val="single" w:sz="8" w:color="0000FF"/>
            </w:tcBorders>
          </w:tcPr>
          <w:p>
            <w:pPr>
              <w:spacing w:after="0"/>
              <w:rPr>
                <w:sz w:val="20"/>
                <w:szCs w:val="20"/>
                <w:color w:val="auto"/>
              </w:rPr>
            </w:pPr>
          </w:p>
        </w:tc>
        <w:tc>
          <w:tcPr>
            <w:tcW w:w="1380" w:type="dxa"/>
            <w:vAlign w:val="bottom"/>
          </w:tcPr>
          <w:p>
            <w:pPr>
              <w:spacing w:after="0"/>
              <w:rPr>
                <w:sz w:val="20"/>
                <w:szCs w:val="20"/>
                <w:color w:val="auto"/>
              </w:rPr>
            </w:pPr>
          </w:p>
        </w:tc>
        <w:tc>
          <w:tcPr>
            <w:tcW w:w="4480" w:type="dxa"/>
            <w:vAlign w:val="bottom"/>
          </w:tcPr>
          <w:p>
            <w:pPr>
              <w:ind w:left="1380"/>
              <w:spacing w:after="0"/>
              <w:rPr>
                <w:sz w:val="20"/>
                <w:szCs w:val="20"/>
                <w:color w:val="auto"/>
              </w:rPr>
            </w:pPr>
            <w:r>
              <w:rPr>
                <w:rFonts w:ascii="Arial" w:cs="Arial" w:eastAsia="Arial" w:hAnsi="Arial"/>
                <w:sz w:val="20"/>
                <w:szCs w:val="20"/>
                <w:color w:val="auto"/>
                <w:w w:val="92"/>
              </w:rPr>
              <w:t>Statement on Form S-1, File No. 333-</w:t>
            </w:r>
          </w:p>
        </w:tc>
      </w:tr>
      <w:tr>
        <w:trPr>
          <w:trHeight w:val="230"/>
        </w:trPr>
        <w:tc>
          <w:tcPr>
            <w:tcW w:w="9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80" w:type="dxa"/>
            <w:vAlign w:val="bottom"/>
          </w:tcPr>
          <w:p>
            <w:pPr>
              <w:ind w:left="1380"/>
              <w:spacing w:after="0"/>
              <w:rPr>
                <w:sz w:val="20"/>
                <w:szCs w:val="20"/>
                <w:color w:val="auto"/>
              </w:rPr>
            </w:pPr>
            <w:r>
              <w:rPr>
                <w:rFonts w:ascii="Arial" w:cs="Arial" w:eastAsia="Arial" w:hAnsi="Arial"/>
                <w:sz w:val="20"/>
                <w:szCs w:val="20"/>
                <w:color w:val="auto"/>
                <w:w w:val="91"/>
              </w:rPr>
              <w:t>180615, filed on July 18, 2012, Exhibit</w:t>
            </w:r>
          </w:p>
        </w:tc>
      </w:tr>
      <w:tr>
        <w:trPr>
          <w:trHeight w:val="250"/>
        </w:trPr>
        <w:tc>
          <w:tcPr>
            <w:tcW w:w="94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80" w:type="dxa"/>
            <w:vAlign w:val="bottom"/>
          </w:tcPr>
          <w:p>
            <w:pPr>
              <w:ind w:left="1380"/>
              <w:spacing w:after="0"/>
              <w:rPr>
                <w:sz w:val="20"/>
                <w:szCs w:val="20"/>
                <w:color w:val="auto"/>
              </w:rPr>
            </w:pPr>
            <w:r>
              <w:rPr>
                <w:rFonts w:ascii="Arial" w:cs="Arial" w:eastAsia="Arial" w:hAnsi="Arial"/>
                <w:sz w:val="20"/>
                <w:szCs w:val="20"/>
                <w:color w:val="auto"/>
              </w:rPr>
              <w:t>10.2</w:t>
            </w:r>
          </w:p>
        </w:tc>
      </w:tr>
    </w:tbl>
    <w:p>
      <w:pPr>
        <w:spacing w:after="0" w:line="155"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ind w:left="260"/>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3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60"/>
        <w:spacing w:after="0" w:line="260" w:lineRule="auto"/>
        <w:rPr>
          <w:rFonts w:ascii="Arial" w:cs="Arial" w:eastAsia="Arial" w:hAnsi="Arial"/>
          <w:sz w:val="20"/>
          <w:szCs w:val="20"/>
          <w:u w:val="single" w:color="auto"/>
          <w:color w:val="0000FF"/>
        </w:rPr>
      </w:pPr>
      <w:hyperlink r:id="rId76">
        <w:r>
          <w:rPr>
            <w:rFonts w:ascii="Arial" w:cs="Arial" w:eastAsia="Arial" w:hAnsi="Arial"/>
            <w:sz w:val="20"/>
            <w:szCs w:val="20"/>
            <w:u w:val="single" w:color="auto"/>
            <w:color w:val="0000FF"/>
          </w:rPr>
          <w:t>Form of Nonqualified Stock Option Award Agreement for options granted under</w:t>
        </w:r>
      </w:hyperlink>
      <w:r>
        <w:rPr>
          <w:rFonts w:ascii="Arial" w:cs="Arial" w:eastAsia="Arial" w:hAnsi="Arial"/>
          <w:sz w:val="20"/>
          <w:szCs w:val="20"/>
          <w:u w:val="single" w:color="auto"/>
          <w:color w:val="0000FF"/>
        </w:rPr>
        <w:t xml:space="preserve"> </w:t>
      </w:r>
      <w:hyperlink r:id="rId76">
        <w:r>
          <w:rPr>
            <w:rFonts w:ascii="Arial" w:cs="Arial" w:eastAsia="Arial" w:hAnsi="Arial"/>
            <w:sz w:val="20"/>
            <w:szCs w:val="20"/>
            <w:u w:val="single" w:color="auto"/>
            <w:color w:val="0000FF"/>
          </w:rPr>
          <w:t>the Bloomin’ Brands, Inc. 2012 Incentive Award Plan</w:t>
        </w:r>
      </w:hyperlink>
    </w:p>
    <w:p>
      <w:pPr>
        <w:spacing w:after="0" w:line="217" w:lineRule="exact"/>
        <w:rPr>
          <w:sz w:val="20"/>
          <w:szCs w:val="20"/>
          <w:color w:val="auto"/>
        </w:rPr>
      </w:pPr>
    </w:p>
    <w:p>
      <w:pPr>
        <w:ind w:right="660"/>
        <w:spacing w:after="0" w:line="316" w:lineRule="auto"/>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Form of Restricted Stock Award Agreement for restricted stock granted to</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directors under the Bloomin’ Brands, Inc. 2012 Incentive Award Plan</w:t>
        </w:r>
      </w:hyperlink>
    </w:p>
    <w:p>
      <w:pPr>
        <w:spacing w:after="0" w:line="90" w:lineRule="exact"/>
        <w:rPr>
          <w:sz w:val="20"/>
          <w:szCs w:val="20"/>
          <w:color w:val="auto"/>
        </w:rPr>
      </w:pPr>
    </w:p>
    <w:p>
      <w:pPr>
        <w:spacing w:after="0" w:line="250" w:lineRule="auto"/>
        <w:rPr>
          <w:rFonts w:ascii="Arial" w:cs="Arial" w:eastAsia="Arial" w:hAnsi="Arial"/>
          <w:sz w:val="20"/>
          <w:szCs w:val="20"/>
          <w:u w:val="single" w:color="auto"/>
          <w:color w:val="0000FF"/>
        </w:rPr>
      </w:pPr>
      <w:hyperlink r:id="rId78">
        <w:r>
          <w:rPr>
            <w:rFonts w:ascii="Arial" w:cs="Arial" w:eastAsia="Arial" w:hAnsi="Arial"/>
            <w:sz w:val="20"/>
            <w:szCs w:val="20"/>
            <w:u w:val="single" w:color="auto"/>
            <w:color w:val="0000FF"/>
          </w:rPr>
          <w:t>Form of Restricted Stock Award Agreement for restricted stock granted to</w:t>
        </w:r>
      </w:hyperlink>
      <w:r>
        <w:rPr>
          <w:rFonts w:ascii="Arial" w:cs="Arial" w:eastAsia="Arial" w:hAnsi="Arial"/>
          <w:sz w:val="20"/>
          <w:szCs w:val="20"/>
          <w:u w:val="single" w:color="auto"/>
          <w:color w:val="0000FF"/>
        </w:rPr>
        <w:t xml:space="preserve"> </w:t>
      </w:r>
      <w:hyperlink r:id="rId78">
        <w:r>
          <w:rPr>
            <w:rFonts w:ascii="Arial" w:cs="Arial" w:eastAsia="Arial" w:hAnsi="Arial"/>
            <w:sz w:val="20"/>
            <w:szCs w:val="20"/>
            <w:u w:val="single" w:color="auto"/>
            <w:color w:val="0000FF"/>
          </w:rPr>
          <w:t>employees and consultants under the Bloomin’ Brands, Inc. 2012 Incentive Award</w:t>
        </w:r>
      </w:hyperlink>
      <w:r>
        <w:rPr>
          <w:rFonts w:ascii="Arial" w:cs="Arial" w:eastAsia="Arial" w:hAnsi="Arial"/>
          <w:sz w:val="20"/>
          <w:szCs w:val="20"/>
          <w:u w:val="single" w:color="auto"/>
          <w:color w:val="0000FF"/>
        </w:rPr>
        <w:t xml:space="preserve"> </w:t>
      </w:r>
      <w:hyperlink r:id="rId78">
        <w:r>
          <w:rPr>
            <w:rFonts w:ascii="Arial" w:cs="Arial" w:eastAsia="Arial" w:hAnsi="Arial"/>
            <w:sz w:val="20"/>
            <w:szCs w:val="20"/>
            <w:u w:val="single" w:color="auto"/>
            <w:color w:val="0000FF"/>
          </w:rPr>
          <w:t>Plan</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br w:type="column"/>
      </w:r>
    </w:p>
    <w:p>
      <w:pPr>
        <w:spacing w:after="0" w:line="61"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10.2</w:t>
      </w:r>
    </w:p>
    <w:p>
      <w:pPr>
        <w:spacing w:after="0" w:line="200" w:lineRule="exact"/>
        <w:rPr>
          <w:rFonts w:ascii="Arial" w:cs="Arial" w:eastAsia="Arial" w:hAnsi="Arial"/>
          <w:sz w:val="20"/>
          <w:szCs w:val="20"/>
          <w:u w:val="single" w:color="auto"/>
          <w:color w:val="0000FF"/>
        </w:rPr>
      </w:pPr>
    </w:p>
    <w:p>
      <w:pPr>
        <w:spacing w:after="0" w:line="390"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10.3</w:t>
      </w:r>
    </w:p>
    <w:p>
      <w:pPr>
        <w:spacing w:after="0" w:line="200" w:lineRule="exact"/>
        <w:rPr>
          <w:rFonts w:ascii="Arial" w:cs="Arial" w:eastAsia="Arial" w:hAnsi="Arial"/>
          <w:sz w:val="20"/>
          <w:szCs w:val="20"/>
          <w:u w:val="single" w:color="auto"/>
          <w:color w:val="0000FF"/>
        </w:rPr>
      </w:pPr>
    </w:p>
    <w:p>
      <w:pPr>
        <w:spacing w:after="0" w:line="228"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10.4</w:t>
      </w:r>
    </w:p>
    <w:p>
      <w:pPr>
        <w:spacing w:after="0" w:line="552" w:lineRule="exact"/>
        <w:rPr>
          <w:rFonts w:ascii="Arial" w:cs="Arial" w:eastAsia="Arial" w:hAnsi="Arial"/>
          <w:sz w:val="20"/>
          <w:szCs w:val="20"/>
          <w:u w:val="single" w:color="auto"/>
          <w:color w:val="0000FF"/>
        </w:rPr>
      </w:pPr>
    </w:p>
    <w:p>
      <w:pPr>
        <w:sectPr>
          <w:pgSz w:w="11900" w:h="16838" w:orient="portrait"/>
          <w:cols w:equalWidth="0" w:num="3">
            <w:col w:w="800" w:space="400"/>
            <w:col w:w="6540" w:space="180"/>
            <w:col w:w="3500"/>
          </w:cols>
          <w:pgMar w:left="240" w:top="121" w:right="239" w:bottom="1440" w:gutter="0" w:footer="0" w:header="0"/>
          <w:type w:val="continuous"/>
        </w:sectPr>
      </w:pPr>
    </w:p>
    <w:tbl>
      <w:tblPr>
        <w:tblLayout w:type="fixed"/>
        <w:tblInd w:w="260" w:type="dxa"/>
        <w:tblCellMar>
          <w:top w:w="0" w:type="dxa"/>
          <w:left w:w="0" w:type="dxa"/>
          <w:bottom w:w="0" w:type="dxa"/>
          <w:right w:w="0" w:type="dxa"/>
        </w:tblCellMar>
      </w:tblPr>
      <w:tr>
        <w:trPr>
          <w:trHeight w:val="230"/>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10.14*</w:t>
            </w:r>
          </w:p>
        </w:tc>
        <w:tc>
          <w:tcPr>
            <w:tcW w:w="6280" w:type="dxa"/>
            <w:vAlign w:val="bottom"/>
            <w:tcBorders>
              <w:bottom w:val="single" w:sz="8" w:color="0000FF"/>
            </w:tcBorders>
            <w:gridSpan w:val="3"/>
          </w:tcPr>
          <w:p>
            <w:pPr>
              <w:spacing w:after="0"/>
              <w:rPr>
                <w:rFonts w:ascii="Arial" w:cs="Arial" w:eastAsia="Arial" w:hAnsi="Arial"/>
                <w:sz w:val="20"/>
                <w:szCs w:val="20"/>
                <w:color w:val="0000FF"/>
                <w:w w:val="90"/>
              </w:rPr>
            </w:pPr>
            <w:hyperlink r:id="rId79">
              <w:r>
                <w:rPr>
                  <w:rFonts w:ascii="Arial" w:cs="Arial" w:eastAsia="Arial" w:hAnsi="Arial"/>
                  <w:sz w:val="20"/>
                  <w:szCs w:val="20"/>
                  <w:color w:val="0000FF"/>
                  <w:w w:val="90"/>
                </w:rPr>
                <w:t>Form of Restricted Stock Unit Award Agreement for restricted stock granted to</w:t>
              </w:r>
            </w:hyperlink>
          </w:p>
        </w:tc>
        <w:tc>
          <w:tcPr>
            <w:tcW w:w="340" w:type="dxa"/>
            <w:vAlign w:val="bottom"/>
            <w:gridSpan w:val="2"/>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20"/>
                <w:szCs w:val="20"/>
                <w:color w:val="auto"/>
                <w:w w:val="89"/>
              </w:rPr>
              <w:t>September 30, 2013 Form 10-Q, Exhibit</w:t>
            </w:r>
          </w:p>
        </w:tc>
      </w:tr>
      <w:tr>
        <w:trPr>
          <w:trHeight w:val="210"/>
        </w:trPr>
        <w:tc>
          <w:tcPr>
            <w:tcW w:w="940" w:type="dxa"/>
            <w:vAlign w:val="bottom"/>
          </w:tcPr>
          <w:p>
            <w:pPr>
              <w:spacing w:after="0"/>
              <w:rPr>
                <w:sz w:val="18"/>
                <w:szCs w:val="18"/>
                <w:color w:val="auto"/>
              </w:rPr>
            </w:pPr>
          </w:p>
        </w:tc>
        <w:tc>
          <w:tcPr>
            <w:tcW w:w="6620" w:type="dxa"/>
            <w:vAlign w:val="bottom"/>
            <w:gridSpan w:val="5"/>
          </w:tcPr>
          <w:p>
            <w:pPr>
              <w:spacing w:after="0" w:line="209" w:lineRule="exact"/>
              <w:rPr>
                <w:rFonts w:ascii="Arial" w:cs="Arial" w:eastAsia="Arial" w:hAnsi="Arial"/>
                <w:sz w:val="20"/>
                <w:szCs w:val="20"/>
                <w:color w:val="0000FF"/>
              </w:rPr>
            </w:pPr>
            <w:hyperlink r:id="rId79">
              <w:r>
                <w:rPr>
                  <w:rFonts w:ascii="Arial" w:cs="Arial" w:eastAsia="Arial" w:hAnsi="Arial"/>
                  <w:sz w:val="20"/>
                  <w:szCs w:val="20"/>
                  <w:color w:val="0000FF"/>
                </w:rPr>
                <w:t>directors under the Bloomin’ Brands, Inc. 2012 Incentive Award Plan</w:t>
              </w:r>
            </w:hyperlink>
          </w:p>
        </w:tc>
        <w:tc>
          <w:tcPr>
            <w:tcW w:w="3300" w:type="dxa"/>
            <w:vAlign w:val="bottom"/>
          </w:tcPr>
          <w:p>
            <w:pPr>
              <w:ind w:left="100"/>
              <w:spacing w:after="0" w:line="209" w:lineRule="exact"/>
              <w:rPr>
                <w:sz w:val="20"/>
                <w:szCs w:val="20"/>
                <w:color w:val="auto"/>
              </w:rPr>
            </w:pPr>
            <w:r>
              <w:rPr>
                <w:rFonts w:ascii="Arial" w:cs="Arial" w:eastAsia="Arial" w:hAnsi="Arial"/>
                <w:sz w:val="20"/>
                <w:szCs w:val="20"/>
                <w:color w:val="auto"/>
              </w:rPr>
              <w:t>10.1</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10.15*</w:t>
            </w:r>
          </w:p>
        </w:tc>
        <w:tc>
          <w:tcPr>
            <w:tcW w:w="6280" w:type="dxa"/>
            <w:vAlign w:val="bottom"/>
            <w:tcBorders>
              <w:bottom w:val="single" w:sz="8" w:color="0000FF"/>
            </w:tcBorders>
            <w:gridSpan w:val="3"/>
          </w:tcPr>
          <w:p>
            <w:pPr>
              <w:spacing w:after="0"/>
              <w:rPr>
                <w:rFonts w:ascii="Arial" w:cs="Arial" w:eastAsia="Arial" w:hAnsi="Arial"/>
                <w:sz w:val="20"/>
                <w:szCs w:val="20"/>
                <w:color w:val="0000FF"/>
                <w:w w:val="90"/>
              </w:rPr>
            </w:pPr>
            <w:hyperlink r:id="rId80">
              <w:r>
                <w:rPr>
                  <w:rFonts w:ascii="Arial" w:cs="Arial" w:eastAsia="Arial" w:hAnsi="Arial"/>
                  <w:sz w:val="20"/>
                  <w:szCs w:val="20"/>
                  <w:color w:val="0000FF"/>
                  <w:w w:val="90"/>
                </w:rPr>
                <w:t>Form of Restricted Stock Unit Award Agreement for restricted stock granted to</w:t>
              </w:r>
            </w:hyperlink>
          </w:p>
        </w:tc>
        <w:tc>
          <w:tcPr>
            <w:tcW w:w="340" w:type="dxa"/>
            <w:vAlign w:val="bottom"/>
            <w:gridSpan w:val="2"/>
          </w:tcPr>
          <w:p>
            <w:pPr>
              <w:spacing w:after="0"/>
              <w:rPr>
                <w:sz w:val="24"/>
                <w:szCs w:val="24"/>
                <w:color w:val="auto"/>
              </w:rPr>
            </w:pPr>
          </w:p>
        </w:tc>
        <w:tc>
          <w:tcPr>
            <w:tcW w:w="3300" w:type="dxa"/>
            <w:vAlign w:val="bottom"/>
          </w:tcPr>
          <w:p>
            <w:pPr>
              <w:ind w:left="100"/>
              <w:spacing w:after="0"/>
              <w:rPr>
                <w:sz w:val="20"/>
                <w:szCs w:val="20"/>
                <w:color w:val="auto"/>
              </w:rPr>
            </w:pPr>
            <w:r>
              <w:rPr>
                <w:rFonts w:ascii="Arial" w:cs="Arial" w:eastAsia="Arial" w:hAnsi="Arial"/>
                <w:sz w:val="20"/>
                <w:szCs w:val="20"/>
                <w:color w:val="auto"/>
                <w:w w:val="89"/>
              </w:rPr>
              <w:t>September 30, 2013 Form 10-Q, Exhibit</w:t>
            </w:r>
          </w:p>
        </w:tc>
      </w:tr>
      <w:tr>
        <w:trPr>
          <w:trHeight w:val="210"/>
        </w:trPr>
        <w:tc>
          <w:tcPr>
            <w:tcW w:w="940" w:type="dxa"/>
            <w:vAlign w:val="bottom"/>
          </w:tcPr>
          <w:p>
            <w:pPr>
              <w:spacing w:after="0"/>
              <w:rPr>
                <w:sz w:val="18"/>
                <w:szCs w:val="18"/>
                <w:color w:val="auto"/>
              </w:rPr>
            </w:pPr>
          </w:p>
        </w:tc>
        <w:tc>
          <w:tcPr>
            <w:tcW w:w="6540" w:type="dxa"/>
            <w:vAlign w:val="bottom"/>
            <w:tcBorders>
              <w:bottom w:val="single" w:sz="8" w:color="0000FF"/>
            </w:tcBorders>
            <w:gridSpan w:val="4"/>
          </w:tcPr>
          <w:p>
            <w:pPr>
              <w:spacing w:after="0" w:line="209" w:lineRule="exact"/>
              <w:rPr>
                <w:rFonts w:ascii="Arial" w:cs="Arial" w:eastAsia="Arial" w:hAnsi="Arial"/>
                <w:sz w:val="20"/>
                <w:szCs w:val="20"/>
                <w:color w:val="0000FF"/>
                <w:w w:val="89"/>
              </w:rPr>
            </w:pPr>
            <w:hyperlink r:id="rId80">
              <w:r>
                <w:rPr>
                  <w:rFonts w:ascii="Arial" w:cs="Arial" w:eastAsia="Arial" w:hAnsi="Arial"/>
                  <w:sz w:val="20"/>
                  <w:szCs w:val="20"/>
                  <w:color w:val="0000FF"/>
                  <w:w w:val="89"/>
                </w:rPr>
                <w:t>employees and consultants under the Bloomin’ Brands, Inc. 2012 Incentive Award</w:t>
              </w:r>
            </w:hyperlink>
          </w:p>
        </w:tc>
        <w:tc>
          <w:tcPr>
            <w:tcW w:w="80" w:type="dxa"/>
            <w:vAlign w:val="bottom"/>
          </w:tcPr>
          <w:p>
            <w:pPr>
              <w:spacing w:after="0"/>
              <w:rPr>
                <w:sz w:val="18"/>
                <w:szCs w:val="18"/>
                <w:color w:val="auto"/>
              </w:rPr>
            </w:pPr>
          </w:p>
        </w:tc>
        <w:tc>
          <w:tcPr>
            <w:tcW w:w="3300" w:type="dxa"/>
            <w:vAlign w:val="bottom"/>
          </w:tcPr>
          <w:p>
            <w:pPr>
              <w:ind w:left="100"/>
              <w:spacing w:after="0" w:line="209" w:lineRule="exact"/>
              <w:rPr>
                <w:sz w:val="20"/>
                <w:szCs w:val="20"/>
                <w:color w:val="auto"/>
              </w:rPr>
            </w:pPr>
            <w:r>
              <w:rPr>
                <w:rFonts w:ascii="Arial" w:cs="Arial" w:eastAsia="Arial" w:hAnsi="Arial"/>
                <w:sz w:val="20"/>
                <w:szCs w:val="20"/>
                <w:color w:val="auto"/>
              </w:rPr>
              <w:t>10.2</w:t>
            </w:r>
          </w:p>
        </w:tc>
      </w:tr>
      <w:tr>
        <w:trPr>
          <w:trHeight w:val="210"/>
        </w:trPr>
        <w:tc>
          <w:tcPr>
            <w:tcW w:w="940" w:type="dxa"/>
            <w:vAlign w:val="bottom"/>
          </w:tcPr>
          <w:p>
            <w:pPr>
              <w:spacing w:after="0"/>
              <w:rPr>
                <w:sz w:val="18"/>
                <w:szCs w:val="18"/>
                <w:color w:val="auto"/>
              </w:rPr>
            </w:pPr>
          </w:p>
        </w:tc>
        <w:tc>
          <w:tcPr>
            <w:tcW w:w="6620" w:type="dxa"/>
            <w:vAlign w:val="bottom"/>
            <w:gridSpan w:val="5"/>
          </w:tcPr>
          <w:p>
            <w:pPr>
              <w:spacing w:after="0" w:line="209" w:lineRule="exact"/>
              <w:rPr>
                <w:rFonts w:ascii="Arial" w:cs="Arial" w:eastAsia="Arial" w:hAnsi="Arial"/>
                <w:sz w:val="20"/>
                <w:szCs w:val="20"/>
                <w:color w:val="0000FF"/>
              </w:rPr>
            </w:pPr>
            <w:hyperlink r:id="rId80">
              <w:r>
                <w:rPr>
                  <w:rFonts w:ascii="Arial" w:cs="Arial" w:eastAsia="Arial" w:hAnsi="Arial"/>
                  <w:sz w:val="20"/>
                  <w:szCs w:val="20"/>
                  <w:color w:val="0000FF"/>
                </w:rPr>
                <w:t>Plan</w:t>
              </w:r>
            </w:hyperlink>
          </w:p>
        </w:tc>
        <w:tc>
          <w:tcPr>
            <w:tcW w:w="330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ind w:left="1200" w:hanging="94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10.16*</w:t>
      </w:r>
      <w:r>
        <w:rPr>
          <w:sz w:val="20"/>
          <w:szCs w:val="20"/>
          <w:color w:val="auto"/>
        </w:rPr>
        <w:tab/>
      </w:r>
      <w:hyperlink r:id="rId81">
        <w:r>
          <w:rPr>
            <w:rFonts w:ascii="Arial" w:cs="Arial" w:eastAsia="Arial" w:hAnsi="Arial"/>
            <w:sz w:val="20"/>
            <w:szCs w:val="20"/>
            <w:u w:val="single" w:color="auto"/>
            <w:color w:val="0000FF"/>
          </w:rPr>
          <w:t>Form of Performance Unit Award Agreement for performance units granted under</w:t>
        </w:r>
      </w:hyperlink>
      <w:r>
        <w:rPr>
          <w:rFonts w:ascii="Arial" w:cs="Arial" w:eastAsia="Arial" w:hAnsi="Arial"/>
          <w:sz w:val="20"/>
          <w:szCs w:val="20"/>
          <w:u w:val="single" w:color="auto"/>
          <w:color w:val="0000FF"/>
        </w:rPr>
        <w:t xml:space="preserve"> </w:t>
      </w:r>
      <w:hyperlink r:id="rId81">
        <w:r>
          <w:rPr>
            <w:rFonts w:ascii="Arial" w:cs="Arial" w:eastAsia="Arial" w:hAnsi="Arial"/>
            <w:sz w:val="20"/>
            <w:szCs w:val="20"/>
            <w:u w:val="single" w:color="auto"/>
            <w:color w:val="0000FF"/>
          </w:rPr>
          <w:t>the Bloomin’ Brands, Inc. 2012 Incentive Award Plan</w:t>
        </w:r>
      </w:hyperlink>
    </w:p>
    <w:p>
      <w:pPr>
        <w:spacing w:after="0" w:line="136" w:lineRule="exact"/>
        <w:rPr>
          <w:sz w:val="20"/>
          <w:szCs w:val="20"/>
          <w:color w:val="auto"/>
        </w:rPr>
      </w:pPr>
    </w:p>
    <w:p>
      <w:pPr>
        <w:ind w:left="1200" w:right="100" w:hanging="940"/>
        <w:spacing w:after="0" w:line="25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10.17*</w:t>
      </w:r>
      <w:r>
        <w:rPr>
          <w:sz w:val="20"/>
          <w:szCs w:val="20"/>
          <w:color w:val="auto"/>
        </w:rPr>
        <w:tab/>
      </w:r>
      <w:hyperlink r:id="rId82">
        <w:r>
          <w:rPr>
            <w:rFonts w:ascii="Arial" w:cs="Arial" w:eastAsia="Arial" w:hAnsi="Arial"/>
            <w:sz w:val="20"/>
            <w:szCs w:val="20"/>
            <w:u w:val="single" w:color="auto"/>
            <w:color w:val="0000FF"/>
          </w:rPr>
          <w:t>Form of Bloomin’ Brands, Inc. Indemnification Agreement by and between</w:t>
        </w:r>
      </w:hyperlink>
      <w:r>
        <w:rPr>
          <w:rFonts w:ascii="Arial" w:cs="Arial" w:eastAsia="Arial" w:hAnsi="Arial"/>
          <w:sz w:val="20"/>
          <w:szCs w:val="20"/>
          <w:u w:val="single" w:color="auto"/>
          <w:color w:val="0000FF"/>
        </w:rPr>
        <w:t xml:space="preserve"> </w:t>
      </w:r>
      <w:hyperlink r:id="rId82">
        <w:r>
          <w:rPr>
            <w:rFonts w:ascii="Arial" w:cs="Arial" w:eastAsia="Arial" w:hAnsi="Arial"/>
            <w:sz w:val="20"/>
            <w:szCs w:val="20"/>
            <w:u w:val="single" w:color="auto"/>
            <w:color w:val="0000FF"/>
          </w:rPr>
          <w:t>Bloomin’ Brands, Inc. and each member of its Board of Directors and each of its</w:t>
        </w:r>
      </w:hyperlink>
      <w:r>
        <w:rPr>
          <w:rFonts w:ascii="Arial" w:cs="Arial" w:eastAsia="Arial" w:hAnsi="Arial"/>
          <w:sz w:val="20"/>
          <w:szCs w:val="20"/>
          <w:u w:val="single" w:color="auto"/>
          <w:color w:val="0000FF"/>
        </w:rPr>
        <w:t xml:space="preserve"> </w:t>
      </w:r>
      <w:hyperlink r:id="rId82">
        <w:r>
          <w:rPr>
            <w:rFonts w:ascii="Arial" w:cs="Arial" w:eastAsia="Arial" w:hAnsi="Arial"/>
            <w:sz w:val="20"/>
            <w:szCs w:val="20"/>
            <w:u w:val="single" w:color="auto"/>
            <w:color w:val="0000FF"/>
          </w:rPr>
          <w:t>executive officers</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br w:type="column"/>
      </w:r>
    </w:p>
    <w:p>
      <w:pPr>
        <w:spacing w:after="0" w:line="61"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10.5</w:t>
      </w:r>
    </w:p>
    <w:p>
      <w:pPr>
        <w:spacing w:after="0" w:line="347" w:lineRule="exact"/>
        <w:rPr>
          <w:rFonts w:ascii="Arial" w:cs="Arial" w:eastAsia="Arial" w:hAnsi="Arial"/>
          <w:sz w:val="20"/>
          <w:szCs w:val="20"/>
          <w:u w:val="single" w:color="auto"/>
          <w:color w:val="0000FF"/>
        </w:rPr>
      </w:pPr>
    </w:p>
    <w:p>
      <w:pPr>
        <w:ind w:right="400"/>
        <w:spacing w:after="0" w:line="246" w:lineRule="auto"/>
        <w:rPr>
          <w:sz w:val="20"/>
          <w:szCs w:val="20"/>
          <w:color w:val="auto"/>
        </w:rPr>
      </w:pPr>
      <w:r>
        <w:rPr>
          <w:rFonts w:ascii="Arial" w:cs="Arial" w:eastAsia="Arial" w:hAnsi="Arial"/>
          <w:sz w:val="20"/>
          <w:szCs w:val="20"/>
          <w:color w:val="auto"/>
        </w:rPr>
        <w:t>Amendment No. 4 to Registration Statement on Form S-1, File No. 333-180615, filed on July 18, 2012, Exhibit 10.39</w:t>
      </w:r>
    </w:p>
    <w:p>
      <w:pPr>
        <w:spacing w:after="0" w:line="151" w:lineRule="exact"/>
        <w:rPr>
          <w:rFonts w:ascii="Arial" w:cs="Arial" w:eastAsia="Arial" w:hAnsi="Arial"/>
          <w:sz w:val="20"/>
          <w:szCs w:val="20"/>
          <w:u w:val="single" w:color="auto"/>
          <w:color w:val="0000FF"/>
        </w:rPr>
      </w:pPr>
    </w:p>
    <w:p>
      <w:pPr>
        <w:sectPr>
          <w:pgSz w:w="11900" w:h="16838" w:orient="portrait"/>
          <w:cols w:equalWidth="0" w:num="2">
            <w:col w:w="7700" w:space="220"/>
            <w:col w:w="3500"/>
          </w:cols>
          <w:pgMar w:left="240" w:top="121" w:right="239" w:bottom="1440" w:gutter="0" w:footer="0" w:header="0"/>
          <w:type w:val="continuous"/>
        </w:sectPr>
      </w:pPr>
    </w:p>
    <w:p>
      <w:pPr>
        <w:ind w:left="260"/>
        <w:spacing w:after="0"/>
        <w:tabs>
          <w:tab w:leader="none" w:pos="1180" w:val="left"/>
          <w:tab w:leader="none" w:pos="7900" w:val="left"/>
        </w:tabs>
        <w:rPr>
          <w:rFonts w:ascii="Arial" w:cs="Arial" w:eastAsia="Arial" w:hAnsi="Arial"/>
          <w:sz w:val="20"/>
          <w:szCs w:val="20"/>
          <w:u w:val="single" w:color="auto"/>
          <w:color w:val="0000FF"/>
        </w:rPr>
      </w:pPr>
      <w:r>
        <w:rPr>
          <w:rFonts w:ascii="Arial" w:cs="Arial" w:eastAsia="Arial" w:hAnsi="Arial"/>
          <w:sz w:val="20"/>
          <w:szCs w:val="20"/>
          <w:color w:val="auto"/>
        </w:rPr>
        <w:t>10.18*</w:t>
      </w:r>
      <w:r>
        <w:rPr>
          <w:sz w:val="20"/>
          <w:szCs w:val="20"/>
          <w:color w:val="auto"/>
        </w:rPr>
        <w:tab/>
      </w:r>
      <w:hyperlink r:id="rId83">
        <w:r>
          <w:rPr>
            <w:rFonts w:ascii="Arial" w:cs="Arial" w:eastAsia="Arial" w:hAnsi="Arial"/>
            <w:sz w:val="20"/>
            <w:szCs w:val="20"/>
            <w:u w:val="single" w:color="auto"/>
            <w:color w:val="0000FF"/>
          </w:rPr>
          <w:t>Bloomin’ Brands, Inc. 2016 Omnibus Incentive Compensation Plan</w:t>
        </w:r>
      </w:hyperlink>
      <w:r>
        <w:rPr>
          <w:rFonts w:ascii="Arial" w:cs="Arial" w:eastAsia="Arial" w:hAnsi="Arial"/>
          <w:sz w:val="20"/>
          <w:szCs w:val="20"/>
          <w:u w:val="single" w:color="auto"/>
          <w:color w:val="0000FF"/>
        </w:rPr>
        <w:tab/>
      </w:r>
      <w:r>
        <w:rPr>
          <w:rFonts w:ascii="Arial" w:cs="Arial" w:eastAsia="Arial" w:hAnsi="Arial"/>
          <w:sz w:val="18"/>
          <w:szCs w:val="18"/>
          <w:u w:val="single" w:color="auto"/>
          <w:color w:val="0000FF"/>
        </w:rPr>
        <w:t>March 11, 2016 Definitive Proxy Statement</w:t>
      </w:r>
    </w:p>
    <w:p>
      <w:pPr>
        <w:sectPr>
          <w:pgSz w:w="11900" w:h="16838" w:orient="portrait"/>
          <w:cols w:equalWidth="0" w:num="1">
            <w:col w:w="11420"/>
          </w:cols>
          <w:pgMar w:left="240" w:top="121" w:right="239" w:bottom="1440" w:gutter="0" w:footer="0" w:header="0"/>
          <w:type w:val="continuous"/>
        </w:sectPr>
      </w:pPr>
    </w:p>
    <w:p>
      <w:pPr>
        <w:spacing w:after="0" w:line="245" w:lineRule="exact"/>
        <w:rPr>
          <w:rFonts w:ascii="Arial" w:cs="Arial" w:eastAsia="Arial" w:hAnsi="Arial"/>
          <w:sz w:val="20"/>
          <w:szCs w:val="20"/>
          <w:u w:val="single" w:color="auto"/>
          <w:color w:val="0000FF"/>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21" w:right="23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60" w:type="dxa"/>
            <w:vAlign w:val="bottom"/>
            <w:gridSpan w:val="6"/>
          </w:tcPr>
          <w:p>
            <w:pPr>
              <w:ind w:left="64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338"/>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00" w:type="dxa"/>
            <w:vAlign w:val="bottom"/>
            <w:tcBorders>
              <w:bottom w:val="single" w:sz="8" w:color="0000FF"/>
            </w:tcBorders>
            <w:gridSpan w:val="3"/>
          </w:tcPr>
          <w:p>
            <w:pPr>
              <w:spacing w:after="0"/>
              <w:rPr>
                <w:rFonts w:ascii="Arial" w:cs="Arial" w:eastAsia="Arial" w:hAnsi="Arial"/>
                <w:sz w:val="20"/>
                <w:szCs w:val="20"/>
                <w:color w:val="0000FF"/>
                <w:w w:val="91"/>
              </w:rPr>
            </w:pPr>
            <w:hyperlink r:id="rId84">
              <w:r>
                <w:rPr>
                  <w:rFonts w:ascii="Arial" w:cs="Arial" w:eastAsia="Arial" w:hAnsi="Arial"/>
                  <w:sz w:val="20"/>
                  <w:szCs w:val="20"/>
                  <w:color w:val="0000FF"/>
                  <w:w w:val="91"/>
                </w:rPr>
                <w:t>Form of Nonqualified Stock Option Award Agreement for options granted to</w:t>
              </w:r>
            </w:hyperlink>
          </w:p>
        </w:tc>
        <w:tc>
          <w:tcPr>
            <w:tcW w:w="600" w:type="dxa"/>
            <w:vAlign w:val="bottom"/>
            <w:gridSpan w:val="5"/>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10.2</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Borders>
              <w:bottom w:val="single" w:sz="8" w:color="0000FF"/>
            </w:tcBorders>
            <w:gridSpan w:val="5"/>
          </w:tcPr>
          <w:p>
            <w:pPr>
              <w:spacing w:after="0" w:line="209" w:lineRule="exact"/>
              <w:rPr>
                <w:rFonts w:ascii="Arial" w:cs="Arial" w:eastAsia="Arial" w:hAnsi="Arial"/>
                <w:sz w:val="20"/>
                <w:szCs w:val="20"/>
                <w:color w:val="0000FF"/>
                <w:w w:val="90"/>
              </w:rPr>
            </w:pPr>
            <w:hyperlink r:id="rId84">
              <w:r>
                <w:rPr>
                  <w:rFonts w:ascii="Arial" w:cs="Arial" w:eastAsia="Arial" w:hAnsi="Arial"/>
                  <w:sz w:val="20"/>
                  <w:szCs w:val="20"/>
                  <w:color w:val="0000FF"/>
                  <w:w w:val="90"/>
                </w:rPr>
                <w:t>executive management under the Bloomin’ Brands, Inc. 2016 Omnibus Incentive</w:t>
              </w:r>
            </w:hyperlink>
          </w:p>
        </w:tc>
        <w:tc>
          <w:tcPr>
            <w:tcW w:w="260" w:type="dxa"/>
            <w:vAlign w:val="bottom"/>
            <w:gridSpan w:val="3"/>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8"/>
          </w:tcPr>
          <w:p>
            <w:pPr>
              <w:spacing w:after="0" w:line="209" w:lineRule="exact"/>
              <w:rPr>
                <w:rFonts w:ascii="Arial" w:cs="Arial" w:eastAsia="Arial" w:hAnsi="Arial"/>
                <w:sz w:val="20"/>
                <w:szCs w:val="20"/>
                <w:color w:val="0000FF"/>
              </w:rPr>
            </w:pPr>
            <w:hyperlink r:id="rId84">
              <w:r>
                <w:rPr>
                  <w:rFonts w:ascii="Arial" w:cs="Arial" w:eastAsia="Arial" w:hAnsi="Arial"/>
                  <w:sz w:val="20"/>
                  <w:szCs w:val="20"/>
                  <w:color w:val="0000FF"/>
                </w:rPr>
                <w:t>Compensation Plan</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Borders>
              <w:bottom w:val="single" w:sz="8" w:color="0000FF"/>
            </w:tcBorders>
            <w:gridSpan w:val="4"/>
          </w:tcPr>
          <w:p>
            <w:pPr>
              <w:spacing w:after="0"/>
              <w:rPr>
                <w:rFonts w:ascii="Arial" w:cs="Arial" w:eastAsia="Arial" w:hAnsi="Arial"/>
                <w:sz w:val="20"/>
                <w:szCs w:val="20"/>
                <w:color w:val="0000FF"/>
                <w:w w:val="90"/>
              </w:rPr>
            </w:pPr>
            <w:hyperlink r:id="rId85">
              <w:r>
                <w:rPr>
                  <w:rFonts w:ascii="Arial" w:cs="Arial" w:eastAsia="Arial" w:hAnsi="Arial"/>
                  <w:sz w:val="20"/>
                  <w:szCs w:val="20"/>
                  <w:color w:val="0000FF"/>
                  <w:w w:val="90"/>
                </w:rPr>
                <w:t>Form of Restricted Stock Unit Award Agreement for restricted stock granted to</w:t>
              </w:r>
            </w:hyperlink>
          </w:p>
        </w:tc>
        <w:tc>
          <w:tcPr>
            <w:tcW w:w="420" w:type="dxa"/>
            <w:vAlign w:val="bottom"/>
            <w:gridSpan w:val="4"/>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10.3</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tcBorders>
              <w:bottom w:val="single" w:sz="8" w:color="0000FF"/>
            </w:tcBorders>
            <w:gridSpan w:val="6"/>
          </w:tcPr>
          <w:p>
            <w:pPr>
              <w:spacing w:after="0" w:line="209" w:lineRule="exact"/>
              <w:rPr>
                <w:rFonts w:ascii="Arial" w:cs="Arial" w:eastAsia="Arial" w:hAnsi="Arial"/>
                <w:sz w:val="20"/>
                <w:szCs w:val="20"/>
                <w:color w:val="0000FF"/>
                <w:w w:val="90"/>
              </w:rPr>
            </w:pPr>
            <w:hyperlink r:id="rId85">
              <w:r>
                <w:rPr>
                  <w:rFonts w:ascii="Arial" w:cs="Arial" w:eastAsia="Arial" w:hAnsi="Arial"/>
                  <w:sz w:val="20"/>
                  <w:szCs w:val="20"/>
                  <w:color w:val="0000FF"/>
                  <w:w w:val="90"/>
                </w:rPr>
                <w:t>directors under the Bloomin’ Brands, Inc. 2016 Omnibus Incentive Compensation</w:t>
              </w:r>
            </w:hyperlink>
          </w:p>
        </w:tc>
        <w:tc>
          <w:tcPr>
            <w:tcW w:w="20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8"/>
          </w:tcPr>
          <w:p>
            <w:pPr>
              <w:spacing w:after="0" w:line="209" w:lineRule="exact"/>
              <w:rPr>
                <w:rFonts w:ascii="Arial" w:cs="Arial" w:eastAsia="Arial" w:hAnsi="Arial"/>
                <w:sz w:val="20"/>
                <w:szCs w:val="20"/>
                <w:color w:val="0000FF"/>
              </w:rPr>
            </w:pPr>
            <w:hyperlink r:id="rId85">
              <w:r>
                <w:rPr>
                  <w:rFonts w:ascii="Arial" w:cs="Arial" w:eastAsia="Arial" w:hAnsi="Arial"/>
                  <w:sz w:val="20"/>
                  <w:szCs w:val="20"/>
                  <w:color w:val="0000FF"/>
                </w:rPr>
                <w:t>Plan</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36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Borders>
              <w:bottom w:val="single" w:sz="8" w:color="0000FF"/>
            </w:tcBorders>
            <w:gridSpan w:val="4"/>
          </w:tcPr>
          <w:p>
            <w:pPr>
              <w:spacing w:after="0"/>
              <w:rPr>
                <w:rFonts w:ascii="Arial" w:cs="Arial" w:eastAsia="Arial" w:hAnsi="Arial"/>
                <w:sz w:val="20"/>
                <w:szCs w:val="20"/>
                <w:color w:val="0000FF"/>
                <w:w w:val="90"/>
              </w:rPr>
            </w:pPr>
            <w:hyperlink r:id="rId86">
              <w:r>
                <w:rPr>
                  <w:rFonts w:ascii="Arial" w:cs="Arial" w:eastAsia="Arial" w:hAnsi="Arial"/>
                  <w:sz w:val="20"/>
                  <w:szCs w:val="20"/>
                  <w:color w:val="0000FF"/>
                  <w:w w:val="90"/>
                </w:rPr>
                <w:t>Form of Restricted Stock Unit Award Agreement for restricted stock granted to</w:t>
              </w:r>
            </w:hyperlink>
          </w:p>
        </w:tc>
        <w:tc>
          <w:tcPr>
            <w:tcW w:w="420" w:type="dxa"/>
            <w:vAlign w:val="bottom"/>
            <w:gridSpan w:val="4"/>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10.4</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Borders>
              <w:bottom w:val="single" w:sz="8" w:color="0000FF"/>
            </w:tcBorders>
            <w:gridSpan w:val="5"/>
          </w:tcPr>
          <w:p>
            <w:pPr>
              <w:spacing w:after="0" w:line="209" w:lineRule="exact"/>
              <w:rPr>
                <w:rFonts w:ascii="Arial" w:cs="Arial" w:eastAsia="Arial" w:hAnsi="Arial"/>
                <w:sz w:val="20"/>
                <w:szCs w:val="20"/>
                <w:color w:val="0000FF"/>
                <w:w w:val="90"/>
              </w:rPr>
            </w:pPr>
            <w:hyperlink r:id="rId86">
              <w:r>
                <w:rPr>
                  <w:rFonts w:ascii="Arial" w:cs="Arial" w:eastAsia="Arial" w:hAnsi="Arial"/>
                  <w:sz w:val="20"/>
                  <w:szCs w:val="20"/>
                  <w:color w:val="0000FF"/>
                  <w:w w:val="90"/>
                </w:rPr>
                <w:t>executive management under the Bloomin’ Brands, Inc. 2016 Omnibus Incentive</w:t>
              </w:r>
            </w:hyperlink>
          </w:p>
        </w:tc>
        <w:tc>
          <w:tcPr>
            <w:tcW w:w="260" w:type="dxa"/>
            <w:vAlign w:val="bottom"/>
            <w:gridSpan w:val="3"/>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8"/>
          </w:tcPr>
          <w:p>
            <w:pPr>
              <w:spacing w:after="0" w:line="209" w:lineRule="exact"/>
              <w:rPr>
                <w:rFonts w:ascii="Arial" w:cs="Arial" w:eastAsia="Arial" w:hAnsi="Arial"/>
                <w:sz w:val="20"/>
                <w:szCs w:val="20"/>
                <w:color w:val="0000FF"/>
              </w:rPr>
            </w:pPr>
            <w:hyperlink r:id="rId86">
              <w:r>
                <w:rPr>
                  <w:rFonts w:ascii="Arial" w:cs="Arial" w:eastAsia="Arial" w:hAnsi="Arial"/>
                  <w:sz w:val="20"/>
                  <w:szCs w:val="20"/>
                  <w:color w:val="0000FF"/>
                </w:rPr>
                <w:t>Compensation Plan</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62" w:lineRule="exact"/>
        <w:rPr>
          <w:sz w:val="20"/>
          <w:szCs w:val="20"/>
          <w:color w:val="auto"/>
        </w:rPr>
      </w:pPr>
    </w:p>
    <w:p>
      <w:pPr>
        <w:sectPr>
          <w:pgSz w:w="11900" w:h="16838" w:orient="portrait"/>
          <w:cols w:equalWidth="0" w:num="1">
            <w:col w:w="11420"/>
          </w:cols>
          <w:pgMar w:left="240" w:top="122" w:right="239" w:bottom="1440" w:gutter="0" w:footer="0" w:header="0"/>
        </w:sectPr>
      </w:pPr>
    </w:p>
    <w:tbl>
      <w:tblPr>
        <w:tblLayout w:type="fixed"/>
        <w:tblInd w:w="260" w:type="dxa"/>
        <w:tblCellMar>
          <w:top w:w="0" w:type="dxa"/>
          <w:left w:w="0" w:type="dxa"/>
          <w:bottom w:w="0" w:type="dxa"/>
          <w:right w:w="0" w:type="dxa"/>
        </w:tblCellMar>
      </w:tblPr>
      <w:tr>
        <w:trPr>
          <w:trHeight w:val="230"/>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10.22*</w:t>
            </w:r>
          </w:p>
        </w:tc>
        <w:tc>
          <w:tcPr>
            <w:tcW w:w="6420" w:type="dxa"/>
            <w:vAlign w:val="bottom"/>
            <w:tcBorders>
              <w:bottom w:val="single" w:sz="8" w:color="0000FF"/>
            </w:tcBorders>
            <w:gridSpan w:val="23"/>
          </w:tcPr>
          <w:p>
            <w:pPr>
              <w:spacing w:after="0"/>
              <w:rPr>
                <w:rFonts w:ascii="Arial" w:cs="Arial" w:eastAsia="Arial" w:hAnsi="Arial"/>
                <w:sz w:val="20"/>
                <w:szCs w:val="20"/>
                <w:color w:val="0000FF"/>
                <w:w w:val="89"/>
              </w:rPr>
            </w:pPr>
            <w:hyperlink r:id="rId87">
              <w:r>
                <w:rPr>
                  <w:rFonts w:ascii="Arial" w:cs="Arial" w:eastAsia="Arial" w:hAnsi="Arial"/>
                  <w:sz w:val="20"/>
                  <w:szCs w:val="20"/>
                  <w:color w:val="0000FF"/>
                  <w:w w:val="89"/>
                </w:rPr>
                <w:t>Form of Performance Award Agreement for performance units granted under the</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6420" w:type="dxa"/>
            <w:vAlign w:val="bottom"/>
            <w:gridSpan w:val="23"/>
          </w:tcPr>
          <w:p>
            <w:pPr>
              <w:spacing w:after="0" w:line="209" w:lineRule="exact"/>
              <w:rPr>
                <w:rFonts w:ascii="Arial" w:cs="Arial" w:eastAsia="Arial" w:hAnsi="Arial"/>
                <w:sz w:val="20"/>
                <w:szCs w:val="20"/>
                <w:color w:val="0000FF"/>
              </w:rPr>
            </w:pPr>
            <w:hyperlink r:id="rId87">
              <w:r>
                <w:rPr>
                  <w:rFonts w:ascii="Arial" w:cs="Arial" w:eastAsia="Arial" w:hAnsi="Arial"/>
                  <w:sz w:val="20"/>
                  <w:szCs w:val="20"/>
                  <w:color w:val="0000FF"/>
                </w:rPr>
                <w:t>Bloomin’ Brands, Inc. 2016 Omnibus Incentive Compensation Plan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10.23*</w:t>
            </w:r>
          </w:p>
        </w:tc>
        <w:tc>
          <w:tcPr>
            <w:tcW w:w="6420" w:type="dxa"/>
            <w:vAlign w:val="bottom"/>
            <w:gridSpan w:val="23"/>
          </w:tcPr>
          <w:p>
            <w:pPr>
              <w:spacing w:after="0"/>
              <w:rPr>
                <w:rFonts w:ascii="Arial" w:cs="Arial" w:eastAsia="Arial" w:hAnsi="Arial"/>
                <w:sz w:val="20"/>
                <w:szCs w:val="20"/>
                <w:color w:val="0000FF"/>
                <w:w w:val="92"/>
              </w:rPr>
            </w:pPr>
            <w:hyperlink r:id="rId88">
              <w:r>
                <w:rPr>
                  <w:rFonts w:ascii="Arial" w:cs="Arial" w:eastAsia="Arial" w:hAnsi="Arial"/>
                  <w:sz w:val="20"/>
                  <w:szCs w:val="20"/>
                  <w:color w:val="0000FF"/>
                  <w:w w:val="92"/>
                </w:rPr>
                <w:t>Form of Restricted Cash Award Agreement for cash awards granted under the</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6220" w:type="dxa"/>
            <w:vAlign w:val="bottom"/>
            <w:tcBorders>
              <w:top w:val="single" w:sz="8" w:color="0000FF"/>
            </w:tcBorders>
            <w:gridSpan w:val="18"/>
          </w:tcPr>
          <w:p>
            <w:pPr>
              <w:spacing w:after="0" w:line="209" w:lineRule="exact"/>
              <w:rPr>
                <w:rFonts w:ascii="Arial" w:cs="Arial" w:eastAsia="Arial" w:hAnsi="Arial"/>
                <w:sz w:val="20"/>
                <w:szCs w:val="20"/>
                <w:color w:val="0000FF"/>
              </w:rPr>
            </w:pPr>
            <w:hyperlink r:id="rId88">
              <w:r>
                <w:rPr>
                  <w:rFonts w:ascii="Arial" w:cs="Arial" w:eastAsia="Arial" w:hAnsi="Arial"/>
                  <w:sz w:val="20"/>
                  <w:szCs w:val="20"/>
                  <w:color w:val="0000FF"/>
                </w:rPr>
                <w:t>Bloomin’ Brands, Inc. 2016 Omnibus Incentive Compensation Plan</w:t>
              </w:r>
            </w:hyperlink>
          </w:p>
        </w:tc>
        <w:tc>
          <w:tcPr>
            <w:tcW w:w="2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ind w:right="301"/>
              <w:spacing w:after="0"/>
              <w:rPr>
                <w:sz w:val="20"/>
                <w:szCs w:val="20"/>
                <w:color w:val="auto"/>
              </w:rPr>
            </w:pPr>
            <w:r>
              <w:rPr>
                <w:rFonts w:ascii="Arial" w:cs="Arial" w:eastAsia="Arial" w:hAnsi="Arial"/>
                <w:sz w:val="20"/>
                <w:szCs w:val="20"/>
                <w:color w:val="auto"/>
                <w:w w:val="89"/>
              </w:rPr>
              <w:t>10.24*</w:t>
            </w:r>
          </w:p>
        </w:tc>
        <w:tc>
          <w:tcPr>
            <w:tcW w:w="4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940" w:type="dxa"/>
            <w:vAlign w:val="bottom"/>
            <w:vMerge w:val="continue"/>
          </w:tcPr>
          <w:p>
            <w:pPr>
              <w:spacing w:after="0"/>
              <w:rPr>
                <w:sz w:val="24"/>
                <w:szCs w:val="24"/>
                <w:color w:val="auto"/>
              </w:rPr>
            </w:pPr>
          </w:p>
        </w:tc>
        <w:tc>
          <w:tcPr>
            <w:tcW w:w="6420" w:type="dxa"/>
            <w:vAlign w:val="bottom"/>
            <w:gridSpan w:val="23"/>
            <w:vMerge w:val="restart"/>
          </w:tcPr>
          <w:p>
            <w:pPr>
              <w:spacing w:after="0"/>
              <w:rPr>
                <w:rFonts w:ascii="Arial" w:cs="Arial" w:eastAsia="Arial" w:hAnsi="Arial"/>
                <w:sz w:val="20"/>
                <w:szCs w:val="20"/>
                <w:color w:val="0000FF"/>
                <w:w w:val="91"/>
              </w:rPr>
            </w:pPr>
            <w:hyperlink r:id="rId89">
              <w:r>
                <w:rPr>
                  <w:rFonts w:ascii="Arial" w:cs="Arial" w:eastAsia="Arial" w:hAnsi="Arial"/>
                  <w:sz w:val="20"/>
                  <w:szCs w:val="20"/>
                  <w:color w:val="0000FF"/>
                  <w:w w:val="91"/>
                </w:rPr>
                <w:t>Bloomin’ Brands, Inc. Executive Change in Control Plan, effective December 6,</w:t>
              </w:r>
            </w:hyperlink>
          </w:p>
        </w:tc>
        <w:tc>
          <w:tcPr>
            <w:tcW w:w="0" w:type="dxa"/>
            <w:vAlign w:val="bottom"/>
          </w:tcPr>
          <w:p>
            <w:pPr>
              <w:spacing w:after="0"/>
              <w:rPr>
                <w:sz w:val="1"/>
                <w:szCs w:val="1"/>
                <w:color w:val="auto"/>
              </w:rPr>
            </w:pPr>
          </w:p>
        </w:tc>
      </w:tr>
      <w:tr>
        <w:trPr>
          <w:trHeight w:val="37"/>
        </w:trPr>
        <w:tc>
          <w:tcPr>
            <w:tcW w:w="940" w:type="dxa"/>
            <w:vAlign w:val="bottom"/>
          </w:tcPr>
          <w:p>
            <w:pPr>
              <w:spacing w:after="0"/>
              <w:rPr>
                <w:sz w:val="3"/>
                <w:szCs w:val="3"/>
                <w:color w:val="auto"/>
              </w:rPr>
            </w:pPr>
          </w:p>
        </w:tc>
        <w:tc>
          <w:tcPr>
            <w:tcW w:w="6420" w:type="dxa"/>
            <w:vAlign w:val="bottom"/>
            <w:gridSpan w:val="2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5"/>
              </w:rPr>
            </w:pPr>
            <w:hyperlink r:id="rId89">
              <w:r>
                <w:rPr>
                  <w:rFonts w:ascii="Arial" w:cs="Arial" w:eastAsia="Arial" w:hAnsi="Arial"/>
                  <w:sz w:val="20"/>
                  <w:szCs w:val="20"/>
                  <w:color w:val="0000FF"/>
                  <w:w w:val="85"/>
                </w:rPr>
                <w:t>2012</w:t>
              </w:r>
            </w:hyperlink>
          </w:p>
        </w:tc>
        <w:tc>
          <w:tcPr>
            <w:tcW w:w="144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10.25*</w:t>
            </w:r>
          </w:p>
        </w:tc>
        <w:tc>
          <w:tcPr>
            <w:tcW w:w="6420" w:type="dxa"/>
            <w:vAlign w:val="bottom"/>
            <w:gridSpan w:val="23"/>
          </w:tcPr>
          <w:p>
            <w:pPr>
              <w:spacing w:after="0"/>
              <w:rPr>
                <w:rFonts w:ascii="Arial" w:cs="Arial" w:eastAsia="Arial" w:hAnsi="Arial"/>
                <w:sz w:val="20"/>
                <w:szCs w:val="20"/>
                <w:color w:val="0000FF"/>
                <w:w w:val="90"/>
              </w:rPr>
            </w:pPr>
            <w:hyperlink r:id="rId90">
              <w:r>
                <w:rPr>
                  <w:rFonts w:ascii="Arial" w:cs="Arial" w:eastAsia="Arial" w:hAnsi="Arial"/>
                  <w:sz w:val="20"/>
                  <w:szCs w:val="20"/>
                  <w:color w:val="0000FF"/>
                  <w:w w:val="90"/>
                </w:rPr>
                <w:t>Option Agreement, dated July 1, 2011, by and between Kangaroo Holdings, Inc.</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6360" w:type="dxa"/>
            <w:vAlign w:val="bottom"/>
            <w:tcBorders>
              <w:top w:val="single" w:sz="8" w:color="0000FF"/>
            </w:tcBorders>
            <w:gridSpan w:val="20"/>
          </w:tcPr>
          <w:p>
            <w:pPr>
              <w:spacing w:after="0" w:line="209" w:lineRule="exact"/>
              <w:rPr>
                <w:rFonts w:ascii="Arial" w:cs="Arial" w:eastAsia="Arial" w:hAnsi="Arial"/>
                <w:sz w:val="20"/>
                <w:szCs w:val="20"/>
                <w:color w:val="0000FF"/>
              </w:rPr>
            </w:pPr>
            <w:hyperlink r:id="rId90">
              <w:r>
                <w:rPr>
                  <w:rFonts w:ascii="Arial" w:cs="Arial" w:eastAsia="Arial" w:hAnsi="Arial"/>
                  <w:sz w:val="20"/>
                  <w:szCs w:val="20"/>
                  <w:color w:val="0000FF"/>
                </w:rPr>
                <w:t>and Elizabeth A. Smith</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10.26*</w:t>
            </w:r>
          </w:p>
        </w:tc>
        <w:tc>
          <w:tcPr>
            <w:tcW w:w="6420" w:type="dxa"/>
            <w:vAlign w:val="bottom"/>
            <w:tcBorders>
              <w:bottom w:val="single" w:sz="8" w:color="0000FF"/>
            </w:tcBorders>
            <w:gridSpan w:val="23"/>
          </w:tcPr>
          <w:p>
            <w:pPr>
              <w:spacing w:after="0"/>
              <w:rPr>
                <w:rFonts w:ascii="Arial" w:cs="Arial" w:eastAsia="Arial" w:hAnsi="Arial"/>
                <w:sz w:val="20"/>
                <w:szCs w:val="20"/>
                <w:color w:val="0000FF"/>
                <w:w w:val="89"/>
              </w:rPr>
            </w:pPr>
            <w:hyperlink r:id="rId91">
              <w:r>
                <w:rPr>
                  <w:rFonts w:ascii="Arial" w:cs="Arial" w:eastAsia="Arial" w:hAnsi="Arial"/>
                  <w:sz w:val="20"/>
                  <w:szCs w:val="20"/>
                  <w:color w:val="0000FF"/>
                  <w:w w:val="89"/>
                </w:rPr>
                <w:t>Second Amended and Restated Employment Agreement, effective April 1, 2019,</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960" w:type="dxa"/>
            <w:vAlign w:val="bottom"/>
            <w:tcBorders>
              <w:bottom w:val="single" w:sz="8" w:color="0000FF"/>
            </w:tcBorders>
            <w:gridSpan w:val="10"/>
          </w:tcPr>
          <w:p>
            <w:pPr>
              <w:spacing w:after="0" w:line="209" w:lineRule="exact"/>
              <w:rPr>
                <w:rFonts w:ascii="Arial" w:cs="Arial" w:eastAsia="Arial" w:hAnsi="Arial"/>
                <w:sz w:val="20"/>
                <w:szCs w:val="20"/>
                <w:color w:val="0000FF"/>
                <w:w w:val="90"/>
              </w:rPr>
            </w:pPr>
            <w:hyperlink r:id="rId91">
              <w:r>
                <w:rPr>
                  <w:rFonts w:ascii="Arial" w:cs="Arial" w:eastAsia="Arial" w:hAnsi="Arial"/>
                  <w:sz w:val="20"/>
                  <w:szCs w:val="20"/>
                  <w:color w:val="0000FF"/>
                  <w:w w:val="90"/>
                </w:rPr>
                <w:t>by and between Elizabeth A. Smith and Bloomin’ Brands, Inc.</w:t>
              </w:r>
            </w:hyperlink>
          </w:p>
        </w:tc>
        <w:tc>
          <w:tcPr>
            <w:tcW w:w="14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10.27*</w:t>
            </w:r>
          </w:p>
        </w:tc>
        <w:tc>
          <w:tcPr>
            <w:tcW w:w="6420" w:type="dxa"/>
            <w:vAlign w:val="bottom"/>
            <w:tcBorders>
              <w:bottom w:val="single" w:sz="8" w:color="0000FF"/>
            </w:tcBorders>
            <w:gridSpan w:val="23"/>
          </w:tcPr>
          <w:p>
            <w:pPr>
              <w:spacing w:after="0"/>
              <w:rPr>
                <w:rFonts w:ascii="Arial" w:cs="Arial" w:eastAsia="Arial" w:hAnsi="Arial"/>
                <w:sz w:val="20"/>
                <w:szCs w:val="20"/>
                <w:color w:val="0000FF"/>
                <w:w w:val="90"/>
              </w:rPr>
            </w:pPr>
            <w:hyperlink r:id="rId92">
              <w:r>
                <w:rPr>
                  <w:rFonts w:ascii="Arial" w:cs="Arial" w:eastAsia="Arial" w:hAnsi="Arial"/>
                  <w:sz w:val="20"/>
                  <w:szCs w:val="20"/>
                  <w:color w:val="0000FF"/>
                  <w:w w:val="90"/>
                </w:rPr>
                <w:t>Amended and Restated Officer Employment Agreement, effective April 1, 2019,</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6420" w:type="dxa"/>
            <w:vAlign w:val="bottom"/>
            <w:gridSpan w:val="23"/>
          </w:tcPr>
          <w:p>
            <w:pPr>
              <w:spacing w:after="0" w:line="209" w:lineRule="exact"/>
              <w:rPr>
                <w:rFonts w:ascii="Arial" w:cs="Arial" w:eastAsia="Arial" w:hAnsi="Arial"/>
                <w:sz w:val="20"/>
                <w:szCs w:val="20"/>
                <w:color w:val="0000FF"/>
              </w:rPr>
            </w:pPr>
            <w:hyperlink r:id="rId92">
              <w:r>
                <w:rPr>
                  <w:rFonts w:ascii="Arial" w:cs="Arial" w:eastAsia="Arial" w:hAnsi="Arial"/>
                  <w:sz w:val="20"/>
                  <w:szCs w:val="20"/>
                  <w:color w:val="0000FF"/>
                </w:rPr>
                <w:t>by and between David J. Deno and Bloomin’ Brands, Inc.</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10.28*</w:t>
            </w:r>
          </w:p>
        </w:tc>
        <w:tc>
          <w:tcPr>
            <w:tcW w:w="6420" w:type="dxa"/>
            <w:vAlign w:val="bottom"/>
            <w:gridSpan w:val="23"/>
          </w:tcPr>
          <w:p>
            <w:pPr>
              <w:spacing w:after="0"/>
              <w:rPr>
                <w:rFonts w:ascii="Arial" w:cs="Arial" w:eastAsia="Arial" w:hAnsi="Arial"/>
                <w:sz w:val="20"/>
                <w:szCs w:val="20"/>
                <w:color w:val="0000FF"/>
                <w:w w:val="90"/>
              </w:rPr>
            </w:pPr>
            <w:hyperlink r:id="rId93">
              <w:r>
                <w:rPr>
                  <w:rFonts w:ascii="Arial" w:cs="Arial" w:eastAsia="Arial" w:hAnsi="Arial"/>
                  <w:sz w:val="20"/>
                  <w:szCs w:val="20"/>
                  <w:color w:val="0000FF"/>
                  <w:w w:val="90"/>
                </w:rPr>
                <w:t>Amended and Restated Employment Agreement dated June 14, 2007, between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6420" w:type="dxa"/>
            <w:vAlign w:val="bottom"/>
            <w:gridSpan w:val="23"/>
          </w:tcPr>
          <w:p>
            <w:pPr>
              <w:spacing w:after="0" w:line="209" w:lineRule="exact"/>
              <w:rPr>
                <w:rFonts w:ascii="Arial" w:cs="Arial" w:eastAsia="Arial" w:hAnsi="Arial"/>
                <w:sz w:val="20"/>
                <w:szCs w:val="20"/>
                <w:color w:val="0000FF"/>
                <w:w w:val="89"/>
              </w:rPr>
            </w:pPr>
            <w:hyperlink r:id="rId93">
              <w:r>
                <w:rPr>
                  <w:rFonts w:ascii="Arial" w:cs="Arial" w:eastAsia="Arial" w:hAnsi="Arial"/>
                  <w:sz w:val="20"/>
                  <w:szCs w:val="20"/>
                  <w:color w:val="0000FF"/>
                  <w:w w:val="89"/>
                </w:rPr>
                <w:t>Joseph J. Kadow and OSI Restaurant Partners, LLC, as amended on January 1,</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6240" w:type="dxa"/>
            <w:vAlign w:val="bottom"/>
            <w:tcBorders>
              <w:top w:val="single" w:sz="8" w:color="0000FF"/>
            </w:tcBorders>
            <w:gridSpan w:val="19"/>
          </w:tcPr>
          <w:p>
            <w:pPr>
              <w:spacing w:after="0" w:line="209" w:lineRule="exact"/>
              <w:rPr>
                <w:rFonts w:ascii="Arial" w:cs="Arial" w:eastAsia="Arial" w:hAnsi="Arial"/>
                <w:sz w:val="20"/>
                <w:szCs w:val="20"/>
                <w:color w:val="0000FF"/>
              </w:rPr>
            </w:pPr>
            <w:hyperlink r:id="rId93">
              <w:r>
                <w:rPr>
                  <w:rFonts w:ascii="Arial" w:cs="Arial" w:eastAsia="Arial" w:hAnsi="Arial"/>
                  <w:sz w:val="20"/>
                  <w:szCs w:val="20"/>
                  <w:color w:val="0000FF"/>
                </w:rPr>
                <w:t>2009, June 12, 2009, December 30, 2010 and December 16, 2011</w:t>
              </w:r>
            </w:hyperlink>
          </w:p>
        </w:tc>
        <w:tc>
          <w:tcPr>
            <w:tcW w:w="1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10.29*</w:t>
            </w:r>
          </w:p>
        </w:tc>
        <w:tc>
          <w:tcPr>
            <w:tcW w:w="6400" w:type="dxa"/>
            <w:vAlign w:val="bottom"/>
            <w:tcBorders>
              <w:bottom w:val="single" w:sz="8" w:color="0000FF"/>
            </w:tcBorders>
            <w:gridSpan w:val="22"/>
          </w:tcPr>
          <w:p>
            <w:pPr>
              <w:spacing w:after="0"/>
              <w:rPr>
                <w:rFonts w:ascii="Arial" w:cs="Arial" w:eastAsia="Arial" w:hAnsi="Arial"/>
                <w:sz w:val="20"/>
                <w:szCs w:val="20"/>
                <w:color w:val="0000FF"/>
                <w:w w:val="90"/>
              </w:rPr>
            </w:pPr>
            <w:hyperlink r:id="rId94">
              <w:r>
                <w:rPr>
                  <w:rFonts w:ascii="Arial" w:cs="Arial" w:eastAsia="Arial" w:hAnsi="Arial"/>
                  <w:sz w:val="20"/>
                  <w:szCs w:val="20"/>
                  <w:color w:val="0000FF"/>
                  <w:w w:val="90"/>
                </w:rPr>
                <w:t>Split-Dollar Agreement dated August 12, 2008 and effective March 30, 2006,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60" w:type="dxa"/>
            <w:vAlign w:val="bottom"/>
            <w:tcBorders>
              <w:bottom w:val="single" w:sz="8" w:color="0000FF"/>
            </w:tcBorders>
            <w:gridSpan w:val="13"/>
          </w:tcPr>
          <w:p>
            <w:pPr>
              <w:spacing w:after="0" w:line="209" w:lineRule="exact"/>
              <w:rPr>
                <w:rFonts w:ascii="Arial" w:cs="Arial" w:eastAsia="Arial" w:hAnsi="Arial"/>
                <w:sz w:val="20"/>
                <w:szCs w:val="20"/>
                <w:color w:val="0000FF"/>
                <w:w w:val="89"/>
              </w:rPr>
            </w:pPr>
            <w:hyperlink r:id="rId94">
              <w:r>
                <w:rPr>
                  <w:rFonts w:ascii="Arial" w:cs="Arial" w:eastAsia="Arial" w:hAnsi="Arial"/>
                  <w:sz w:val="20"/>
                  <w:szCs w:val="20"/>
                  <w:color w:val="0000FF"/>
                  <w:w w:val="89"/>
                </w:rPr>
                <w:t>and between OSI Restaurant Partners, LLC (formerly known as Outback</w:t>
              </w:r>
            </w:hyperlink>
          </w:p>
        </w:tc>
        <w:tc>
          <w:tcPr>
            <w:tcW w:w="6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6420" w:type="dxa"/>
            <w:vAlign w:val="bottom"/>
            <w:gridSpan w:val="23"/>
          </w:tcPr>
          <w:p>
            <w:pPr>
              <w:spacing w:after="0" w:line="209" w:lineRule="exact"/>
              <w:rPr>
                <w:rFonts w:ascii="Arial" w:cs="Arial" w:eastAsia="Arial" w:hAnsi="Arial"/>
                <w:sz w:val="20"/>
                <w:szCs w:val="20"/>
                <w:color w:val="0000FF"/>
              </w:rPr>
            </w:pPr>
            <w:hyperlink r:id="rId94">
              <w:r>
                <w:rPr>
                  <w:rFonts w:ascii="Arial" w:cs="Arial" w:eastAsia="Arial" w:hAnsi="Arial"/>
                  <w:sz w:val="20"/>
                  <w:szCs w:val="20"/>
                  <w:color w:val="0000FF"/>
                </w:rPr>
                <w:t>Steakhouse, Inc.) and Joseph J. Kadow</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10.30*</w:t>
            </w:r>
          </w:p>
        </w:tc>
        <w:tc>
          <w:tcPr>
            <w:tcW w:w="5960" w:type="dxa"/>
            <w:vAlign w:val="bottom"/>
            <w:tcBorders>
              <w:bottom w:val="single" w:sz="8" w:color="0000FF"/>
            </w:tcBorders>
            <w:gridSpan w:val="16"/>
          </w:tcPr>
          <w:p>
            <w:pPr>
              <w:spacing w:after="0"/>
              <w:rPr>
                <w:rFonts w:ascii="Arial" w:cs="Arial" w:eastAsia="Arial" w:hAnsi="Arial"/>
                <w:sz w:val="20"/>
                <w:szCs w:val="20"/>
                <w:color w:val="0000FF"/>
                <w:w w:val="87"/>
              </w:rPr>
            </w:pPr>
            <w:hyperlink r:id="rId95">
              <w:r>
                <w:rPr>
                  <w:rFonts w:ascii="Arial" w:cs="Arial" w:eastAsia="Arial" w:hAnsi="Arial"/>
                  <w:sz w:val="20"/>
                  <w:szCs w:val="20"/>
                  <w:color w:val="0000FF"/>
                  <w:w w:val="87"/>
                </w:rPr>
                <w:t>Separation Agreement, dated as of July 31, 2019, by and between Joseph J.</w:t>
              </w:r>
            </w:hyperlink>
          </w:p>
        </w:tc>
        <w:tc>
          <w:tcPr>
            <w:tcW w:w="4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40" w:type="dxa"/>
            <w:vAlign w:val="bottom"/>
            <w:tcBorders>
              <w:bottom w:val="single" w:sz="8" w:color="0000FF"/>
            </w:tcBorders>
            <w:gridSpan w:val="6"/>
          </w:tcPr>
          <w:p>
            <w:pPr>
              <w:spacing w:after="0" w:line="209" w:lineRule="exact"/>
              <w:rPr>
                <w:rFonts w:ascii="Arial" w:cs="Arial" w:eastAsia="Arial" w:hAnsi="Arial"/>
                <w:sz w:val="20"/>
                <w:szCs w:val="20"/>
                <w:color w:val="0000FF"/>
                <w:w w:val="89"/>
              </w:rPr>
            </w:pPr>
            <w:hyperlink r:id="rId95">
              <w:r>
                <w:rPr>
                  <w:rFonts w:ascii="Arial" w:cs="Arial" w:eastAsia="Arial" w:hAnsi="Arial"/>
                  <w:sz w:val="20"/>
                  <w:szCs w:val="20"/>
                  <w:color w:val="0000FF"/>
                  <w:w w:val="89"/>
                </w:rPr>
                <w:t>Kadow and OSI Restaurant Partners, LLC</w:t>
              </w:r>
            </w:hyperlink>
          </w:p>
        </w:tc>
        <w:tc>
          <w:tcPr>
            <w:tcW w:w="308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10.31*</w:t>
            </w:r>
          </w:p>
        </w:tc>
        <w:tc>
          <w:tcPr>
            <w:tcW w:w="6420" w:type="dxa"/>
            <w:vAlign w:val="bottom"/>
            <w:gridSpan w:val="23"/>
          </w:tcPr>
          <w:p>
            <w:pPr>
              <w:spacing w:after="0"/>
              <w:rPr>
                <w:rFonts w:ascii="Arial" w:cs="Arial" w:eastAsia="Arial" w:hAnsi="Arial"/>
                <w:sz w:val="20"/>
                <w:szCs w:val="20"/>
                <w:color w:val="0000FF"/>
                <w:w w:val="99"/>
              </w:rPr>
            </w:pPr>
            <w:hyperlink r:id="rId96">
              <w:r>
                <w:rPr>
                  <w:rFonts w:ascii="Arial" w:cs="Arial" w:eastAsia="Arial" w:hAnsi="Arial"/>
                  <w:sz w:val="20"/>
                  <w:szCs w:val="20"/>
                  <w:color w:val="0000FF"/>
                  <w:w w:val="99"/>
                </w:rPr>
                <w:t>Employment Offer Letter Agreement, dated as of July 30, 2014, between</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440" w:type="dxa"/>
            <w:vAlign w:val="bottom"/>
            <w:tcBorders>
              <w:top w:val="single" w:sz="8" w:color="0000FF"/>
              <w:bottom w:val="single" w:sz="8" w:color="0000FF"/>
            </w:tcBorders>
            <w:gridSpan w:val="7"/>
          </w:tcPr>
          <w:p>
            <w:pPr>
              <w:spacing w:after="0" w:line="209" w:lineRule="exact"/>
              <w:rPr>
                <w:rFonts w:ascii="Arial" w:cs="Arial" w:eastAsia="Arial" w:hAnsi="Arial"/>
                <w:sz w:val="20"/>
                <w:szCs w:val="20"/>
                <w:color w:val="0000FF"/>
                <w:w w:val="92"/>
              </w:rPr>
            </w:pPr>
            <w:hyperlink r:id="rId96">
              <w:r>
                <w:rPr>
                  <w:rFonts w:ascii="Arial" w:cs="Arial" w:eastAsia="Arial" w:hAnsi="Arial"/>
                  <w:sz w:val="20"/>
                  <w:szCs w:val="20"/>
                  <w:color w:val="0000FF"/>
                  <w:w w:val="92"/>
                </w:rPr>
                <w:t>Bloomin’ Brands, Inc. and Donagh Herlihy</w:t>
              </w:r>
            </w:hyperlink>
          </w:p>
        </w:tc>
        <w:tc>
          <w:tcPr>
            <w:tcW w:w="2340" w:type="dxa"/>
            <w:vAlign w:val="bottom"/>
            <w:tcBorders>
              <w:top w:val="single" w:sz="8" w:color="0000FF"/>
            </w:tcBorders>
            <w:gridSpan w:val="7"/>
          </w:tcPr>
          <w:p>
            <w:pPr>
              <w:spacing w:after="0"/>
              <w:rPr>
                <w:sz w:val="18"/>
                <w:szCs w:val="18"/>
                <w:color w:val="auto"/>
              </w:rPr>
            </w:pPr>
          </w:p>
        </w:tc>
        <w:tc>
          <w:tcPr>
            <w:tcW w:w="6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10.32*</w:t>
            </w:r>
          </w:p>
        </w:tc>
        <w:tc>
          <w:tcPr>
            <w:tcW w:w="6420" w:type="dxa"/>
            <w:vAlign w:val="bottom"/>
            <w:gridSpan w:val="23"/>
          </w:tcPr>
          <w:p>
            <w:pPr>
              <w:spacing w:after="0"/>
              <w:rPr>
                <w:rFonts w:ascii="Arial" w:cs="Arial" w:eastAsia="Arial" w:hAnsi="Arial"/>
                <w:sz w:val="20"/>
                <w:szCs w:val="20"/>
                <w:color w:val="0000FF"/>
                <w:w w:val="93"/>
              </w:rPr>
            </w:pPr>
            <w:hyperlink r:id="rId97">
              <w:r>
                <w:rPr>
                  <w:rFonts w:ascii="Arial" w:cs="Arial" w:eastAsia="Arial" w:hAnsi="Arial"/>
                  <w:sz w:val="20"/>
                  <w:szCs w:val="20"/>
                  <w:color w:val="0000FF"/>
                  <w:w w:val="93"/>
                </w:rPr>
                <w:t>Employment Offer Letter Agreement, dated as of February 12, 2016, between</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6220" w:type="dxa"/>
            <w:vAlign w:val="bottom"/>
            <w:tcBorders>
              <w:top w:val="single" w:sz="8" w:color="0000FF"/>
            </w:tcBorders>
            <w:gridSpan w:val="18"/>
          </w:tcPr>
          <w:p>
            <w:pPr>
              <w:spacing w:after="0" w:line="209" w:lineRule="exact"/>
              <w:rPr>
                <w:rFonts w:ascii="Arial" w:cs="Arial" w:eastAsia="Arial" w:hAnsi="Arial"/>
                <w:sz w:val="20"/>
                <w:szCs w:val="20"/>
                <w:color w:val="0000FF"/>
              </w:rPr>
            </w:pPr>
            <w:hyperlink r:id="rId97">
              <w:r>
                <w:rPr>
                  <w:rFonts w:ascii="Arial" w:cs="Arial" w:eastAsia="Arial" w:hAnsi="Arial"/>
                  <w:sz w:val="20"/>
                  <w:szCs w:val="20"/>
                  <w:color w:val="0000FF"/>
                </w:rPr>
                <w:t>Bloomin’ Brands, Inc. and Michael Kappitt</w:t>
              </w:r>
            </w:hyperlink>
          </w:p>
        </w:tc>
        <w:tc>
          <w:tcPr>
            <w:tcW w:w="2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10.33*</w:t>
            </w:r>
          </w:p>
        </w:tc>
        <w:tc>
          <w:tcPr>
            <w:tcW w:w="6420" w:type="dxa"/>
            <w:vAlign w:val="bottom"/>
            <w:gridSpan w:val="23"/>
          </w:tcPr>
          <w:p>
            <w:pPr>
              <w:spacing w:after="0"/>
              <w:rPr>
                <w:rFonts w:ascii="Arial" w:cs="Arial" w:eastAsia="Arial" w:hAnsi="Arial"/>
                <w:sz w:val="20"/>
                <w:szCs w:val="20"/>
                <w:color w:val="0000FF"/>
                <w:w w:val="99"/>
              </w:rPr>
            </w:pPr>
            <w:hyperlink r:id="rId98">
              <w:r>
                <w:rPr>
                  <w:rFonts w:ascii="Arial" w:cs="Arial" w:eastAsia="Arial" w:hAnsi="Arial"/>
                  <w:sz w:val="20"/>
                  <w:szCs w:val="20"/>
                  <w:color w:val="0000FF"/>
                  <w:w w:val="99"/>
                </w:rPr>
                <w:t>Employment Offer Letter Agreement, dated as of July 29, 2016, between</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80" w:type="dxa"/>
            <w:vAlign w:val="bottom"/>
            <w:tcBorders>
              <w:top w:val="single" w:sz="8" w:color="0000FF"/>
            </w:tcBorders>
            <w:gridSpan w:val="14"/>
          </w:tcPr>
          <w:p>
            <w:pPr>
              <w:spacing w:after="0" w:line="209" w:lineRule="exact"/>
              <w:rPr>
                <w:rFonts w:ascii="Arial" w:cs="Arial" w:eastAsia="Arial" w:hAnsi="Arial"/>
                <w:sz w:val="20"/>
                <w:szCs w:val="20"/>
                <w:color w:val="0000FF"/>
              </w:rPr>
            </w:pPr>
            <w:hyperlink r:id="rId98">
              <w:r>
                <w:rPr>
                  <w:rFonts w:ascii="Arial" w:cs="Arial" w:eastAsia="Arial" w:hAnsi="Arial"/>
                  <w:sz w:val="20"/>
                  <w:szCs w:val="20"/>
                  <w:color w:val="0000FF"/>
                </w:rPr>
                <w:t>Bloomin’ Brands, Inc. and Gregg Scarlett</w:t>
              </w:r>
            </w:hyperlink>
          </w:p>
        </w:tc>
        <w:tc>
          <w:tcPr>
            <w:tcW w:w="6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10.34*</w:t>
            </w:r>
          </w:p>
        </w:tc>
        <w:tc>
          <w:tcPr>
            <w:tcW w:w="6420" w:type="dxa"/>
            <w:vAlign w:val="bottom"/>
            <w:gridSpan w:val="23"/>
          </w:tcPr>
          <w:p>
            <w:pPr>
              <w:spacing w:after="0"/>
              <w:rPr>
                <w:rFonts w:ascii="Arial" w:cs="Arial" w:eastAsia="Arial" w:hAnsi="Arial"/>
                <w:sz w:val="20"/>
                <w:szCs w:val="20"/>
                <w:color w:val="0000FF"/>
                <w:w w:val="94"/>
              </w:rPr>
            </w:pPr>
            <w:hyperlink r:id="rId99">
              <w:r>
                <w:rPr>
                  <w:rFonts w:ascii="Arial" w:cs="Arial" w:eastAsia="Arial" w:hAnsi="Arial"/>
                  <w:sz w:val="20"/>
                  <w:szCs w:val="20"/>
                  <w:color w:val="0000FF"/>
                  <w:w w:val="94"/>
                </w:rPr>
                <w:t>Employment Offer Letter Agreement, dated as of January 15, 2019, between</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6060" w:type="dxa"/>
            <w:vAlign w:val="bottom"/>
            <w:tcBorders>
              <w:top w:val="single" w:sz="8" w:color="0000FF"/>
            </w:tcBorders>
            <w:gridSpan w:val="17"/>
          </w:tcPr>
          <w:p>
            <w:pPr>
              <w:spacing w:after="0" w:line="209" w:lineRule="exact"/>
              <w:rPr>
                <w:rFonts w:ascii="Arial" w:cs="Arial" w:eastAsia="Arial" w:hAnsi="Arial"/>
                <w:sz w:val="20"/>
                <w:szCs w:val="20"/>
                <w:color w:val="0000FF"/>
              </w:rPr>
            </w:pPr>
            <w:hyperlink r:id="rId99">
              <w:r>
                <w:rPr>
                  <w:rFonts w:ascii="Arial" w:cs="Arial" w:eastAsia="Arial" w:hAnsi="Arial"/>
                  <w:sz w:val="20"/>
                  <w:szCs w:val="20"/>
                  <w:color w:val="0000FF"/>
                </w:rPr>
                <w:t>Bloomin’ Brands, Inc. and Jeff Carcara</w:t>
              </w:r>
            </w:hyperlink>
          </w:p>
        </w:tc>
        <w:tc>
          <w:tcPr>
            <w:tcW w:w="3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10.35*</w:t>
            </w:r>
          </w:p>
        </w:tc>
        <w:tc>
          <w:tcPr>
            <w:tcW w:w="6420" w:type="dxa"/>
            <w:vAlign w:val="bottom"/>
            <w:gridSpan w:val="23"/>
          </w:tcPr>
          <w:p>
            <w:pPr>
              <w:spacing w:after="0"/>
              <w:rPr>
                <w:rFonts w:ascii="Arial" w:cs="Arial" w:eastAsia="Arial" w:hAnsi="Arial"/>
                <w:sz w:val="20"/>
                <w:szCs w:val="20"/>
                <w:color w:val="0000FF"/>
                <w:w w:val="98"/>
              </w:rPr>
            </w:pPr>
            <w:hyperlink r:id="rId100">
              <w:r>
                <w:rPr>
                  <w:rFonts w:ascii="Arial" w:cs="Arial" w:eastAsia="Arial" w:hAnsi="Arial"/>
                  <w:sz w:val="20"/>
                  <w:szCs w:val="20"/>
                  <w:color w:val="0000FF"/>
                  <w:w w:val="98"/>
                </w:rPr>
                <w:t>Employment Offer Letter Agreement, dated as of March 7, 2019, between</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660" w:type="dxa"/>
            <w:vAlign w:val="bottom"/>
            <w:tcBorders>
              <w:top w:val="single" w:sz="8" w:color="0000FF"/>
              <w:bottom w:val="single" w:sz="8" w:color="0000FF"/>
            </w:tcBorders>
            <w:gridSpan w:val="8"/>
          </w:tcPr>
          <w:p>
            <w:pPr>
              <w:spacing w:after="0" w:line="209" w:lineRule="exact"/>
              <w:rPr>
                <w:rFonts w:ascii="Arial" w:cs="Arial" w:eastAsia="Arial" w:hAnsi="Arial"/>
                <w:sz w:val="20"/>
                <w:szCs w:val="20"/>
                <w:color w:val="0000FF"/>
                <w:w w:val="91"/>
              </w:rPr>
            </w:pPr>
            <w:hyperlink r:id="rId100">
              <w:r>
                <w:rPr>
                  <w:rFonts w:ascii="Arial" w:cs="Arial" w:eastAsia="Arial" w:hAnsi="Arial"/>
                  <w:sz w:val="20"/>
                  <w:szCs w:val="20"/>
                  <w:color w:val="0000FF"/>
                  <w:w w:val="91"/>
                </w:rPr>
                <w:t>Bloomin’ Brands, Inc. and Christopher Meyer</w:t>
              </w:r>
            </w:hyperlink>
          </w:p>
        </w:tc>
        <w:tc>
          <w:tcPr>
            <w:tcW w:w="2200" w:type="dxa"/>
            <w:vAlign w:val="bottom"/>
            <w:tcBorders>
              <w:top w:val="single" w:sz="8" w:color="0000FF"/>
            </w:tcBorders>
            <w:gridSpan w:val="7"/>
          </w:tcPr>
          <w:p>
            <w:pPr>
              <w:spacing w:after="0"/>
              <w:rPr>
                <w:sz w:val="18"/>
                <w:szCs w:val="18"/>
                <w:color w:val="auto"/>
              </w:rPr>
            </w:pPr>
          </w:p>
        </w:tc>
        <w:tc>
          <w:tcPr>
            <w:tcW w:w="5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June 26, 2016 Form 10-Q, Exhibit 10.5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March 26, 2017 Form 10-Q, Exhibit 10.1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10.1</w:t>
      </w:r>
    </w:p>
    <w:p>
      <w:pPr>
        <w:spacing w:after="0" w:line="200" w:lineRule="exact"/>
        <w:rPr>
          <w:sz w:val="20"/>
          <w:szCs w:val="20"/>
          <w:color w:val="auto"/>
        </w:rPr>
      </w:pPr>
    </w:p>
    <w:p>
      <w:pPr>
        <w:spacing w:after="0" w:line="309"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Form 10-Q, Exhibit 10.2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March 31, 2019 Form 10-Q, Exhibit 10.3</w:t>
      </w:r>
    </w:p>
    <w:p>
      <w:pPr>
        <w:spacing w:after="0" w:line="200" w:lineRule="exact"/>
        <w:rPr>
          <w:sz w:val="20"/>
          <w:szCs w:val="20"/>
          <w:color w:val="auto"/>
        </w:rPr>
      </w:pPr>
    </w:p>
    <w:p>
      <w:pPr>
        <w:spacing w:after="0" w:line="228"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10.29</w:t>
      </w:r>
    </w:p>
    <w:p>
      <w:pPr>
        <w:spacing w:after="0" w:line="146"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10.48</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June 30, 2019 Form 10-Q, Exhibit 10.5</w:t>
      </w:r>
    </w:p>
    <w:p>
      <w:pPr>
        <w:spacing w:after="0" w:line="200" w:lineRule="exact"/>
        <w:rPr>
          <w:sz w:val="20"/>
          <w:szCs w:val="20"/>
          <w:color w:val="auto"/>
        </w:rPr>
      </w:pPr>
    </w:p>
    <w:p>
      <w:pPr>
        <w:spacing w:after="0" w:line="21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December 28, 2014 Form 10-K, Exhibit 10.58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March 27, 2016 Form 10-Q, Exhibit 10.3</w:t>
      </w:r>
    </w:p>
    <w:p>
      <w:pPr>
        <w:spacing w:after="0" w:line="200" w:lineRule="exact"/>
        <w:rPr>
          <w:sz w:val="20"/>
          <w:szCs w:val="20"/>
          <w:color w:val="auto"/>
        </w:rPr>
      </w:pPr>
    </w:p>
    <w:p>
      <w:pPr>
        <w:spacing w:after="0" w:line="228"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September 25, 2016 Form 10-Q, Exhibit 10.2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Form 10-Q, Exhibit 10.1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March 31, 2019 Form 10-Q, Exhibit 10.4</w:t>
      </w:r>
    </w:p>
    <w:p>
      <w:pPr>
        <w:spacing w:after="0" w:line="442" w:lineRule="exact"/>
        <w:rPr>
          <w:sz w:val="20"/>
          <w:szCs w:val="20"/>
          <w:color w:val="auto"/>
        </w:rPr>
      </w:pPr>
    </w:p>
    <w:p>
      <w:pPr>
        <w:sectPr>
          <w:pgSz w:w="11900" w:h="16838" w:orient="portrait"/>
          <w:cols w:equalWidth="0" w:num="2">
            <w:col w:w="7620" w:space="300"/>
            <w:col w:w="3500"/>
          </w:cols>
          <w:pgMar w:left="240" w:top="122"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2" w:right="239" w:bottom="1440" w:gutter="0" w:footer="0" w:header="0"/>
          <w:type w:val="continuous"/>
        </w:sectPr>
      </w:pPr>
    </w:p>
    <w:bookmarkStart w:id="107" w:name="page108"/>
    <w:bookmarkEnd w:id="10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660"/>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60" w:type="dxa"/>
            <w:vAlign w:val="bottom"/>
            <w:gridSpan w:val="16"/>
          </w:tcPr>
          <w:p>
            <w:pPr>
              <w:ind w:left="64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ind w:left="420"/>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338"/>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Borders>
              <w:bottom w:val="single" w:sz="8" w:color="0000FF"/>
            </w:tcBorders>
            <w:gridSpan w:val="16"/>
          </w:tcPr>
          <w:p>
            <w:pPr>
              <w:spacing w:after="0"/>
              <w:rPr>
                <w:rFonts w:ascii="Arial" w:cs="Arial" w:eastAsia="Arial" w:hAnsi="Arial"/>
                <w:sz w:val="20"/>
                <w:szCs w:val="20"/>
                <w:color w:val="0000FF"/>
                <w:w w:val="90"/>
              </w:rPr>
            </w:pPr>
            <w:hyperlink r:id="rId101">
              <w:r>
                <w:rPr>
                  <w:rFonts w:ascii="Arial" w:cs="Arial" w:eastAsia="Arial" w:hAnsi="Arial"/>
                  <w:sz w:val="20"/>
                  <w:szCs w:val="20"/>
                  <w:color w:val="0000FF"/>
                  <w:w w:val="90"/>
                </w:rPr>
                <w:t>Employment Offer Letter Agreement, dated as of May 1, 2019, between Michael</w:t>
              </w:r>
            </w:hyperlink>
          </w:p>
        </w:tc>
        <w:tc>
          <w:tcPr>
            <w:tcW w:w="280" w:type="dxa"/>
            <w:vAlign w:val="bottom"/>
            <w:gridSpan w:val="2"/>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30, 2019 Form 10-Q, Exhibit 10.3</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18"/>
          </w:tcPr>
          <w:p>
            <w:pPr>
              <w:spacing w:after="0" w:line="209" w:lineRule="exact"/>
              <w:rPr>
                <w:rFonts w:ascii="Arial" w:cs="Arial" w:eastAsia="Arial" w:hAnsi="Arial"/>
                <w:sz w:val="20"/>
                <w:szCs w:val="20"/>
                <w:color w:val="0000FF"/>
              </w:rPr>
            </w:pPr>
            <w:hyperlink r:id="rId101">
              <w:r>
                <w:rPr>
                  <w:rFonts w:ascii="Arial" w:cs="Arial" w:eastAsia="Arial" w:hAnsi="Arial"/>
                  <w:sz w:val="20"/>
                  <w:szCs w:val="20"/>
                  <w:color w:val="0000FF"/>
                </w:rPr>
                <w:t>Stutts and Bloomin’ Brands, Inc.</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18"/>
          </w:tcPr>
          <w:p>
            <w:pPr>
              <w:spacing w:after="0"/>
              <w:rPr>
                <w:rFonts w:ascii="Arial" w:cs="Arial" w:eastAsia="Arial" w:hAnsi="Arial"/>
                <w:sz w:val="20"/>
                <w:szCs w:val="20"/>
                <w:color w:val="0000FF"/>
                <w:w w:val="97"/>
              </w:rPr>
            </w:pPr>
            <w:hyperlink r:id="rId102">
              <w:r>
                <w:rPr>
                  <w:rFonts w:ascii="Arial" w:cs="Arial" w:eastAsia="Arial" w:hAnsi="Arial"/>
                  <w:sz w:val="20"/>
                  <w:szCs w:val="20"/>
                  <w:color w:val="0000FF"/>
                  <w:w w:val="97"/>
                </w:rPr>
                <w:t>Employment Offer Letter Agreement, dated as of May 1, 2019, between Kelly</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June 30, 2019 Form 10-Q, Exhibit 10.4</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tcBorders>
              <w:top w:val="single" w:sz="8" w:color="0000FF"/>
              <w:bottom w:val="single" w:sz="8" w:color="0000FF"/>
            </w:tcBorders>
            <w:gridSpan w:val="6"/>
          </w:tcPr>
          <w:p>
            <w:pPr>
              <w:spacing w:after="0" w:line="209" w:lineRule="exact"/>
              <w:rPr>
                <w:rFonts w:ascii="Arial" w:cs="Arial" w:eastAsia="Arial" w:hAnsi="Arial"/>
                <w:sz w:val="20"/>
                <w:szCs w:val="20"/>
                <w:color w:val="0000FF"/>
                <w:w w:val="91"/>
              </w:rPr>
            </w:pPr>
            <w:hyperlink r:id="rId102">
              <w:r>
                <w:rPr>
                  <w:rFonts w:ascii="Arial" w:cs="Arial" w:eastAsia="Arial" w:hAnsi="Arial"/>
                  <w:sz w:val="20"/>
                  <w:szCs w:val="20"/>
                  <w:color w:val="0000FF"/>
                  <w:w w:val="91"/>
                </w:rPr>
                <w:t>Lefferts and Bloomin’ Brands, Inc.</w:t>
              </w:r>
            </w:hyperlink>
          </w:p>
        </w:tc>
        <w:tc>
          <w:tcPr>
            <w:tcW w:w="3420" w:type="dxa"/>
            <w:vAlign w:val="bottom"/>
            <w:tcBorders>
              <w:top w:val="single" w:sz="8" w:color="0000FF"/>
            </w:tcBorders>
            <w:gridSpan w:val="5"/>
          </w:tcPr>
          <w:p>
            <w:pPr>
              <w:spacing w:after="0"/>
              <w:rPr>
                <w:sz w:val="18"/>
                <w:szCs w:val="18"/>
                <w:color w:val="auto"/>
              </w:rPr>
            </w:pPr>
          </w:p>
        </w:tc>
        <w:tc>
          <w:tcPr>
            <w:tcW w:w="500" w:type="dxa"/>
            <w:vAlign w:val="bottom"/>
            <w:gridSpan w:val="7"/>
          </w:tcPr>
          <w:p>
            <w:pPr>
              <w:spacing w:after="0"/>
              <w:rPr>
                <w:sz w:val="18"/>
                <w:szCs w:val="18"/>
                <w:color w:val="auto"/>
              </w:rPr>
            </w:pPr>
          </w:p>
        </w:tc>
        <w:tc>
          <w:tcPr>
            <w:tcW w:w="3520" w:type="dxa"/>
            <w:vAlign w:val="bottom"/>
          </w:tcPr>
          <w:p>
            <w:pPr>
              <w:spacing w:after="0"/>
              <w:rPr>
                <w:sz w:val="18"/>
                <w:szCs w:val="18"/>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18"/>
          </w:tcPr>
          <w:p>
            <w:pPr>
              <w:spacing w:after="0"/>
              <w:rPr>
                <w:rFonts w:ascii="Arial" w:cs="Arial" w:eastAsia="Arial" w:hAnsi="Arial"/>
                <w:sz w:val="20"/>
                <w:szCs w:val="20"/>
                <w:color w:val="0000FF"/>
                <w:w w:val="92"/>
              </w:rPr>
            </w:pPr>
            <w:hyperlink w:anchor="page112">
              <w:r>
                <w:rPr>
                  <w:rFonts w:ascii="Arial" w:cs="Arial" w:eastAsia="Arial" w:hAnsi="Arial"/>
                  <w:sz w:val="20"/>
                  <w:szCs w:val="20"/>
                  <w:color w:val="0000FF"/>
                  <w:w w:val="92"/>
                </w:rPr>
                <w:t>Severance Agreement, dated as of January 14, 2020, by and between Donagh H.</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Borders>
              <w:top w:val="single" w:sz="8" w:color="0000FF"/>
            </w:tcBorders>
            <w:gridSpan w:val="15"/>
          </w:tcPr>
          <w:p>
            <w:pPr>
              <w:spacing w:after="0" w:line="209" w:lineRule="exact"/>
              <w:rPr>
                <w:rFonts w:ascii="Arial" w:cs="Arial" w:eastAsia="Arial" w:hAnsi="Arial"/>
                <w:sz w:val="20"/>
                <w:szCs w:val="20"/>
                <w:color w:val="0000FF"/>
              </w:rPr>
            </w:pPr>
            <w:hyperlink w:anchor="page112">
              <w:r>
                <w:rPr>
                  <w:rFonts w:ascii="Arial" w:cs="Arial" w:eastAsia="Arial" w:hAnsi="Arial"/>
                  <w:sz w:val="20"/>
                  <w:szCs w:val="20"/>
                  <w:color w:val="0000FF"/>
                </w:rPr>
                <w:t>Herlihy and OS Management, Inc.</w:t>
              </w:r>
            </w:hyperlink>
          </w:p>
        </w:tc>
        <w:tc>
          <w:tcPr>
            <w:tcW w:w="340" w:type="dxa"/>
            <w:vAlign w:val="bottom"/>
            <w:gridSpan w:val="3"/>
          </w:tcPr>
          <w:p>
            <w:pPr>
              <w:spacing w:after="0"/>
              <w:rPr>
                <w:sz w:val="18"/>
                <w:szCs w:val="18"/>
                <w:color w:val="auto"/>
              </w:rPr>
            </w:pPr>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18"/>
          </w:tcPr>
          <w:p>
            <w:pPr>
              <w:spacing w:after="0"/>
              <w:rPr>
                <w:rFonts w:ascii="Arial" w:cs="Arial" w:eastAsia="Arial" w:hAnsi="Arial"/>
                <w:sz w:val="20"/>
                <w:szCs w:val="20"/>
                <w:color w:val="0000FF"/>
                <w:w w:val="96"/>
              </w:rPr>
            </w:pPr>
            <w:hyperlink w:anchor="page122">
              <w:r>
                <w:rPr>
                  <w:rFonts w:ascii="Arial" w:cs="Arial" w:eastAsia="Arial" w:hAnsi="Arial"/>
                  <w:sz w:val="20"/>
                  <w:szCs w:val="20"/>
                  <w:color w:val="0000FF"/>
                  <w:w w:val="96"/>
                </w:rPr>
                <w:t>Resignation Agreement, effective March 6, 2020, by and between Elizabeth A.</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Borders>
              <w:top w:val="single" w:sz="8" w:color="0000FF"/>
            </w:tcBorders>
            <w:gridSpan w:val="13"/>
          </w:tcPr>
          <w:p>
            <w:pPr>
              <w:spacing w:after="0" w:line="209" w:lineRule="exact"/>
              <w:rPr>
                <w:rFonts w:ascii="Arial" w:cs="Arial" w:eastAsia="Arial" w:hAnsi="Arial"/>
                <w:sz w:val="20"/>
                <w:szCs w:val="20"/>
                <w:color w:val="0000FF"/>
              </w:rPr>
            </w:pPr>
            <w:hyperlink w:anchor="page122">
              <w:r>
                <w:rPr>
                  <w:rFonts w:ascii="Arial" w:cs="Arial" w:eastAsia="Arial" w:hAnsi="Arial"/>
                  <w:sz w:val="20"/>
                  <w:szCs w:val="20"/>
                  <w:color w:val="0000FF"/>
                </w:rPr>
                <w:t>Smith and Bloomin’ Brands, Inc.</w:t>
              </w:r>
            </w:hyperlink>
          </w:p>
        </w:tc>
        <w:tc>
          <w:tcPr>
            <w:tcW w:w="460" w:type="dxa"/>
            <w:vAlign w:val="bottom"/>
            <w:gridSpan w:val="5"/>
          </w:tcPr>
          <w:p>
            <w:pPr>
              <w:spacing w:after="0"/>
              <w:rPr>
                <w:sz w:val="18"/>
                <w:szCs w:val="18"/>
                <w:color w:val="auto"/>
              </w:rPr>
            </w:pPr>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18"/>
          </w:tcPr>
          <w:p>
            <w:pPr>
              <w:spacing w:after="0"/>
              <w:rPr>
                <w:rFonts w:ascii="Arial" w:cs="Arial" w:eastAsia="Arial" w:hAnsi="Arial"/>
                <w:sz w:val="20"/>
                <w:szCs w:val="20"/>
                <w:color w:val="0000FF"/>
                <w:w w:val="97"/>
              </w:rPr>
            </w:pPr>
            <w:hyperlink w:anchor="page127">
              <w:r>
                <w:rPr>
                  <w:rFonts w:ascii="Arial" w:cs="Arial" w:eastAsia="Arial" w:hAnsi="Arial"/>
                  <w:sz w:val="20"/>
                  <w:szCs w:val="20"/>
                  <w:color w:val="0000FF"/>
                  <w:w w:val="97"/>
                </w:rPr>
                <w:t>Employment Offer Letter Agreement, dated as of February 14, 2020,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60" w:type="dxa"/>
            <w:vAlign w:val="bottom"/>
            <w:tcBorders>
              <w:top w:val="single" w:sz="8" w:color="0000FF"/>
            </w:tcBorders>
            <w:gridSpan w:val="10"/>
          </w:tcPr>
          <w:p>
            <w:pPr>
              <w:spacing w:after="0" w:line="209" w:lineRule="exact"/>
              <w:rPr>
                <w:rFonts w:ascii="Arial" w:cs="Arial" w:eastAsia="Arial" w:hAnsi="Arial"/>
                <w:sz w:val="20"/>
                <w:szCs w:val="20"/>
                <w:color w:val="0000FF"/>
              </w:rPr>
            </w:pPr>
            <w:hyperlink w:anchor="page127">
              <w:r>
                <w:rPr>
                  <w:rFonts w:ascii="Arial" w:cs="Arial" w:eastAsia="Arial" w:hAnsi="Arial"/>
                  <w:sz w:val="20"/>
                  <w:szCs w:val="20"/>
                  <w:color w:val="0000FF"/>
                </w:rPr>
                <w:t>Bloomin’ Brands, Inc. and Gregg Scarlett</w:t>
              </w:r>
            </w:hyperlink>
          </w:p>
        </w:tc>
        <w:tc>
          <w:tcPr>
            <w:tcW w:w="540" w:type="dxa"/>
            <w:vAlign w:val="bottom"/>
            <w:gridSpan w:val="8"/>
          </w:tcPr>
          <w:p>
            <w:pPr>
              <w:spacing w:after="0"/>
              <w:rPr>
                <w:sz w:val="18"/>
                <w:szCs w:val="18"/>
                <w:color w:val="auto"/>
              </w:rPr>
            </w:pPr>
          </w:p>
        </w:tc>
        <w:tc>
          <w:tcPr>
            <w:tcW w:w="3520" w:type="dxa"/>
            <w:vAlign w:val="bottom"/>
          </w:tcPr>
          <w:p>
            <w:pPr>
              <w:spacing w:after="0"/>
              <w:rPr>
                <w:sz w:val="18"/>
                <w:szCs w:val="18"/>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Borders>
              <w:top w:val="single" w:sz="8" w:color="0000FF"/>
              <w:bottom w:val="single" w:sz="8" w:color="0000FF"/>
            </w:tcBorders>
            <w:gridSpan w:val="2"/>
          </w:tcPr>
          <w:p>
            <w:pPr>
              <w:spacing w:after="0"/>
              <w:rPr>
                <w:rFonts w:ascii="Arial" w:cs="Arial" w:eastAsia="Arial" w:hAnsi="Arial"/>
                <w:sz w:val="20"/>
                <w:szCs w:val="20"/>
                <w:color w:val="0000FF"/>
                <w:w w:val="90"/>
              </w:rPr>
            </w:pPr>
            <w:hyperlink w:anchor="page134">
              <w:r>
                <w:rPr>
                  <w:rFonts w:ascii="Arial" w:cs="Arial" w:eastAsia="Arial" w:hAnsi="Arial"/>
                  <w:sz w:val="20"/>
                  <w:szCs w:val="20"/>
                  <w:color w:val="0000FF"/>
                  <w:w w:val="90"/>
                </w:rPr>
                <w:t>List of Subsidiaries</w:t>
              </w:r>
            </w:hyperlink>
          </w:p>
        </w:tc>
        <w:tc>
          <w:tcPr>
            <w:tcW w:w="1760" w:type="dxa"/>
            <w:vAlign w:val="bottom"/>
            <w:tcBorders>
              <w:top w:val="single" w:sz="8" w:color="0000FF"/>
            </w:tcBorders>
            <w:gridSpan w:val="6"/>
          </w:tcPr>
          <w:p>
            <w:pPr>
              <w:spacing w:after="0"/>
              <w:rPr>
                <w:sz w:val="24"/>
                <w:szCs w:val="24"/>
                <w:color w:val="auto"/>
              </w:rPr>
            </w:pPr>
          </w:p>
        </w:tc>
        <w:tc>
          <w:tcPr>
            <w:tcW w:w="3400" w:type="dxa"/>
            <w:vAlign w:val="bottom"/>
            <w:gridSpan w:val="10"/>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tcBorders>
              <w:bottom w:val="single" w:sz="8" w:color="0000FF"/>
            </w:tcBorders>
            <w:gridSpan w:val="7"/>
          </w:tcPr>
          <w:p>
            <w:pPr>
              <w:spacing w:after="0"/>
              <w:rPr>
                <w:rFonts w:ascii="Arial" w:cs="Arial" w:eastAsia="Arial" w:hAnsi="Arial"/>
                <w:sz w:val="20"/>
                <w:szCs w:val="20"/>
                <w:color w:val="0000FF"/>
                <w:w w:val="88"/>
              </w:rPr>
            </w:pPr>
            <w:hyperlink w:anchor="page137">
              <w:r>
                <w:rPr>
                  <w:rFonts w:ascii="Arial" w:cs="Arial" w:eastAsia="Arial" w:hAnsi="Arial"/>
                  <w:sz w:val="20"/>
                  <w:szCs w:val="20"/>
                  <w:color w:val="0000FF"/>
                  <w:w w:val="88"/>
                </w:rPr>
                <w:t>Consent of PricewaterhouseCoopers LLP</w:t>
              </w:r>
            </w:hyperlink>
          </w:p>
        </w:tc>
        <w:tc>
          <w:tcPr>
            <w:tcW w:w="3420" w:type="dxa"/>
            <w:vAlign w:val="bottom"/>
            <w:gridSpan w:val="11"/>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Borders>
              <w:bottom w:val="single" w:sz="8" w:color="0000FF"/>
            </w:tcBorders>
            <w:gridSpan w:val="16"/>
          </w:tcPr>
          <w:p>
            <w:pPr>
              <w:spacing w:after="0"/>
              <w:rPr>
                <w:rFonts w:ascii="Arial" w:cs="Arial" w:eastAsia="Arial" w:hAnsi="Arial"/>
                <w:sz w:val="20"/>
                <w:szCs w:val="20"/>
                <w:color w:val="0000FF"/>
                <w:w w:val="90"/>
              </w:rPr>
            </w:pPr>
            <w:hyperlink w:anchor="page138">
              <w:r>
                <w:rPr>
                  <w:rFonts w:ascii="Arial" w:cs="Arial" w:eastAsia="Arial" w:hAnsi="Arial"/>
                  <w:sz w:val="20"/>
                  <w:szCs w:val="20"/>
                  <w:color w:val="0000FF"/>
                  <w:w w:val="90"/>
                </w:rPr>
                <w:t>Certification of Chief Executive Officer pursuant to Section 302 of the Sarbanes-</w:t>
              </w:r>
            </w:hyperlink>
          </w:p>
        </w:tc>
        <w:tc>
          <w:tcPr>
            <w:tcW w:w="280" w:type="dxa"/>
            <w:vAlign w:val="bottom"/>
            <w:gridSpan w:val="2"/>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18"/>
          </w:tcPr>
          <w:p>
            <w:pPr>
              <w:spacing w:after="0" w:line="209" w:lineRule="exact"/>
              <w:rPr>
                <w:rFonts w:ascii="Arial" w:cs="Arial" w:eastAsia="Arial" w:hAnsi="Arial"/>
                <w:sz w:val="20"/>
                <w:szCs w:val="20"/>
                <w:color w:val="0000FF"/>
              </w:rPr>
            </w:pPr>
            <w:hyperlink w:anchor="page138">
              <w:r>
                <w:rPr>
                  <w:rFonts w:ascii="Arial" w:cs="Arial" w:eastAsia="Arial" w:hAnsi="Arial"/>
                  <w:sz w:val="20"/>
                  <w:szCs w:val="20"/>
                  <w:color w:val="0000FF"/>
                </w:rPr>
                <w:t>Oxley Act of 2002</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18"/>
          </w:tcPr>
          <w:p>
            <w:pPr>
              <w:spacing w:after="0"/>
              <w:rPr>
                <w:rFonts w:ascii="Arial" w:cs="Arial" w:eastAsia="Arial" w:hAnsi="Arial"/>
                <w:sz w:val="20"/>
                <w:szCs w:val="20"/>
                <w:color w:val="0000FF"/>
                <w:w w:val="95"/>
              </w:rPr>
            </w:pPr>
            <w:hyperlink w:anchor="page139">
              <w:r>
                <w:rPr>
                  <w:rFonts w:ascii="Arial" w:cs="Arial" w:eastAsia="Arial" w:hAnsi="Arial"/>
                  <w:sz w:val="20"/>
                  <w:szCs w:val="20"/>
                  <w:color w:val="0000FF"/>
                  <w:w w:val="95"/>
                </w:rPr>
                <w:t>Certification of Chief Financial Officer pursuant to Section 302 of the Sarbanes-</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Borders>
              <w:top w:val="single" w:sz="8" w:color="0000FF"/>
            </w:tcBorders>
            <w:gridSpan w:val="15"/>
          </w:tcPr>
          <w:p>
            <w:pPr>
              <w:spacing w:after="0" w:line="209" w:lineRule="exact"/>
              <w:rPr>
                <w:rFonts w:ascii="Arial" w:cs="Arial" w:eastAsia="Arial" w:hAnsi="Arial"/>
                <w:sz w:val="20"/>
                <w:szCs w:val="20"/>
                <w:color w:val="0000FF"/>
              </w:rPr>
            </w:pPr>
            <w:hyperlink w:anchor="page139">
              <w:r>
                <w:rPr>
                  <w:rFonts w:ascii="Arial" w:cs="Arial" w:eastAsia="Arial" w:hAnsi="Arial"/>
                  <w:sz w:val="20"/>
                  <w:szCs w:val="20"/>
                  <w:color w:val="0000FF"/>
                </w:rPr>
                <w:t>Oxley Act of 2002</w:t>
              </w:r>
            </w:hyperlink>
          </w:p>
        </w:tc>
        <w:tc>
          <w:tcPr>
            <w:tcW w:w="340" w:type="dxa"/>
            <w:vAlign w:val="bottom"/>
            <w:gridSpan w:val="3"/>
          </w:tcPr>
          <w:p>
            <w:pPr>
              <w:spacing w:after="0"/>
              <w:rPr>
                <w:sz w:val="18"/>
                <w:szCs w:val="18"/>
                <w:color w:val="auto"/>
              </w:rPr>
            </w:pPr>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Borders>
              <w:bottom w:val="single" w:sz="8" w:color="0000FF"/>
            </w:tcBorders>
            <w:gridSpan w:val="14"/>
          </w:tcPr>
          <w:p>
            <w:pPr>
              <w:spacing w:after="0"/>
              <w:rPr>
                <w:rFonts w:ascii="Arial" w:cs="Arial" w:eastAsia="Arial" w:hAnsi="Arial"/>
                <w:sz w:val="20"/>
                <w:szCs w:val="20"/>
                <w:color w:val="0000FF"/>
                <w:w w:val="90"/>
              </w:rPr>
            </w:pPr>
            <w:hyperlink w:anchor="page140">
              <w:r>
                <w:rPr>
                  <w:rFonts w:ascii="Arial" w:cs="Arial" w:eastAsia="Arial" w:hAnsi="Arial"/>
                  <w:sz w:val="20"/>
                  <w:szCs w:val="20"/>
                  <w:color w:val="0000FF"/>
                  <w:w w:val="90"/>
                </w:rPr>
                <w:t>Certification of Chief Executive Officer pursuant to 18 U.S.C. Section 1350, as</w:t>
              </w:r>
            </w:hyperlink>
          </w:p>
        </w:tc>
        <w:tc>
          <w:tcPr>
            <w:tcW w:w="420" w:type="dxa"/>
            <w:vAlign w:val="bottom"/>
            <w:gridSpan w:val="4"/>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18"/>
          </w:tcPr>
          <w:p>
            <w:pPr>
              <w:spacing w:after="0" w:line="210" w:lineRule="exact"/>
              <w:rPr>
                <w:rFonts w:ascii="Arial" w:cs="Arial" w:eastAsia="Arial" w:hAnsi="Arial"/>
                <w:sz w:val="19"/>
                <w:szCs w:val="19"/>
                <w:color w:val="0000FF"/>
              </w:rPr>
            </w:pPr>
            <w:hyperlink w:anchor="page140">
              <w:r>
                <w:rPr>
                  <w:rFonts w:ascii="Arial" w:cs="Arial" w:eastAsia="Arial" w:hAnsi="Arial"/>
                  <w:sz w:val="19"/>
                  <w:szCs w:val="19"/>
                  <w:color w:val="0000FF"/>
                </w:rPr>
                <w:t>adopted pursuant to Section 906 of the Sarbanes-Oxley Act of 2002</w:t>
              </w:r>
              <w:r>
                <w:rPr>
                  <w:rFonts w:ascii="Arial" w:cs="Arial" w:eastAsia="Arial" w:hAnsi="Arial"/>
                  <w:sz w:val="24"/>
                  <w:szCs w:val="24"/>
                  <w:color w:val="0094FF"/>
                  <w:vertAlign w:val="superscript"/>
                </w:rPr>
                <w:t>1</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tcBorders>
              <w:right w:val="single" w:sz="8" w:color="0000FF"/>
            </w:tcBorders>
            <w:gridSpan w:val="9"/>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18"/>
          </w:tcPr>
          <w:p>
            <w:pPr>
              <w:spacing w:after="0"/>
              <w:rPr>
                <w:rFonts w:ascii="Arial" w:cs="Arial" w:eastAsia="Arial" w:hAnsi="Arial"/>
                <w:sz w:val="20"/>
                <w:szCs w:val="20"/>
                <w:color w:val="0000FF"/>
                <w:w w:val="97"/>
              </w:rPr>
            </w:pPr>
            <w:hyperlink w:anchor="page141">
              <w:r>
                <w:rPr>
                  <w:rFonts w:ascii="Arial" w:cs="Arial" w:eastAsia="Arial" w:hAnsi="Arial"/>
                  <w:sz w:val="20"/>
                  <w:szCs w:val="20"/>
                  <w:color w:val="0000FF"/>
                  <w:w w:val="97"/>
                </w:rPr>
                <w:t>Certification of Chief Financial Officer pursuant to 18 U.S.C. Section 1350, as</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20" w:type="dxa"/>
            <w:vAlign w:val="bottom"/>
            <w:tcBorders>
              <w:top w:val="single" w:sz="8" w:color="0000FF"/>
            </w:tcBorders>
            <w:gridSpan w:val="12"/>
          </w:tcPr>
          <w:p>
            <w:pPr>
              <w:spacing w:after="0" w:line="210" w:lineRule="exact"/>
              <w:rPr>
                <w:rFonts w:ascii="Arial" w:cs="Arial" w:eastAsia="Arial" w:hAnsi="Arial"/>
                <w:sz w:val="19"/>
                <w:szCs w:val="19"/>
                <w:color w:val="0000FF"/>
              </w:rPr>
            </w:pPr>
            <w:hyperlink w:anchor="page141">
              <w:r>
                <w:rPr>
                  <w:rFonts w:ascii="Arial" w:cs="Arial" w:eastAsia="Arial" w:hAnsi="Arial"/>
                  <w:sz w:val="19"/>
                  <w:szCs w:val="19"/>
                  <w:color w:val="0000FF"/>
                </w:rPr>
                <w:t>adopted pursuant to Section 906 of the Sarbanes-Oxley Act of 2002</w:t>
              </w:r>
              <w:r>
                <w:rPr>
                  <w:rFonts w:ascii="Arial" w:cs="Arial" w:eastAsia="Arial" w:hAnsi="Arial"/>
                  <w:sz w:val="24"/>
                  <w:szCs w:val="24"/>
                  <w:color w:val="0094FF"/>
                  <w:vertAlign w:val="superscript"/>
                </w:rPr>
                <w:t>1</w:t>
              </w:r>
            </w:hyperlink>
          </w:p>
        </w:tc>
        <w:tc>
          <w:tcPr>
            <w:tcW w:w="480" w:type="dxa"/>
            <w:vAlign w:val="bottom"/>
            <w:gridSpan w:val="6"/>
          </w:tcPr>
          <w:p>
            <w:pPr>
              <w:spacing w:after="0"/>
              <w:rPr>
                <w:sz w:val="18"/>
                <w:szCs w:val="18"/>
                <w:color w:val="auto"/>
              </w:rPr>
            </w:pPr>
          </w:p>
        </w:tc>
        <w:tc>
          <w:tcPr>
            <w:tcW w:w="3520" w:type="dxa"/>
            <w:vAlign w:val="bottom"/>
          </w:tcPr>
          <w:p>
            <w:pPr>
              <w:spacing w:after="0"/>
              <w:rPr>
                <w:sz w:val="18"/>
                <w:szCs w:val="18"/>
                <w:color w:val="auto"/>
              </w:rPr>
            </w:pPr>
          </w:p>
        </w:tc>
      </w:tr>
      <w:tr>
        <w:trPr>
          <w:trHeight w:val="430"/>
        </w:trPr>
        <w:tc>
          <w:tcPr>
            <w:tcW w:w="1160" w:type="dxa"/>
            <w:vAlign w:val="bottom"/>
            <w:gridSpan w:val="2"/>
          </w:tcPr>
          <w:p>
            <w:pPr>
              <w:ind w:left="200"/>
              <w:spacing w:after="0"/>
              <w:rPr>
                <w:sz w:val="20"/>
                <w:szCs w:val="20"/>
                <w:color w:val="auto"/>
              </w:rPr>
            </w:pPr>
            <w:r>
              <w:rPr>
                <w:rFonts w:ascii="Arial" w:cs="Arial" w:eastAsia="Arial" w:hAnsi="Arial"/>
                <w:sz w:val="20"/>
                <w:szCs w:val="20"/>
                <w:color w:val="auto"/>
              </w:rPr>
              <w:t>101.INS</w:t>
            </w:r>
          </w:p>
        </w:tc>
        <w:tc>
          <w:tcPr>
            <w:tcW w:w="40" w:type="dxa"/>
            <w:vAlign w:val="bottom"/>
          </w:tcPr>
          <w:p>
            <w:pPr>
              <w:spacing w:after="0"/>
              <w:rPr>
                <w:sz w:val="24"/>
                <w:szCs w:val="24"/>
                <w:color w:val="auto"/>
              </w:rPr>
            </w:pPr>
          </w:p>
        </w:tc>
        <w:tc>
          <w:tcPr>
            <w:tcW w:w="5380" w:type="dxa"/>
            <w:vAlign w:val="bottom"/>
            <w:tcBorders>
              <w:top w:val="single" w:sz="8" w:color="0000FF"/>
            </w:tcBorders>
            <w:gridSpan w:val="9"/>
          </w:tcPr>
          <w:p>
            <w:pPr>
              <w:spacing w:after="0"/>
              <w:rPr>
                <w:sz w:val="20"/>
                <w:szCs w:val="20"/>
                <w:color w:val="auto"/>
              </w:rPr>
            </w:pPr>
            <w:r>
              <w:rPr>
                <w:rFonts w:ascii="Arial" w:cs="Arial" w:eastAsia="Arial" w:hAnsi="Arial"/>
                <w:sz w:val="20"/>
                <w:szCs w:val="20"/>
                <w:color w:val="auto"/>
              </w:rPr>
              <w:t>Inline XBRL Instance Document</w:t>
            </w:r>
          </w:p>
        </w:tc>
        <w:tc>
          <w:tcPr>
            <w:tcW w:w="1320" w:type="dxa"/>
            <w:vAlign w:val="bottom"/>
            <w:gridSpan w:val="9"/>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101.SCH</w:t>
            </w:r>
          </w:p>
        </w:tc>
        <w:tc>
          <w:tcPr>
            <w:tcW w:w="40" w:type="dxa"/>
            <w:vAlign w:val="bottom"/>
          </w:tcPr>
          <w:p>
            <w:pPr>
              <w:spacing w:after="0"/>
              <w:rPr>
                <w:sz w:val="24"/>
                <w:szCs w:val="24"/>
                <w:color w:val="auto"/>
              </w:rPr>
            </w:pPr>
          </w:p>
        </w:tc>
        <w:tc>
          <w:tcPr>
            <w:tcW w:w="6700" w:type="dxa"/>
            <w:vAlign w:val="bottom"/>
            <w:gridSpan w:val="18"/>
          </w:tcPr>
          <w:p>
            <w:pPr>
              <w:spacing w:after="0"/>
              <w:rPr>
                <w:sz w:val="20"/>
                <w:szCs w:val="20"/>
                <w:color w:val="auto"/>
              </w:rPr>
            </w:pPr>
            <w:r>
              <w:rPr>
                <w:rFonts w:ascii="Arial" w:cs="Arial" w:eastAsia="Arial" w:hAnsi="Arial"/>
                <w:sz w:val="20"/>
                <w:szCs w:val="20"/>
                <w:color w:val="auto"/>
              </w:rPr>
              <w:t>Inline XBRL Taxonomy Extension Schema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101.CAL</w:t>
            </w:r>
          </w:p>
        </w:tc>
        <w:tc>
          <w:tcPr>
            <w:tcW w:w="40" w:type="dxa"/>
            <w:vAlign w:val="bottom"/>
          </w:tcPr>
          <w:p>
            <w:pPr>
              <w:spacing w:after="0"/>
              <w:rPr>
                <w:sz w:val="24"/>
                <w:szCs w:val="24"/>
                <w:color w:val="auto"/>
              </w:rPr>
            </w:pPr>
          </w:p>
        </w:tc>
        <w:tc>
          <w:tcPr>
            <w:tcW w:w="6700" w:type="dxa"/>
            <w:vAlign w:val="bottom"/>
            <w:gridSpan w:val="18"/>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101.DEF</w:t>
            </w:r>
          </w:p>
        </w:tc>
        <w:tc>
          <w:tcPr>
            <w:tcW w:w="40" w:type="dxa"/>
            <w:vAlign w:val="bottom"/>
          </w:tcPr>
          <w:p>
            <w:pPr>
              <w:spacing w:after="0"/>
              <w:rPr>
                <w:sz w:val="24"/>
                <w:szCs w:val="24"/>
                <w:color w:val="auto"/>
              </w:rPr>
            </w:pPr>
          </w:p>
        </w:tc>
        <w:tc>
          <w:tcPr>
            <w:tcW w:w="6700" w:type="dxa"/>
            <w:vAlign w:val="bottom"/>
            <w:gridSpan w:val="18"/>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101.LAB</w:t>
            </w:r>
          </w:p>
        </w:tc>
        <w:tc>
          <w:tcPr>
            <w:tcW w:w="40" w:type="dxa"/>
            <w:vAlign w:val="bottom"/>
          </w:tcPr>
          <w:p>
            <w:pPr>
              <w:spacing w:after="0"/>
              <w:rPr>
                <w:sz w:val="24"/>
                <w:szCs w:val="24"/>
                <w:color w:val="auto"/>
              </w:rPr>
            </w:pPr>
          </w:p>
        </w:tc>
        <w:tc>
          <w:tcPr>
            <w:tcW w:w="6700" w:type="dxa"/>
            <w:vAlign w:val="bottom"/>
            <w:gridSpan w:val="18"/>
          </w:tcPr>
          <w:p>
            <w:pPr>
              <w:spacing w:after="0"/>
              <w:rPr>
                <w:sz w:val="20"/>
                <w:szCs w:val="20"/>
                <w:color w:val="auto"/>
              </w:rPr>
            </w:pPr>
            <w:r>
              <w:rPr>
                <w:rFonts w:ascii="Arial" w:cs="Arial" w:eastAsia="Arial" w:hAnsi="Arial"/>
                <w:sz w:val="20"/>
                <w:szCs w:val="20"/>
                <w:color w:val="auto"/>
              </w:rPr>
              <w:t>Inline XBRL Taxonomy Extension Label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160" w:type="dxa"/>
            <w:vAlign w:val="bottom"/>
            <w:gridSpan w:val="2"/>
          </w:tcPr>
          <w:p>
            <w:pPr>
              <w:ind w:left="180"/>
              <w:spacing w:after="0"/>
              <w:rPr>
                <w:sz w:val="20"/>
                <w:szCs w:val="20"/>
                <w:color w:val="auto"/>
              </w:rPr>
            </w:pPr>
            <w:r>
              <w:rPr>
                <w:rFonts w:ascii="Arial" w:cs="Arial" w:eastAsia="Arial" w:hAnsi="Arial"/>
                <w:sz w:val="20"/>
                <w:szCs w:val="20"/>
                <w:color w:val="auto"/>
              </w:rPr>
              <w:t>101.PRE</w:t>
            </w:r>
          </w:p>
        </w:tc>
        <w:tc>
          <w:tcPr>
            <w:tcW w:w="40" w:type="dxa"/>
            <w:vAlign w:val="bottom"/>
          </w:tcPr>
          <w:p>
            <w:pPr>
              <w:spacing w:after="0"/>
              <w:rPr>
                <w:sz w:val="24"/>
                <w:szCs w:val="24"/>
                <w:color w:val="auto"/>
              </w:rPr>
            </w:pPr>
          </w:p>
        </w:tc>
        <w:tc>
          <w:tcPr>
            <w:tcW w:w="6700" w:type="dxa"/>
            <w:vAlign w:val="bottom"/>
            <w:gridSpan w:val="18"/>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384"/>
        </w:trPr>
        <w:tc>
          <w:tcPr>
            <w:tcW w:w="1040" w:type="dxa"/>
            <w:vAlign w:val="bottom"/>
          </w:tcPr>
          <w:p>
            <w:pPr>
              <w:jc w:val="center"/>
              <w:spacing w:after="0"/>
              <w:rPr>
                <w:sz w:val="20"/>
                <w:szCs w:val="20"/>
                <w:color w:val="auto"/>
              </w:rPr>
            </w:pPr>
            <w:r>
              <w:rPr>
                <w:rFonts w:ascii="Arial" w:cs="Arial" w:eastAsia="Arial" w:hAnsi="Arial"/>
                <w:sz w:val="20"/>
                <w:szCs w:val="20"/>
                <w:color w:val="auto"/>
                <w:w w:val="89"/>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18"/>
          </w:tcPr>
          <w:p>
            <w:pPr>
              <w:spacing w:after="0"/>
              <w:rPr>
                <w:sz w:val="20"/>
                <w:szCs w:val="20"/>
                <w:color w:val="auto"/>
              </w:rPr>
            </w:pPr>
            <w:r>
              <w:rPr>
                <w:rFonts w:ascii="Arial" w:cs="Arial" w:eastAsia="Arial" w:hAnsi="Arial"/>
                <w:sz w:val="20"/>
                <w:szCs w:val="20"/>
                <w:color w:val="auto"/>
                <w:w w:val="98"/>
              </w:rPr>
              <w:t>Cover Page Interactive Data File (formatted as inline XBRL and contained in</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700" w:type="dxa"/>
            <w:vAlign w:val="bottom"/>
            <w:gridSpan w:val="18"/>
          </w:tcPr>
          <w:p>
            <w:pPr>
              <w:spacing w:after="0"/>
              <w:rPr>
                <w:sz w:val="20"/>
                <w:szCs w:val="20"/>
                <w:color w:val="auto"/>
              </w:rPr>
            </w:pPr>
            <w:r>
              <w:rPr>
                <w:rFonts w:ascii="Arial" w:cs="Arial" w:eastAsia="Arial" w:hAnsi="Arial"/>
                <w:sz w:val="20"/>
                <w:szCs w:val="20"/>
                <w:color w:val="auto"/>
              </w:rPr>
              <w:t>Exhibit 101)</w:t>
            </w:r>
          </w:p>
        </w:tc>
        <w:tc>
          <w:tcPr>
            <w:tcW w:w="3520" w:type="dxa"/>
            <w:vAlign w:val="bottom"/>
          </w:tcPr>
          <w:p>
            <w:pPr>
              <w:spacing w:after="0"/>
              <w:rPr>
                <w:sz w:val="21"/>
                <w:szCs w:val="2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*Management contract or compensatory plan or arrangement required to be filed as an exhibit</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1420"/>
          </w:cols>
          <w:pgMar w:left="240" w:top="122"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2" w:right="239" w:bottom="1440" w:gutter="0" w:footer="0" w:header="0"/>
          <w:type w:val="continuous"/>
        </w:sectPr>
      </w:pPr>
    </w:p>
    <w:bookmarkStart w:id="108" w:name="page109"/>
    <w:bookmarkEnd w:id="10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339" w:lineRule="exact"/>
        <w:rPr>
          <w:sz w:val="20"/>
          <w:szCs w:val="20"/>
          <w:color w:val="auto"/>
        </w:rPr>
      </w:pPr>
    </w:p>
    <w:p>
      <w:pPr>
        <w:ind w:left="960"/>
        <w:spacing w:after="0"/>
        <w:tabs>
          <w:tab w:leader="none" w:pos="1680" w:val="left"/>
          <w:tab w:leader="none" w:pos="45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February 26, 2020</w:t>
      </w:r>
      <w:r>
        <w:rPr>
          <w:sz w:val="20"/>
          <w:szCs w:val="20"/>
          <w:color w:val="auto"/>
        </w:rPr>
        <w:tab/>
      </w:r>
      <w:r>
        <w:rPr>
          <w:rFonts w:ascii="Arial" w:cs="Arial" w:eastAsia="Arial" w:hAnsi="Arial"/>
          <w:sz w:val="18"/>
          <w:szCs w:val="18"/>
          <w:color w:val="auto"/>
        </w:rPr>
        <w:t>Bloomin’ Brands, Inc.</w:t>
      </w:r>
    </w:p>
    <w:p>
      <w:pPr>
        <w:spacing w:after="0" w:line="378"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By: /s/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27305</wp:posOffset>
            </wp:positionV>
            <wp:extent cx="36620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3662045" cy="17145"/>
                    </a:xfrm>
                    <a:prstGeom prst="rect">
                      <a:avLst/>
                    </a:prstGeom>
                    <a:noFill/>
                  </pic:spPr>
                </pic:pic>
              </a:graphicData>
            </a:graphic>
          </wp:anchor>
        </w:drawing>
      </w:r>
    </w:p>
    <w:p>
      <w:pPr>
        <w:spacing w:after="0" w:line="61"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David J. Deno</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Chief Executive Officer</w:t>
      </w:r>
    </w:p>
    <w:p>
      <w:pPr>
        <w:ind w:left="5400"/>
        <w:spacing w:after="0"/>
        <w:rPr>
          <w:sz w:val="20"/>
          <w:szCs w:val="20"/>
          <w:color w:val="auto"/>
        </w:rPr>
      </w:pPr>
      <w:r>
        <w:rPr>
          <w:rFonts w:ascii="Arial" w:cs="Arial" w:eastAsia="Arial" w:hAnsi="Arial"/>
          <w:sz w:val="20"/>
          <w:szCs w:val="20"/>
          <w:color w:val="auto"/>
        </w:rPr>
        <w:t>(Principal Executive Officer)</w:t>
      </w:r>
    </w:p>
    <w:p>
      <w:pPr>
        <w:spacing w:after="0" w:line="24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00" w:type="dxa"/>
            <w:vAlign w:val="bottom"/>
          </w:tcPr>
          <w:p>
            <w:pPr>
              <w:ind w:left="1140"/>
              <w:spacing w:after="0"/>
              <w:rPr>
                <w:sz w:val="20"/>
                <w:szCs w:val="20"/>
                <w:color w:val="auto"/>
              </w:rPr>
            </w:pPr>
            <w:r>
              <w:rPr>
                <w:rFonts w:ascii="Arial" w:cs="Arial" w:eastAsia="Arial" w:hAnsi="Arial"/>
                <w:sz w:val="20"/>
                <w:szCs w:val="20"/>
                <w:b w:val="1"/>
                <w:bCs w:val="1"/>
                <w:color w:val="auto"/>
              </w:rPr>
              <w:t>Signature</w:t>
            </w:r>
          </w:p>
        </w:tc>
        <w:tc>
          <w:tcPr>
            <w:tcW w:w="340" w:type="dxa"/>
            <w:vAlign w:val="bottom"/>
          </w:tcPr>
          <w:p>
            <w:pPr>
              <w:spacing w:after="0"/>
              <w:rPr>
                <w:sz w:val="22"/>
                <w:szCs w:val="22"/>
                <w:color w:val="auto"/>
              </w:rPr>
            </w:pPr>
          </w:p>
        </w:tc>
        <w:tc>
          <w:tcPr>
            <w:tcW w:w="5920" w:type="dxa"/>
            <w:vAlign w:val="bottom"/>
            <w:gridSpan w:val="2"/>
          </w:tcPr>
          <w:p>
            <w:pPr>
              <w:ind w:left="2600"/>
              <w:spacing w:after="0"/>
              <w:rPr>
                <w:sz w:val="20"/>
                <w:szCs w:val="20"/>
                <w:color w:val="auto"/>
              </w:rPr>
            </w:pPr>
            <w:r>
              <w:rPr>
                <w:rFonts w:ascii="Arial" w:cs="Arial" w:eastAsia="Arial" w:hAnsi="Arial"/>
                <w:sz w:val="20"/>
                <w:szCs w:val="20"/>
                <w:b w:val="1"/>
                <w:bCs w:val="1"/>
                <w:color w:val="auto"/>
              </w:rPr>
              <w:t>Title</w:t>
            </w:r>
          </w:p>
        </w:tc>
        <w:tc>
          <w:tcPr>
            <w:tcW w:w="2060" w:type="dxa"/>
            <w:vAlign w:val="bottom"/>
          </w:tcPr>
          <w:p>
            <w:pPr>
              <w:ind w:left="840"/>
              <w:spacing w:after="0"/>
              <w:rPr>
                <w:sz w:val="20"/>
                <w:szCs w:val="20"/>
                <w:color w:val="auto"/>
              </w:rPr>
            </w:pPr>
            <w:r>
              <w:rPr>
                <w:rFonts w:ascii="Arial" w:cs="Arial" w:eastAsia="Arial" w:hAnsi="Arial"/>
                <w:sz w:val="20"/>
                <w:szCs w:val="20"/>
                <w:b w:val="1"/>
                <w:bCs w:val="1"/>
                <w:color w:val="auto"/>
              </w:rPr>
              <w:t>Date</w:t>
            </w: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4"/>
        </w:trPr>
        <w:tc>
          <w:tcPr>
            <w:tcW w:w="3100" w:type="dxa"/>
            <w:vAlign w:val="bottom"/>
          </w:tcPr>
          <w:p>
            <w:pPr>
              <w:ind w:left="40"/>
              <w:spacing w:after="0"/>
              <w:rPr>
                <w:sz w:val="20"/>
                <w:szCs w:val="20"/>
                <w:color w:val="auto"/>
              </w:rPr>
            </w:pPr>
            <w:r>
              <w:rPr>
                <w:rFonts w:ascii="Arial" w:cs="Arial" w:eastAsia="Arial" w:hAnsi="Arial"/>
                <w:sz w:val="20"/>
                <w:szCs w:val="20"/>
                <w:color w:val="auto"/>
              </w:rPr>
              <w:t>/s/ David J. Deno</w:t>
            </w:r>
          </w:p>
        </w:tc>
        <w:tc>
          <w:tcPr>
            <w:tcW w:w="340" w:type="dxa"/>
            <w:vAlign w:val="bottom"/>
          </w:tcPr>
          <w:p>
            <w:pPr>
              <w:spacing w:after="0"/>
              <w:rPr>
                <w:sz w:val="24"/>
                <w:szCs w:val="24"/>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20"/>
                <w:szCs w:val="20"/>
                <w:color w:val="auto"/>
              </w:rPr>
              <w:t>Chief Executive Officer and 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920" w:type="dxa"/>
            <w:vAlign w:val="bottom"/>
            <w:gridSpan w:val="2"/>
            <w:vMerge w:val="continue"/>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David J. Deno</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(Principal Executive Officer)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26, 2020</w:t>
            </w:r>
          </w:p>
        </w:tc>
        <w:tc>
          <w:tcPr>
            <w:tcW w:w="0" w:type="dxa"/>
            <w:vAlign w:val="bottom"/>
          </w:tcPr>
          <w:p>
            <w:pPr>
              <w:spacing w:after="0"/>
              <w:rPr>
                <w:sz w:val="1"/>
                <w:szCs w:val="1"/>
                <w:color w:val="auto"/>
              </w:rPr>
            </w:pPr>
          </w:p>
        </w:tc>
      </w:tr>
      <w:tr>
        <w:trPr>
          <w:trHeight w:val="567"/>
        </w:trPr>
        <w:tc>
          <w:tcPr>
            <w:tcW w:w="3100" w:type="dxa"/>
            <w:vAlign w:val="bottom"/>
          </w:tcPr>
          <w:p>
            <w:pPr>
              <w:ind w:left="40"/>
              <w:spacing w:after="0"/>
              <w:rPr>
                <w:sz w:val="20"/>
                <w:szCs w:val="20"/>
                <w:color w:val="auto"/>
              </w:rPr>
            </w:pPr>
            <w:r>
              <w:rPr>
                <w:rFonts w:ascii="Arial" w:cs="Arial" w:eastAsia="Arial" w:hAnsi="Arial"/>
                <w:sz w:val="20"/>
                <w:szCs w:val="20"/>
                <w:color w:val="auto"/>
              </w:rPr>
              <w:t>/s/ Christopher Meyer</w:t>
            </w:r>
          </w:p>
        </w:tc>
        <w:tc>
          <w:tcPr>
            <w:tcW w:w="340" w:type="dxa"/>
            <w:vAlign w:val="bottom"/>
          </w:tcPr>
          <w:p>
            <w:pPr>
              <w:spacing w:after="0"/>
              <w:rPr>
                <w:sz w:val="24"/>
                <w:szCs w:val="24"/>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20"/>
                <w:szCs w:val="20"/>
                <w:color w:val="auto"/>
              </w:rPr>
              <w:t>Executive Vice President and Chief Financial Officer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920" w:type="dxa"/>
            <w:vAlign w:val="bottom"/>
            <w:gridSpan w:val="2"/>
            <w:vMerge w:val="continue"/>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Christopher Meyer</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(Principal Financial and Accounting Officer)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26, 2020</w:t>
            </w:r>
          </w:p>
        </w:tc>
        <w:tc>
          <w:tcPr>
            <w:tcW w:w="0" w:type="dxa"/>
            <w:vAlign w:val="bottom"/>
          </w:tcPr>
          <w:p>
            <w:pPr>
              <w:spacing w:after="0"/>
              <w:rPr>
                <w:sz w:val="1"/>
                <w:szCs w:val="1"/>
                <w:color w:val="auto"/>
              </w:rPr>
            </w:pPr>
          </w:p>
        </w:tc>
      </w:tr>
      <w:tr>
        <w:trPr>
          <w:trHeight w:val="554"/>
        </w:trPr>
        <w:tc>
          <w:tcPr>
            <w:tcW w:w="3100" w:type="dxa"/>
            <w:vAlign w:val="bottom"/>
          </w:tcPr>
          <w:p>
            <w:pPr>
              <w:ind w:left="40"/>
              <w:spacing w:after="0"/>
              <w:rPr>
                <w:sz w:val="20"/>
                <w:szCs w:val="20"/>
                <w:color w:val="auto"/>
              </w:rPr>
            </w:pPr>
            <w:r>
              <w:rPr>
                <w:rFonts w:ascii="Arial" w:cs="Arial" w:eastAsia="Arial" w:hAnsi="Arial"/>
                <w:sz w:val="20"/>
                <w:szCs w:val="20"/>
                <w:color w:val="auto"/>
              </w:rPr>
              <w:t>/s/ Wendy A. Beck</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Wendy A. Beck</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26, 2020</w:t>
            </w:r>
          </w:p>
        </w:tc>
        <w:tc>
          <w:tcPr>
            <w:tcW w:w="0" w:type="dxa"/>
            <w:vAlign w:val="bottom"/>
          </w:tcPr>
          <w:p>
            <w:pPr>
              <w:spacing w:after="0"/>
              <w:rPr>
                <w:sz w:val="1"/>
                <w:szCs w:val="1"/>
                <w:color w:val="auto"/>
              </w:rPr>
            </w:pPr>
          </w:p>
        </w:tc>
      </w:tr>
      <w:tr>
        <w:trPr>
          <w:trHeight w:val="567"/>
        </w:trPr>
        <w:tc>
          <w:tcPr>
            <w:tcW w:w="3100" w:type="dxa"/>
            <w:vAlign w:val="bottom"/>
          </w:tcPr>
          <w:p>
            <w:pPr>
              <w:ind w:left="40"/>
              <w:spacing w:after="0"/>
              <w:rPr>
                <w:sz w:val="20"/>
                <w:szCs w:val="20"/>
                <w:color w:val="auto"/>
              </w:rPr>
            </w:pPr>
            <w:r>
              <w:rPr>
                <w:rFonts w:ascii="Arial" w:cs="Arial" w:eastAsia="Arial" w:hAnsi="Arial"/>
                <w:sz w:val="20"/>
                <w:szCs w:val="20"/>
                <w:color w:val="auto"/>
              </w:rPr>
              <w:t>/s/ James R. Craigie</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James R. Craigie</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26, 2020</w:t>
            </w:r>
          </w:p>
        </w:tc>
        <w:tc>
          <w:tcPr>
            <w:tcW w:w="0" w:type="dxa"/>
            <w:vAlign w:val="bottom"/>
          </w:tcPr>
          <w:p>
            <w:pPr>
              <w:spacing w:after="0"/>
              <w:rPr>
                <w:sz w:val="1"/>
                <w:szCs w:val="1"/>
                <w:color w:val="auto"/>
              </w:rPr>
            </w:pPr>
          </w:p>
        </w:tc>
      </w:tr>
      <w:tr>
        <w:trPr>
          <w:trHeight w:val="608"/>
        </w:trPr>
        <w:tc>
          <w:tcPr>
            <w:tcW w:w="3100" w:type="dxa"/>
            <w:vAlign w:val="bottom"/>
          </w:tcPr>
          <w:p>
            <w:pPr>
              <w:ind w:left="40"/>
              <w:spacing w:after="0"/>
              <w:rPr>
                <w:sz w:val="20"/>
                <w:szCs w:val="20"/>
                <w:color w:val="auto"/>
              </w:rPr>
            </w:pPr>
            <w:r>
              <w:rPr>
                <w:rFonts w:ascii="Arial" w:cs="Arial" w:eastAsia="Arial" w:hAnsi="Arial"/>
                <w:sz w:val="20"/>
                <w:szCs w:val="20"/>
                <w:color w:val="auto"/>
              </w:rPr>
              <w:t>/s/ David R. Fitzjohn</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David R. Fitzjohn</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26, 2020</w:t>
            </w:r>
          </w:p>
        </w:tc>
        <w:tc>
          <w:tcPr>
            <w:tcW w:w="0" w:type="dxa"/>
            <w:vAlign w:val="bottom"/>
          </w:tcPr>
          <w:p>
            <w:pPr>
              <w:spacing w:after="0"/>
              <w:rPr>
                <w:sz w:val="1"/>
                <w:szCs w:val="1"/>
                <w:color w:val="auto"/>
              </w:rPr>
            </w:pPr>
          </w:p>
        </w:tc>
      </w:tr>
      <w:tr>
        <w:trPr>
          <w:trHeight w:val="554"/>
        </w:trPr>
        <w:tc>
          <w:tcPr>
            <w:tcW w:w="3100" w:type="dxa"/>
            <w:vAlign w:val="bottom"/>
          </w:tcPr>
          <w:p>
            <w:pPr>
              <w:ind w:left="40"/>
              <w:spacing w:after="0"/>
              <w:rPr>
                <w:sz w:val="20"/>
                <w:szCs w:val="20"/>
                <w:color w:val="auto"/>
              </w:rPr>
            </w:pPr>
            <w:r>
              <w:rPr>
                <w:rFonts w:ascii="Arial" w:cs="Arial" w:eastAsia="Arial" w:hAnsi="Arial"/>
                <w:sz w:val="20"/>
                <w:szCs w:val="20"/>
                <w:color w:val="auto"/>
              </w:rPr>
              <w:t>/s/ Tara Walpert Levy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Tara Walpert Levy</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26, 2020</w:t>
            </w:r>
          </w:p>
        </w:tc>
        <w:tc>
          <w:tcPr>
            <w:tcW w:w="0" w:type="dxa"/>
            <w:vAlign w:val="bottom"/>
          </w:tcPr>
          <w:p>
            <w:pPr>
              <w:spacing w:after="0"/>
              <w:rPr>
                <w:sz w:val="1"/>
                <w:szCs w:val="1"/>
                <w:color w:val="auto"/>
              </w:rPr>
            </w:pPr>
          </w:p>
        </w:tc>
      </w:tr>
      <w:tr>
        <w:trPr>
          <w:trHeight w:val="567"/>
        </w:trPr>
        <w:tc>
          <w:tcPr>
            <w:tcW w:w="3100" w:type="dxa"/>
            <w:vAlign w:val="bottom"/>
          </w:tcPr>
          <w:p>
            <w:pPr>
              <w:ind w:left="40"/>
              <w:spacing w:after="0"/>
              <w:rPr>
                <w:sz w:val="20"/>
                <w:szCs w:val="20"/>
                <w:color w:val="auto"/>
              </w:rPr>
            </w:pPr>
            <w:r>
              <w:rPr>
                <w:rFonts w:ascii="Arial" w:cs="Arial" w:eastAsia="Arial" w:hAnsi="Arial"/>
                <w:sz w:val="20"/>
                <w:szCs w:val="20"/>
                <w:color w:val="auto"/>
              </w:rPr>
              <w:t>/s/ John J. Mahoney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John J. Mahoney</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26, 2020</w:t>
            </w:r>
          </w:p>
        </w:tc>
        <w:tc>
          <w:tcPr>
            <w:tcW w:w="0" w:type="dxa"/>
            <w:vAlign w:val="bottom"/>
          </w:tcPr>
          <w:p>
            <w:pPr>
              <w:spacing w:after="0"/>
              <w:rPr>
                <w:sz w:val="1"/>
                <w:szCs w:val="1"/>
                <w:color w:val="auto"/>
              </w:rPr>
            </w:pPr>
          </w:p>
        </w:tc>
      </w:tr>
      <w:tr>
        <w:trPr>
          <w:trHeight w:val="554"/>
        </w:trPr>
        <w:tc>
          <w:tcPr>
            <w:tcW w:w="3100" w:type="dxa"/>
            <w:vAlign w:val="bottom"/>
          </w:tcPr>
          <w:p>
            <w:pPr>
              <w:ind w:left="40"/>
              <w:spacing w:after="0"/>
              <w:rPr>
                <w:sz w:val="20"/>
                <w:szCs w:val="20"/>
                <w:color w:val="auto"/>
              </w:rPr>
            </w:pPr>
            <w:r>
              <w:rPr>
                <w:rFonts w:ascii="Arial" w:cs="Arial" w:eastAsia="Arial" w:hAnsi="Arial"/>
                <w:sz w:val="20"/>
                <w:szCs w:val="20"/>
                <w:color w:val="auto"/>
              </w:rPr>
              <w:t>/s/ R. Michael Mohan</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R. Michael Mohan</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26, 2020</w:t>
            </w:r>
          </w:p>
        </w:tc>
        <w:tc>
          <w:tcPr>
            <w:tcW w:w="0" w:type="dxa"/>
            <w:vAlign w:val="bottom"/>
          </w:tcPr>
          <w:p>
            <w:pPr>
              <w:spacing w:after="0"/>
              <w:rPr>
                <w:sz w:val="1"/>
                <w:szCs w:val="1"/>
                <w:color w:val="auto"/>
              </w:rPr>
            </w:pPr>
          </w:p>
        </w:tc>
      </w:tr>
      <w:tr>
        <w:trPr>
          <w:trHeight w:val="608"/>
        </w:trPr>
        <w:tc>
          <w:tcPr>
            <w:tcW w:w="3100" w:type="dxa"/>
            <w:vAlign w:val="bottom"/>
          </w:tcPr>
          <w:p>
            <w:pPr>
              <w:ind w:left="40"/>
              <w:spacing w:after="0"/>
              <w:rPr>
                <w:sz w:val="20"/>
                <w:szCs w:val="20"/>
                <w:color w:val="auto"/>
              </w:rPr>
            </w:pPr>
            <w:r>
              <w:rPr>
                <w:rFonts w:ascii="Arial" w:cs="Arial" w:eastAsia="Arial" w:hAnsi="Arial"/>
                <w:sz w:val="20"/>
                <w:szCs w:val="20"/>
                <w:color w:val="auto"/>
              </w:rPr>
              <w:t>/s/ Elizabeth A. Smith</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Elizabeth A. Smith</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Chairman of the Board and 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26, 2020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4.2</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251" w:lineRule="exact"/>
        <w:rPr>
          <w:sz w:val="20"/>
          <w:szCs w:val="20"/>
          <w:color w:val="auto"/>
        </w:rPr>
      </w:pPr>
    </w:p>
    <w:p>
      <w:pPr>
        <w:jc w:val="both"/>
        <w:ind w:firstLine="756"/>
        <w:spacing w:after="0" w:line="286" w:lineRule="auto"/>
        <w:rPr>
          <w:sz w:val="20"/>
          <w:szCs w:val="20"/>
          <w:color w:val="auto"/>
        </w:rPr>
      </w:pPr>
      <w:r>
        <w:rPr>
          <w:rFonts w:ascii="Arial" w:cs="Arial" w:eastAsia="Arial" w:hAnsi="Arial"/>
          <w:sz w:val="17"/>
          <w:szCs w:val="17"/>
          <w:i w:val="1"/>
          <w:iCs w:val="1"/>
          <w:color w:val="auto"/>
        </w:rPr>
        <w:t>The following summary does not purport to be complete and is subject to, and qualified in its entirety by reference to, our second amended and restated certificate of incorporation (“certificate of incorporation”) and our third amended and restated bylaws (“bylaws”), which have been filed as exhibits to our most recent Annual Report on Form 10-K. The information in this Exhibit 4.2 is provided as of February 26,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756"/>
        <w:spacing w:after="0" w:line="277" w:lineRule="auto"/>
        <w:rPr>
          <w:sz w:val="20"/>
          <w:szCs w:val="20"/>
          <w:color w:val="auto"/>
        </w:rPr>
      </w:pPr>
      <w:r>
        <w:rPr>
          <w:rFonts w:ascii="Arial" w:cs="Arial" w:eastAsia="Arial" w:hAnsi="Arial"/>
          <w:sz w:val="18"/>
          <w:szCs w:val="18"/>
          <w:color w:val="auto"/>
        </w:rPr>
        <w:t>Our certificate of incorporation provides for authorized capital stock of 475,000,000 shares of common stock, par value $0.01 per share, and 25,000,000 shares of undesignated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firstLine="756"/>
        <w:spacing w:after="0" w:line="264"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Subject to preferences that may apply to shares of preferred stock outstanding at the time, holders of outstanding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are entitled to receive dividends out of assets legally available at the times and in the amounts as the Board of Directors may from time to time determine.</w:t>
      </w:r>
    </w:p>
    <w:p>
      <w:pPr>
        <w:spacing w:after="0" w:line="127" w:lineRule="exact"/>
        <w:rPr>
          <w:sz w:val="20"/>
          <w:szCs w:val="20"/>
          <w:color w:val="auto"/>
        </w:rPr>
      </w:pPr>
    </w:p>
    <w:p>
      <w:pPr>
        <w:jc w:val="both"/>
        <w:ind w:firstLine="756"/>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outstanding share of common stock is entitled to one vote on all matters submitted to a vote of stockholders. Holders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do not have cumulative voting rights.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7"/>
          <w:szCs w:val="17"/>
          <w:i w:val="1"/>
          <w:iCs w:val="1"/>
          <w:color w:val="auto"/>
        </w:rPr>
        <w:t>Preemptive Rights</w:t>
      </w:r>
      <w:r>
        <w:rPr>
          <w:rFonts w:ascii="Arial" w:cs="Arial" w:eastAsia="Arial" w:hAnsi="Arial"/>
          <w:sz w:val="17"/>
          <w:szCs w:val="17"/>
          <w:color w:val="auto"/>
        </w:rPr>
        <w:t>. Our common stock is not entitled to preemptive or other similar subscription rights to purchase any of our securities.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Conversion or Redemption Rights</w:t>
      </w:r>
      <w:r>
        <w:rPr>
          <w:rFonts w:ascii="Arial" w:cs="Arial" w:eastAsia="Arial" w:hAnsi="Arial"/>
          <w:sz w:val="18"/>
          <w:szCs w:val="18"/>
          <w:color w:val="auto"/>
        </w:rPr>
        <w:t>. Our common stock is neither convertible nor redeemable.</w:t>
      </w:r>
    </w:p>
    <w:p>
      <w:pPr>
        <w:spacing w:after="0" w:line="171" w:lineRule="exact"/>
        <w:rPr>
          <w:sz w:val="20"/>
          <w:szCs w:val="20"/>
          <w:color w:val="auto"/>
        </w:rPr>
      </w:pPr>
    </w:p>
    <w:p>
      <w:pPr>
        <w:jc w:val="both"/>
        <w:ind w:right="20" w:firstLine="756"/>
        <w:spacing w:after="0" w:line="308"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Upon our liquidation, the holders of our common stock will be entitled to receive pro rata our assets that are legally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distribution, after payment of all debts and other liabilities and subject to the prior rights of any holders of preferred stock then outstanding.</w:t>
      </w:r>
    </w:p>
    <w:p>
      <w:pPr>
        <w:spacing w:after="0" w:line="93" w:lineRule="exact"/>
        <w:rPr>
          <w:sz w:val="20"/>
          <w:szCs w:val="20"/>
          <w:color w:val="auto"/>
        </w:rPr>
      </w:pPr>
    </w:p>
    <w:p>
      <w:pPr>
        <w:ind w:right="2580" w:firstLine="756"/>
        <w:spacing w:after="0" w:line="438" w:lineRule="auto"/>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Our shares of common stock are listed on the Nasdaq Global Select Market under the symbol “BLMN.”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Anti-Takeover Effects of Our Certificate of Incorporation and Bylaws</w:t>
      </w:r>
    </w:p>
    <w:p>
      <w:pPr>
        <w:spacing w:after="0" w:line="1" w:lineRule="exact"/>
        <w:rPr>
          <w:sz w:val="20"/>
          <w:szCs w:val="20"/>
          <w:color w:val="auto"/>
        </w:rPr>
      </w:pPr>
    </w:p>
    <w:p>
      <w:pPr>
        <w:jc w:val="both"/>
        <w:ind w:firstLine="756"/>
        <w:spacing w:after="0" w:line="264" w:lineRule="auto"/>
        <w:rPr>
          <w:sz w:val="20"/>
          <w:szCs w:val="20"/>
          <w:color w:val="auto"/>
        </w:rPr>
      </w:pPr>
      <w:r>
        <w:rPr>
          <w:rFonts w:ascii="Arial" w:cs="Arial" w:eastAsia="Arial" w:hAnsi="Arial"/>
          <w:sz w:val="18"/>
          <w:szCs w:val="18"/>
          <w:color w:val="auto"/>
        </w:rPr>
        <w:t>Our certificate of incorporation and bylaws contain certain provisions that are intended to enhance the likelihood of continuity and stability in the composition of our Board of Directors and that may have the effect of delaying, deferring or preventing a future takeover or change in control of the Company unless that takeover or change in control is approved by our Board of Directors.</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These provisions include:</w:t>
      </w:r>
    </w:p>
    <w:p>
      <w:pPr>
        <w:spacing w:after="0" w:line="171" w:lineRule="exact"/>
        <w:rPr>
          <w:sz w:val="20"/>
          <w:szCs w:val="20"/>
          <w:color w:val="auto"/>
        </w:rPr>
      </w:pPr>
    </w:p>
    <w:p>
      <w:pPr>
        <w:jc w:val="both"/>
        <w:ind w:firstLine="756"/>
        <w:spacing w:after="0" w:line="255"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certificate of incorporation provides that our Board of Directors be divided into three classes of directors, with the classes as</w:t>
      </w:r>
      <w:r>
        <w:rPr>
          <w:rFonts w:ascii="Arial" w:cs="Arial" w:eastAsia="Arial" w:hAnsi="Arial"/>
          <w:sz w:val="18"/>
          <w:szCs w:val="18"/>
          <w:i w:val="1"/>
          <w:iCs w:val="1"/>
          <w:color w:val="auto"/>
        </w:rPr>
        <w:t xml:space="preserve"> </w:t>
      </w:r>
      <w:r>
        <w:rPr>
          <w:rFonts w:ascii="Arial" w:cs="Arial" w:eastAsia="Arial" w:hAnsi="Arial"/>
          <w:sz w:val="18"/>
          <w:szCs w:val="18"/>
          <w:color w:val="auto"/>
        </w:rPr>
        <w:t>nearly equal in number as possible. As a result, approximately one-third of our Board of Directors will be elected each year. The classification of directors has the effect of making it more difficult for stockholders to change the composition of our Board of Directors. In addition, because our Board of Directors is classified, under Delaware General Corporation Law, directors may only be removed for cause. Our certificate of incorporation also provides that, subject to any rights of holders of preferred stock to elect additional directors under specified circumstances, the number of directors is to be fixed exclusively pursuant to a resolution adopted by our Board of Directors.</w:t>
      </w:r>
    </w:p>
    <w:p>
      <w:pPr>
        <w:spacing w:after="0" w:line="139" w:lineRule="exact"/>
        <w:rPr>
          <w:sz w:val="20"/>
          <w:szCs w:val="20"/>
          <w:color w:val="auto"/>
        </w:rPr>
      </w:pPr>
    </w:p>
    <w:p>
      <w:pPr>
        <w:jc w:val="both"/>
        <w:ind w:firstLine="756"/>
        <w:spacing w:after="0" w:line="259" w:lineRule="auto"/>
        <w:rPr>
          <w:sz w:val="20"/>
          <w:szCs w:val="20"/>
          <w:color w:val="auto"/>
        </w:rPr>
      </w:pPr>
      <w:r>
        <w:rPr>
          <w:rFonts w:ascii="Arial" w:cs="Arial" w:eastAsia="Arial" w:hAnsi="Arial"/>
          <w:sz w:val="18"/>
          <w:szCs w:val="18"/>
          <w:i w:val="1"/>
          <w:iCs w:val="1"/>
          <w:color w:val="auto"/>
        </w:rPr>
        <w:t>Action by Written Consent; Special Meetings of Stockholders</w:t>
      </w:r>
      <w:r>
        <w:rPr>
          <w:rFonts w:ascii="Arial" w:cs="Arial" w:eastAsia="Arial" w:hAnsi="Arial"/>
          <w:sz w:val="18"/>
          <w:szCs w:val="18"/>
          <w:color w:val="auto"/>
        </w:rPr>
        <w:t>. Our certificate of incorporation provides that stockholder action can be taken only at</w:t>
      </w:r>
      <w:r>
        <w:rPr>
          <w:rFonts w:ascii="Arial" w:cs="Arial" w:eastAsia="Arial" w:hAnsi="Arial"/>
          <w:sz w:val="18"/>
          <w:szCs w:val="18"/>
          <w:i w:val="1"/>
          <w:iCs w:val="1"/>
          <w:color w:val="auto"/>
        </w:rPr>
        <w:t xml:space="preserve"> </w:t>
      </w:r>
      <w:r>
        <w:rPr>
          <w:rFonts w:ascii="Arial" w:cs="Arial" w:eastAsia="Arial" w:hAnsi="Arial"/>
          <w:sz w:val="18"/>
          <w:szCs w:val="18"/>
          <w:color w:val="auto"/>
        </w:rPr>
        <w:t>an annual or special meeting of stockholders and cannot be taken by written consent in lieu of a meeting. Our certificate of incorporation also provides that, except as otherwise required by law, special meetings of the stockholders can be called only pursuant to a resolution adopted by a majority of the total number of directors that the Company would have if there were no vacancies.</w:t>
      </w:r>
    </w:p>
    <w:p>
      <w:pPr>
        <w:spacing w:after="0" w:line="133" w:lineRule="exact"/>
        <w:rPr>
          <w:sz w:val="20"/>
          <w:szCs w:val="20"/>
          <w:color w:val="auto"/>
        </w:rPr>
      </w:pPr>
    </w:p>
    <w:p>
      <w:pPr>
        <w:jc w:val="both"/>
        <w:ind w:firstLine="756"/>
        <w:spacing w:after="0" w:line="297" w:lineRule="auto"/>
        <w:rPr>
          <w:sz w:val="20"/>
          <w:szCs w:val="20"/>
          <w:color w:val="auto"/>
        </w:rPr>
      </w:pPr>
      <w:r>
        <w:rPr>
          <w:rFonts w:ascii="Arial" w:cs="Arial" w:eastAsia="Arial" w:hAnsi="Arial"/>
          <w:sz w:val="16"/>
          <w:szCs w:val="16"/>
          <w:i w:val="1"/>
          <w:iCs w:val="1"/>
          <w:color w:val="auto"/>
        </w:rPr>
        <w:t>Advance Notice Procedures</w:t>
      </w:r>
      <w:r>
        <w:rPr>
          <w:rFonts w:ascii="Arial" w:cs="Arial" w:eastAsia="Arial" w:hAnsi="Arial"/>
          <w:sz w:val="16"/>
          <w:szCs w:val="16"/>
          <w:color w:val="auto"/>
        </w:rPr>
        <w:t>. Our bylaws establish an advance notice procedure for stockholder proposals to be brought before an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stockholders, including proposed nominations of persons for election to the Board of Directors. Stockholders at an annual meeting are only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accordance with our bylaws, of the stockholder’s intention to bring that business before the meeting. Although the bylaws do not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46" w:right="239" w:bottom="1440" w:gutter="0" w:footer="0" w:header="0"/>
        </w:sectPr>
      </w:pPr>
    </w:p>
    <w:bookmarkStart w:id="110" w:name="page111"/>
    <w:bookmarkEnd w:id="110"/>
    <w:p>
      <w:pPr>
        <w:jc w:val="both"/>
        <w:spacing w:after="0" w:line="259" w:lineRule="auto"/>
        <w:rPr>
          <w:sz w:val="20"/>
          <w:szCs w:val="20"/>
          <w:color w:val="auto"/>
        </w:rPr>
      </w:pPr>
      <w:r>
        <w:rPr>
          <w:rFonts w:ascii="Arial" w:cs="Arial" w:eastAsia="Arial" w:hAnsi="Arial"/>
          <w:sz w:val="18"/>
          <w:szCs w:val="18"/>
          <w:color w:val="auto"/>
        </w:rPr>
        <w:t>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acquiror from conducting a solicitation of proxies to elect its own slate of directors or otherwise attempting to obtain control of the Company.</w:t>
      </w:r>
    </w:p>
    <w:p>
      <w:pPr>
        <w:spacing w:after="0" w:line="133" w:lineRule="exact"/>
        <w:rPr>
          <w:sz w:val="20"/>
          <w:szCs w:val="20"/>
          <w:color w:val="auto"/>
        </w:rPr>
      </w:pPr>
    </w:p>
    <w:p>
      <w:pPr>
        <w:jc w:val="both"/>
        <w:ind w:firstLine="756"/>
        <w:spacing w:after="0" w:line="255" w:lineRule="auto"/>
        <w:rPr>
          <w:sz w:val="20"/>
          <w:szCs w:val="20"/>
          <w:color w:val="auto"/>
        </w:rPr>
      </w:pPr>
      <w:r>
        <w:rPr>
          <w:rFonts w:ascii="Arial" w:cs="Arial" w:eastAsia="Arial" w:hAnsi="Arial"/>
          <w:sz w:val="18"/>
          <w:szCs w:val="18"/>
          <w:i w:val="1"/>
          <w:iCs w:val="1"/>
          <w:color w:val="auto"/>
        </w:rPr>
        <w:t>Super Majority Approval Requirements</w:t>
      </w:r>
      <w:r>
        <w:rPr>
          <w:rFonts w:ascii="Arial" w:cs="Arial" w:eastAsia="Arial" w:hAnsi="Arial"/>
          <w:sz w:val="18"/>
          <w:szCs w:val="18"/>
          <w:color w:val="auto"/>
        </w:rPr>
        <w:t>. The Delaware General Corporation Law generally provides that the affirmative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stock entitled to vote on any matter is required to amend a corporation’s certificate of incorporation or bylaws, unless either a corporation’s certificate of incorporation or bylaws require a greater percentage. Our certificate of incorporation and bylaws provide that the affirmative vote of holders of at least 75% of the total votes entitled to vote in the election of directors is required to amend, alter, change or repeal our bylaws and specified provisions of our certificate of incorporation. This requirement of a supermajority vote to approve amendments to our certificate of incorporation and bylaws could enable a minority of our stockholders to exercise veto power over any such amendments.</w:t>
      </w:r>
    </w:p>
    <w:p>
      <w:pPr>
        <w:spacing w:after="0" w:line="139" w:lineRule="exact"/>
        <w:rPr>
          <w:sz w:val="20"/>
          <w:szCs w:val="20"/>
          <w:color w:val="auto"/>
        </w:rPr>
      </w:pPr>
    </w:p>
    <w:p>
      <w:pPr>
        <w:jc w:val="both"/>
        <w:ind w:firstLine="756"/>
        <w:spacing w:after="0" w:line="302" w:lineRule="auto"/>
        <w:rPr>
          <w:sz w:val="20"/>
          <w:szCs w:val="20"/>
          <w:color w:val="auto"/>
        </w:rPr>
      </w:pPr>
      <w:r>
        <w:rPr>
          <w:rFonts w:ascii="Arial" w:cs="Arial" w:eastAsia="Arial" w:hAnsi="Arial"/>
          <w:sz w:val="16"/>
          <w:szCs w:val="16"/>
          <w:i w:val="1"/>
          <w:iCs w:val="1"/>
          <w:color w:val="auto"/>
        </w:rPr>
        <w:t>Authorized but Unissued Shares</w:t>
      </w:r>
      <w:r>
        <w:rPr>
          <w:rFonts w:ascii="Arial" w:cs="Arial" w:eastAsia="Arial" w:hAnsi="Arial"/>
          <w:sz w:val="16"/>
          <w:szCs w:val="16"/>
          <w:color w:val="auto"/>
        </w:rPr>
        <w:t>. Our authorized but unissued shares of common stock and preferred stock are available for future issuance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00" w:lineRule="exact"/>
        <w:rPr>
          <w:sz w:val="20"/>
          <w:szCs w:val="20"/>
          <w:color w:val="auto"/>
        </w:rPr>
      </w:pPr>
    </w:p>
    <w:p>
      <w:pPr>
        <w:jc w:val="both"/>
        <w:ind w:firstLine="756"/>
        <w:spacing w:after="0" w:line="271" w:lineRule="auto"/>
        <w:rPr>
          <w:sz w:val="20"/>
          <w:szCs w:val="20"/>
          <w:color w:val="auto"/>
        </w:rPr>
      </w:pPr>
      <w:r>
        <w:rPr>
          <w:rFonts w:ascii="Arial" w:cs="Arial" w:eastAsia="Arial" w:hAnsi="Arial"/>
          <w:sz w:val="17"/>
          <w:szCs w:val="17"/>
          <w:i w:val="1"/>
          <w:iCs w:val="1"/>
          <w:color w:val="auto"/>
        </w:rPr>
        <w:t>Business Combinations with Interested Stockholders</w:t>
      </w:r>
      <w:r>
        <w:rPr>
          <w:rFonts w:ascii="Arial" w:cs="Arial" w:eastAsia="Arial" w:hAnsi="Arial"/>
          <w:sz w:val="17"/>
          <w:szCs w:val="17"/>
          <w:color w:val="auto"/>
        </w:rPr>
        <w:t>. We have elected in our certificate of incorporation not to be subject to Section 203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General Corporation Law, which generally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not subject to any anti-takeover effects of Section 203. However, our certificate of incorporation contains provisions that have the same effect as Section 203, except that they provide that our former sponsors (as defined in the certificate of incorporation) and their respective affiliates will not be deemed to be “interested stockholders,” regardless of the percentage of our voting stock owned by them, and accordingly will not be subject to such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5" w:lineRule="exact"/>
        <w:rPr>
          <w:sz w:val="20"/>
          <w:szCs w:val="20"/>
          <w:color w:val="auto"/>
        </w:rPr>
      </w:pPr>
    </w:p>
    <w:p>
      <w:pPr>
        <w:jc w:val="both"/>
        <w:ind w:firstLine="756"/>
        <w:spacing w:after="0" w:line="276" w:lineRule="auto"/>
        <w:rPr>
          <w:sz w:val="20"/>
          <w:szCs w:val="20"/>
          <w:color w:val="auto"/>
        </w:rPr>
      </w:pPr>
      <w:r>
        <w:rPr>
          <w:rFonts w:ascii="Arial" w:cs="Arial" w:eastAsia="Arial" w:hAnsi="Arial"/>
          <w:sz w:val="17"/>
          <w:szCs w:val="17"/>
          <w:color w:val="auto"/>
        </w:rPr>
        <w:t>Our certificate of incorporation limits the liability of our directors to the fullest extent permitted by the Delaware General Corporation Law, and our bylaws provide that we will indemnify them to the fullest extent permitted by such law. We have entered into indemnification agreements with our current directors and executive officers and expect to enter into a similar agreement with any new directors or executive officers. We also maintain customary directors’ and officers’ liability insurance policies that provide coverage to our directors and officers against loss arising from claims made by reason of breach of duty or other wrongful act and to us with respect to indemnification payments that we may make to directors and officers.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03"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10.38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 AND GENERAL RELEASE</w:t>
      </w:r>
    </w:p>
    <w:p>
      <w:pPr>
        <w:spacing w:after="0" w:line="2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SEVERANCE AGREEMENT AND GENERAL RELEASE (hereinafter "Release") is made and entered into by and between DONAGH M. HERLIHY (“Employee”) and OS MANAGEMENT, INC. (“Employer”). The parties desire to settle any and all disputes between them on terms that are mutually agreeable. Accordingly, in consideration of the mutual promises set forth below, Employer and Employee agree as follows: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Employer will provide Employee with good and valuable consideration as specified below in return for Employee’s execution of this Release, which is intended to fully and finally resolve any and all matters between Employer and Employee, whether actual or potential, on terms that are mutually agreeable.</w:t>
      </w:r>
    </w:p>
    <w:p>
      <w:pPr>
        <w:spacing w:after="0" w:line="226"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By entering into this Release, Employer does not admit any underlying liability to Employee. Neither Employer nor Employee is entering this Release because of any wrongful acts of any kind.</w:t>
      </w:r>
    </w:p>
    <w:p>
      <w:pPr>
        <w:spacing w:after="0" w:line="215" w:lineRule="exact"/>
        <w:rPr>
          <w:rFonts w:ascii="Arial" w:cs="Arial" w:eastAsia="Arial" w:hAnsi="Arial"/>
          <w:sz w:val="22"/>
          <w:szCs w:val="22"/>
          <w:color w:val="auto"/>
        </w:rPr>
      </w:pPr>
    </w:p>
    <w:p>
      <w:pPr>
        <w:ind w:left="660" w:hanging="652"/>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Employee promises and obligates himself to perform the following covenants under this Release:</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440" w:type="dxa"/>
            <w:vAlign w:val="bottom"/>
          </w:tcPr>
          <w:p>
            <w:pPr>
              <w:spacing w:after="0"/>
              <w:rPr>
                <w:sz w:val="20"/>
                <w:szCs w:val="20"/>
                <w:color w:val="auto"/>
              </w:rPr>
            </w:pPr>
            <w:r>
              <w:rPr>
                <w:rFonts w:ascii="Arial" w:cs="Arial" w:eastAsia="Arial" w:hAnsi="Arial"/>
                <w:sz w:val="22"/>
                <w:szCs w:val="22"/>
                <w:color w:val="auto"/>
              </w:rPr>
              <w:t>a.)</w:t>
            </w:r>
          </w:p>
        </w:tc>
        <w:tc>
          <w:tcPr>
            <w:tcW w:w="10320" w:type="dxa"/>
            <w:vAlign w:val="bottom"/>
            <w:gridSpan w:val="2"/>
          </w:tcPr>
          <w:p>
            <w:pPr>
              <w:ind w:left="200"/>
              <w:spacing w:after="0"/>
              <w:rPr>
                <w:sz w:val="20"/>
                <w:szCs w:val="20"/>
                <w:color w:val="auto"/>
              </w:rPr>
            </w:pPr>
            <w:r>
              <w:rPr>
                <w:rFonts w:ascii="Arial" w:cs="Arial" w:eastAsia="Arial" w:hAnsi="Arial"/>
                <w:sz w:val="22"/>
                <w:szCs w:val="22"/>
                <w:color w:val="auto"/>
                <w:w w:val="96"/>
              </w:rPr>
              <w:t>Employee agrees his employment with Employer is severed effective January 26, 2020 (“Separation Date”).</w:t>
            </w:r>
          </w:p>
        </w:tc>
      </w:tr>
      <w:tr>
        <w:trPr>
          <w:trHeight w:val="257"/>
        </w:trPr>
        <w:tc>
          <w:tcPr>
            <w:tcW w:w="440" w:type="dxa"/>
            <w:vAlign w:val="bottom"/>
          </w:tcPr>
          <w:p>
            <w:pPr>
              <w:spacing w:after="0"/>
              <w:rPr>
                <w:sz w:val="22"/>
                <w:szCs w:val="22"/>
                <w:color w:val="auto"/>
              </w:rPr>
            </w:pPr>
          </w:p>
        </w:tc>
        <w:tc>
          <w:tcPr>
            <w:tcW w:w="10320" w:type="dxa"/>
            <w:vAlign w:val="bottom"/>
            <w:gridSpan w:val="2"/>
          </w:tcPr>
          <w:p>
            <w:pPr>
              <w:ind w:left="200"/>
              <w:spacing w:after="0"/>
              <w:rPr>
                <w:sz w:val="20"/>
                <w:szCs w:val="20"/>
                <w:color w:val="auto"/>
              </w:rPr>
            </w:pPr>
            <w:r>
              <w:rPr>
                <w:rFonts w:ascii="Arial" w:cs="Arial" w:eastAsia="Arial" w:hAnsi="Arial"/>
                <w:sz w:val="22"/>
                <w:szCs w:val="22"/>
                <w:color w:val="auto"/>
                <w:w w:val="92"/>
              </w:rPr>
              <w:t>However, Employee shall cease performing duties on Employee’s behalf as of January 14, 2020. Employee shall</w:t>
            </w:r>
          </w:p>
        </w:tc>
      </w:tr>
      <w:tr>
        <w:trPr>
          <w:trHeight w:val="257"/>
        </w:trPr>
        <w:tc>
          <w:tcPr>
            <w:tcW w:w="440" w:type="dxa"/>
            <w:vAlign w:val="bottom"/>
          </w:tcPr>
          <w:p>
            <w:pPr>
              <w:spacing w:after="0"/>
              <w:rPr>
                <w:sz w:val="22"/>
                <w:szCs w:val="22"/>
                <w:color w:val="auto"/>
              </w:rPr>
            </w:pPr>
          </w:p>
        </w:tc>
        <w:tc>
          <w:tcPr>
            <w:tcW w:w="10320" w:type="dxa"/>
            <w:vAlign w:val="bottom"/>
            <w:gridSpan w:val="2"/>
          </w:tcPr>
          <w:p>
            <w:pPr>
              <w:ind w:left="200"/>
              <w:spacing w:after="0"/>
              <w:rPr>
                <w:sz w:val="20"/>
                <w:szCs w:val="20"/>
                <w:color w:val="auto"/>
              </w:rPr>
            </w:pPr>
            <w:r>
              <w:rPr>
                <w:rFonts w:ascii="Arial" w:cs="Arial" w:eastAsia="Arial" w:hAnsi="Arial"/>
                <w:sz w:val="22"/>
                <w:szCs w:val="22"/>
                <w:color w:val="auto"/>
                <w:w w:val="94"/>
              </w:rPr>
              <w:t>remain reasonably available to Employer via telephone and e-mail through the Separation Date, for transfer of</w:t>
            </w:r>
          </w:p>
        </w:tc>
      </w:tr>
      <w:tr>
        <w:trPr>
          <w:trHeight w:val="275"/>
        </w:trPr>
        <w:tc>
          <w:tcPr>
            <w:tcW w:w="440" w:type="dxa"/>
            <w:vAlign w:val="bottom"/>
          </w:tcPr>
          <w:p>
            <w:pPr>
              <w:spacing w:after="0"/>
              <w:rPr>
                <w:sz w:val="23"/>
                <w:szCs w:val="23"/>
                <w:color w:val="auto"/>
              </w:rPr>
            </w:pPr>
          </w:p>
        </w:tc>
        <w:tc>
          <w:tcPr>
            <w:tcW w:w="10320" w:type="dxa"/>
            <w:vAlign w:val="bottom"/>
            <w:gridSpan w:val="2"/>
          </w:tcPr>
          <w:p>
            <w:pPr>
              <w:ind w:left="200"/>
              <w:spacing w:after="0"/>
              <w:rPr>
                <w:sz w:val="20"/>
                <w:szCs w:val="20"/>
                <w:color w:val="auto"/>
              </w:rPr>
            </w:pPr>
            <w:r>
              <w:rPr>
                <w:rFonts w:ascii="Arial" w:cs="Arial" w:eastAsia="Arial" w:hAnsi="Arial"/>
                <w:sz w:val="22"/>
                <w:szCs w:val="22"/>
                <w:color w:val="auto"/>
              </w:rPr>
              <w:t>knowledge.</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b.)</w:t>
            </w:r>
          </w:p>
        </w:tc>
        <w:tc>
          <w:tcPr>
            <w:tcW w:w="10320" w:type="dxa"/>
            <w:vAlign w:val="bottom"/>
            <w:gridSpan w:val="2"/>
          </w:tcPr>
          <w:p>
            <w:pPr>
              <w:ind w:left="200"/>
              <w:spacing w:after="0"/>
              <w:rPr>
                <w:sz w:val="20"/>
                <w:szCs w:val="20"/>
                <w:color w:val="auto"/>
              </w:rPr>
            </w:pPr>
            <w:r>
              <w:rPr>
                <w:rFonts w:ascii="Arial" w:cs="Arial" w:eastAsia="Arial" w:hAnsi="Arial"/>
                <w:sz w:val="22"/>
                <w:szCs w:val="22"/>
                <w:color w:val="auto"/>
                <w:w w:val="93"/>
              </w:rPr>
              <w:t>Acting for himself, his heirs, personal representatives, administrators and anyone claiming by or through him or</w:t>
            </w:r>
          </w:p>
        </w:tc>
      </w:tr>
      <w:tr>
        <w:trPr>
          <w:trHeight w:val="257"/>
        </w:trPr>
        <w:tc>
          <w:tcPr>
            <w:tcW w:w="440" w:type="dxa"/>
            <w:vAlign w:val="bottom"/>
          </w:tcPr>
          <w:p>
            <w:pPr>
              <w:spacing w:after="0"/>
              <w:rPr>
                <w:sz w:val="22"/>
                <w:szCs w:val="22"/>
                <w:color w:val="auto"/>
              </w:rPr>
            </w:pPr>
          </w:p>
        </w:tc>
        <w:tc>
          <w:tcPr>
            <w:tcW w:w="10320" w:type="dxa"/>
            <w:vAlign w:val="bottom"/>
            <w:gridSpan w:val="2"/>
          </w:tcPr>
          <w:p>
            <w:pPr>
              <w:ind w:left="200"/>
              <w:spacing w:after="0"/>
              <w:rPr>
                <w:sz w:val="20"/>
                <w:szCs w:val="20"/>
                <w:color w:val="auto"/>
              </w:rPr>
            </w:pPr>
            <w:r>
              <w:rPr>
                <w:rFonts w:ascii="Arial" w:cs="Arial" w:eastAsia="Arial" w:hAnsi="Arial"/>
                <w:sz w:val="22"/>
                <w:szCs w:val="22"/>
                <w:color w:val="auto"/>
                <w:w w:val="91"/>
              </w:rPr>
              <w:t>them, Employee unconditionally and irrevocably releases, acquits and discharges Employer and its Releasees (as</w:t>
            </w:r>
          </w:p>
        </w:tc>
      </w:tr>
      <w:tr>
        <w:trPr>
          <w:trHeight w:val="257"/>
        </w:trPr>
        <w:tc>
          <w:tcPr>
            <w:tcW w:w="440" w:type="dxa"/>
            <w:vAlign w:val="bottom"/>
          </w:tcPr>
          <w:p>
            <w:pPr>
              <w:spacing w:after="0"/>
              <w:rPr>
                <w:sz w:val="22"/>
                <w:szCs w:val="22"/>
                <w:color w:val="auto"/>
              </w:rPr>
            </w:pPr>
          </w:p>
        </w:tc>
        <w:tc>
          <w:tcPr>
            <w:tcW w:w="10320" w:type="dxa"/>
            <w:vAlign w:val="bottom"/>
            <w:gridSpan w:val="2"/>
          </w:tcPr>
          <w:p>
            <w:pPr>
              <w:ind w:left="200"/>
              <w:spacing w:after="0"/>
              <w:rPr>
                <w:sz w:val="20"/>
                <w:szCs w:val="20"/>
                <w:color w:val="auto"/>
              </w:rPr>
            </w:pPr>
            <w:r>
              <w:rPr>
                <w:rFonts w:ascii="Arial" w:cs="Arial" w:eastAsia="Arial" w:hAnsi="Arial"/>
                <w:sz w:val="22"/>
                <w:szCs w:val="22"/>
                <w:color w:val="auto"/>
                <w:w w:val="90"/>
              </w:rPr>
              <w:t>defined below) from any and all Claims (as defined below) that Employee (or any person or entity claiming through</w:t>
            </w:r>
          </w:p>
        </w:tc>
      </w:tr>
      <w:tr>
        <w:trPr>
          <w:trHeight w:val="275"/>
        </w:trPr>
        <w:tc>
          <w:tcPr>
            <w:tcW w:w="440" w:type="dxa"/>
            <w:vAlign w:val="bottom"/>
          </w:tcPr>
          <w:p>
            <w:pPr>
              <w:spacing w:after="0"/>
              <w:rPr>
                <w:sz w:val="23"/>
                <w:szCs w:val="23"/>
                <w:color w:val="auto"/>
              </w:rPr>
            </w:pPr>
          </w:p>
        </w:tc>
        <w:tc>
          <w:tcPr>
            <w:tcW w:w="10320" w:type="dxa"/>
            <w:vAlign w:val="bottom"/>
            <w:gridSpan w:val="2"/>
          </w:tcPr>
          <w:p>
            <w:pPr>
              <w:ind w:left="200"/>
              <w:spacing w:after="0"/>
              <w:rPr>
                <w:sz w:val="20"/>
                <w:szCs w:val="20"/>
                <w:color w:val="auto"/>
              </w:rPr>
            </w:pPr>
            <w:r>
              <w:rPr>
                <w:rFonts w:ascii="Arial" w:cs="Arial" w:eastAsia="Arial" w:hAnsi="Arial"/>
                <w:sz w:val="22"/>
                <w:szCs w:val="22"/>
                <w:color w:val="auto"/>
              </w:rPr>
              <w:t>Employee) may have against Employer or its Releasees as of the date of this Release.</w:t>
            </w:r>
          </w:p>
        </w:tc>
      </w:tr>
      <w:tr>
        <w:trPr>
          <w:trHeight w:val="495"/>
        </w:trPr>
        <w:tc>
          <w:tcPr>
            <w:tcW w:w="44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22"/>
                <w:szCs w:val="22"/>
                <w:color w:val="auto"/>
              </w:rPr>
              <w:t>i)</w:t>
            </w:r>
          </w:p>
        </w:tc>
        <w:tc>
          <w:tcPr>
            <w:tcW w:w="9700" w:type="dxa"/>
            <w:vAlign w:val="bottom"/>
          </w:tcPr>
          <w:p>
            <w:pPr>
              <w:ind w:left="240"/>
              <w:spacing w:after="0"/>
              <w:rPr>
                <w:sz w:val="20"/>
                <w:szCs w:val="20"/>
                <w:color w:val="auto"/>
              </w:rPr>
            </w:pPr>
            <w:r>
              <w:rPr>
                <w:rFonts w:ascii="Arial" w:cs="Arial" w:eastAsia="Arial" w:hAnsi="Arial"/>
                <w:sz w:val="22"/>
                <w:szCs w:val="22"/>
                <w:color w:val="auto"/>
                <w:w w:val="92"/>
              </w:rPr>
              <w:t>The phrases “Employer” or “Company” or “Employer and its Releasees” shall mean OS Management Inc.</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tcPr>
          <w:p>
            <w:pPr>
              <w:ind w:left="240"/>
              <w:spacing w:after="0"/>
              <w:rPr>
                <w:sz w:val="20"/>
                <w:szCs w:val="20"/>
                <w:color w:val="auto"/>
              </w:rPr>
            </w:pPr>
            <w:r>
              <w:rPr>
                <w:rFonts w:ascii="Arial" w:cs="Arial" w:eastAsia="Arial" w:hAnsi="Arial"/>
                <w:sz w:val="22"/>
                <w:szCs w:val="22"/>
                <w:color w:val="auto"/>
                <w:w w:val="99"/>
              </w:rPr>
              <w:t>and all of its direct and indirect parents, (including but not limited to Bloomin’ Brands, Inc. and OSI</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tcPr>
          <w:p>
            <w:pPr>
              <w:ind w:left="240"/>
              <w:spacing w:after="0"/>
              <w:rPr>
                <w:sz w:val="20"/>
                <w:szCs w:val="20"/>
                <w:color w:val="auto"/>
              </w:rPr>
            </w:pPr>
            <w:r>
              <w:rPr>
                <w:rFonts w:ascii="Arial" w:cs="Arial" w:eastAsia="Arial" w:hAnsi="Arial"/>
                <w:sz w:val="22"/>
                <w:szCs w:val="22"/>
                <w:color w:val="auto"/>
                <w:w w:val="91"/>
              </w:rPr>
              <w:t>Restaurant Partners, LLC), direct and indirect affiliates (including but not limited to Outback Steakhouse of</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tcPr>
          <w:p>
            <w:pPr>
              <w:ind w:left="240"/>
              <w:spacing w:after="0"/>
              <w:rPr>
                <w:sz w:val="20"/>
                <w:szCs w:val="20"/>
                <w:color w:val="auto"/>
              </w:rPr>
            </w:pPr>
            <w:r>
              <w:rPr>
                <w:rFonts w:ascii="Arial" w:cs="Arial" w:eastAsia="Arial" w:hAnsi="Arial"/>
                <w:sz w:val="22"/>
                <w:szCs w:val="22"/>
                <w:color w:val="auto"/>
              </w:rPr>
              <w:t>Florida, LLC, Bonefish Grill, LLC, Carrabba’s Italian Grill, LLC, OS Prime, LLC, OS Pacific, LLC,</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tcPr>
          <w:p>
            <w:pPr>
              <w:ind w:left="240"/>
              <w:spacing w:after="0"/>
              <w:rPr>
                <w:sz w:val="20"/>
                <w:szCs w:val="20"/>
                <w:color w:val="auto"/>
              </w:rPr>
            </w:pPr>
            <w:r>
              <w:rPr>
                <w:rFonts w:ascii="Arial" w:cs="Arial" w:eastAsia="Arial" w:hAnsi="Arial"/>
                <w:sz w:val="22"/>
                <w:szCs w:val="22"/>
                <w:color w:val="auto"/>
                <w:w w:val="96"/>
              </w:rPr>
              <w:t>DoorSide, LLC and OS Restaurant Services, LLC), and all of the past and present directors, officers,</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tcPr>
          <w:p>
            <w:pPr>
              <w:ind w:left="240"/>
              <w:spacing w:after="0"/>
              <w:rPr>
                <w:sz w:val="20"/>
                <w:szCs w:val="20"/>
                <w:color w:val="auto"/>
              </w:rPr>
            </w:pPr>
            <w:r>
              <w:rPr>
                <w:rFonts w:ascii="Arial" w:cs="Arial" w:eastAsia="Arial" w:hAnsi="Arial"/>
                <w:sz w:val="22"/>
                <w:szCs w:val="22"/>
                <w:color w:val="auto"/>
                <w:w w:val="85"/>
              </w:rPr>
              <w:t>partners, shareholders, supervisors, employees, representatives, successors, assigns, subsidiaries, parents, and</w:t>
            </w:r>
          </w:p>
        </w:tc>
      </w:tr>
      <w:tr>
        <w:trPr>
          <w:trHeight w:val="275"/>
        </w:trPr>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00" w:type="dxa"/>
            <w:vAlign w:val="bottom"/>
          </w:tcPr>
          <w:p>
            <w:pPr>
              <w:ind w:left="240"/>
              <w:spacing w:after="0"/>
              <w:rPr>
                <w:sz w:val="20"/>
                <w:szCs w:val="20"/>
                <w:color w:val="auto"/>
              </w:rPr>
            </w:pPr>
            <w:r>
              <w:rPr>
                <w:rFonts w:ascii="Arial" w:cs="Arial" w:eastAsia="Arial" w:hAnsi="Arial"/>
                <w:sz w:val="22"/>
                <w:szCs w:val="22"/>
                <w:color w:val="auto"/>
              </w:rPr>
              <w:t>insurers of OS Management, Inc. and its parents and affiliates.</w:t>
            </w:r>
          </w:p>
        </w:tc>
      </w:tr>
      <w:tr>
        <w:trPr>
          <w:trHeight w:val="495"/>
        </w:trPr>
        <w:tc>
          <w:tcPr>
            <w:tcW w:w="44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22"/>
                <w:szCs w:val="22"/>
                <w:color w:val="auto"/>
              </w:rPr>
              <w:t>ii)</w:t>
            </w:r>
          </w:p>
        </w:tc>
        <w:tc>
          <w:tcPr>
            <w:tcW w:w="9700" w:type="dxa"/>
            <w:vAlign w:val="bottom"/>
          </w:tcPr>
          <w:p>
            <w:pPr>
              <w:ind w:left="240"/>
              <w:spacing w:after="0"/>
              <w:rPr>
                <w:sz w:val="20"/>
                <w:szCs w:val="20"/>
                <w:color w:val="auto"/>
              </w:rPr>
            </w:pPr>
            <w:r>
              <w:rPr>
                <w:rFonts w:ascii="Arial" w:cs="Arial" w:eastAsia="Arial" w:hAnsi="Arial"/>
                <w:sz w:val="22"/>
                <w:szCs w:val="22"/>
                <w:color w:val="auto"/>
                <w:w w:val="93"/>
              </w:rPr>
              <w:t>The term “Claims” shall include lawsuits, causes of action, liabilities, losses, damages, debts, demands,</w:t>
            </w:r>
          </w:p>
        </w:tc>
      </w:tr>
      <w:tr>
        <w:trPr>
          <w:trHeight w:val="275"/>
        </w:trPr>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00" w:type="dxa"/>
            <w:vAlign w:val="bottom"/>
          </w:tcPr>
          <w:p>
            <w:pPr>
              <w:ind w:left="240"/>
              <w:spacing w:after="0"/>
              <w:rPr>
                <w:sz w:val="20"/>
                <w:szCs w:val="20"/>
                <w:color w:val="auto"/>
              </w:rPr>
            </w:pPr>
            <w:r>
              <w:rPr>
                <w:rFonts w:ascii="Arial" w:cs="Arial" w:eastAsia="Arial" w:hAnsi="Arial"/>
                <w:sz w:val="22"/>
                <w:szCs w:val="22"/>
                <w:color w:val="auto"/>
                <w:w w:val="92"/>
              </w:rPr>
              <w:t>controversies, agreements, duties, obligations, promises and rights of every kind. The term “Claims” shall</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320"/>
        <w:spacing w:after="0"/>
        <w:tabs>
          <w:tab w:leader="none" w:pos="8600" w:val="left"/>
        </w:tabs>
        <w:rPr>
          <w:sz w:val="20"/>
          <w:szCs w:val="20"/>
          <w:color w:val="auto"/>
        </w:rPr>
      </w:pPr>
      <w:r>
        <w:rPr>
          <w:rFonts w:ascii="Arial" w:cs="Arial" w:eastAsia="Arial" w:hAnsi="Arial"/>
          <w:sz w:val="18"/>
          <w:szCs w:val="18"/>
          <w:color w:val="auto"/>
        </w:rPr>
        <w:t>Page 1 of 10</w:t>
      </w:r>
      <w:r>
        <w:rPr>
          <w:sz w:val="20"/>
          <w:szCs w:val="20"/>
          <w:color w:val="auto"/>
        </w:rPr>
        <w:tab/>
      </w:r>
      <w:r>
        <w:rPr>
          <w:rFonts w:ascii="Arial" w:cs="Arial" w:eastAsia="Arial" w:hAnsi="Arial"/>
          <w:sz w:val="16"/>
          <w:szCs w:val="16"/>
          <w:color w:val="auto"/>
        </w:rPr>
        <w:t xml:space="preserve">Employee Initials: </w:t>
      </w:r>
      <w:r>
        <w:rPr>
          <w:rFonts w:ascii="Arial" w:cs="Arial" w:eastAsia="Arial" w:hAnsi="Arial"/>
          <w:sz w:val="16"/>
          <w:szCs w:val="16"/>
          <w:b w:val="1"/>
          <w:bCs w:val="1"/>
          <w:u w:val="single" w:color="auto"/>
          <w:color w:val="auto"/>
        </w:rPr>
        <w:t>/s/ DH</w:t>
      </w:r>
    </w:p>
    <w:p>
      <w:pPr>
        <w:sectPr>
          <w:pgSz w:w="11900" w:h="16838" w:orient="portrait"/>
          <w:cols w:equalWidth="0" w:num="1">
            <w:col w:w="11420"/>
          </w:cols>
          <w:pgMar w:left="240" w:top="121"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57"/>
        </w:trPr>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60" w:type="dxa"/>
            <w:vAlign w:val="bottom"/>
            <w:gridSpan w:val="18"/>
          </w:tcPr>
          <w:p>
            <w:pPr>
              <w:jc w:val="right"/>
              <w:spacing w:after="0"/>
              <w:rPr>
                <w:sz w:val="20"/>
                <w:szCs w:val="20"/>
                <w:color w:val="auto"/>
              </w:rPr>
            </w:pPr>
            <w:r>
              <w:rPr>
                <w:rFonts w:ascii="Arial" w:cs="Arial" w:eastAsia="Arial" w:hAnsi="Arial"/>
                <w:sz w:val="22"/>
                <w:szCs w:val="22"/>
                <w:color w:val="auto"/>
                <w:w w:val="98"/>
              </w:rPr>
              <w:t>include Claims arising from any source, including but not limited to contracts, statutes, regulations,</w:t>
            </w:r>
          </w:p>
        </w:tc>
      </w:tr>
      <w:tr>
        <w:trPr>
          <w:trHeight w:val="257"/>
        </w:trPr>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60" w:type="dxa"/>
            <w:vAlign w:val="bottom"/>
            <w:gridSpan w:val="18"/>
          </w:tcPr>
          <w:p>
            <w:pPr>
              <w:jc w:val="right"/>
              <w:spacing w:after="0"/>
              <w:rPr>
                <w:sz w:val="20"/>
                <w:szCs w:val="20"/>
                <w:color w:val="auto"/>
              </w:rPr>
            </w:pPr>
            <w:r>
              <w:rPr>
                <w:rFonts w:ascii="Arial" w:cs="Arial" w:eastAsia="Arial" w:hAnsi="Arial"/>
                <w:sz w:val="22"/>
                <w:szCs w:val="22"/>
                <w:color w:val="auto"/>
                <w:w w:val="95"/>
              </w:rPr>
              <w:t>ordinances, codes, or the common law, including claims arising under the Civil Rights Act of 1964 (42</w:t>
            </w:r>
          </w:p>
        </w:tc>
      </w:tr>
      <w:tr>
        <w:trPr>
          <w:trHeight w:val="224"/>
        </w:trPr>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60" w:type="dxa"/>
            <w:vAlign w:val="bottom"/>
            <w:gridSpan w:val="18"/>
          </w:tcPr>
          <w:p>
            <w:pPr>
              <w:jc w:val="right"/>
              <w:spacing w:after="0" w:line="224" w:lineRule="exact"/>
              <w:rPr>
                <w:sz w:val="20"/>
                <w:szCs w:val="20"/>
                <w:color w:val="auto"/>
              </w:rPr>
            </w:pPr>
            <w:r>
              <w:rPr>
                <w:rFonts w:ascii="Arial" w:cs="Arial" w:eastAsia="Arial" w:hAnsi="Arial"/>
                <w:sz w:val="22"/>
                <w:szCs w:val="22"/>
                <w:color w:val="auto"/>
                <w:w w:val="88"/>
              </w:rPr>
              <w:t>U.S.C. § 2000e et seq., as amended), the Americans with Disabilities Act of 1990 (42 U.S.C. § 12101 et seq.,</w:t>
            </w: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60" w:type="dxa"/>
            <w:vAlign w:val="bottom"/>
            <w:gridSpan w:val="18"/>
          </w:tcPr>
          <w:p>
            <w:pPr>
              <w:jc w:val="right"/>
              <w:spacing w:after="0" w:line="237" w:lineRule="exact"/>
              <w:rPr>
                <w:sz w:val="20"/>
                <w:szCs w:val="20"/>
                <w:color w:val="auto"/>
              </w:rPr>
            </w:pPr>
            <w:r>
              <w:rPr>
                <w:rFonts w:ascii="Arial" w:cs="Arial" w:eastAsia="Arial" w:hAnsi="Arial"/>
                <w:sz w:val="22"/>
                <w:szCs w:val="22"/>
                <w:color w:val="auto"/>
                <w:w w:val="89"/>
              </w:rPr>
              <w:t>as amended), the Family Medical Leave Act of 1993 (29 U.S.C. § 2601, et seq., as amended), the Fair Labor</w:t>
            </w: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60" w:type="dxa"/>
            <w:vAlign w:val="bottom"/>
            <w:gridSpan w:val="18"/>
          </w:tcPr>
          <w:p>
            <w:pPr>
              <w:jc w:val="right"/>
              <w:spacing w:after="0" w:line="237" w:lineRule="exact"/>
              <w:rPr>
                <w:sz w:val="20"/>
                <w:szCs w:val="20"/>
                <w:color w:val="auto"/>
              </w:rPr>
            </w:pPr>
            <w:r>
              <w:rPr>
                <w:rFonts w:ascii="Arial" w:cs="Arial" w:eastAsia="Arial" w:hAnsi="Arial"/>
                <w:sz w:val="22"/>
                <w:szCs w:val="22"/>
                <w:color w:val="auto"/>
                <w:w w:val="89"/>
              </w:rPr>
              <w:t xml:space="preserve">Standards Act of 1938 (29 U.S.C. 201 et seq., as amended), </w:t>
            </w:r>
            <w:r>
              <w:rPr>
                <w:rFonts w:ascii="Arial" w:cs="Arial" w:eastAsia="Arial" w:hAnsi="Arial"/>
                <w:sz w:val="22"/>
                <w:szCs w:val="22"/>
                <w:color w:val="0D0D0D"/>
                <w:w w:val="89"/>
              </w:rPr>
              <w:t>the Lilly Ledbetter Fair Pay Act of 2009 (Pub.L.</w:t>
            </w: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D0D0D"/>
          </w:tcPr>
          <w:p>
            <w:pPr>
              <w:spacing w:after="0" w:line="20" w:lineRule="exact"/>
              <w:rPr>
                <w:sz w:val="1"/>
                <w:szCs w:val="1"/>
                <w:color w:val="auto"/>
              </w:rPr>
            </w:pPr>
          </w:p>
        </w:tc>
        <w:tc>
          <w:tcPr>
            <w:tcW w:w="140" w:type="dxa"/>
            <w:vAlign w:val="bottom"/>
            <w:shd w:val="clear" w:color="auto" w:fill="0D0D0D"/>
          </w:tcPr>
          <w:p>
            <w:pPr>
              <w:spacing w:after="0" w:line="20" w:lineRule="exact"/>
              <w:rPr>
                <w:sz w:val="1"/>
                <w:szCs w:val="1"/>
                <w:color w:val="auto"/>
              </w:rPr>
            </w:pPr>
          </w:p>
        </w:tc>
        <w:tc>
          <w:tcPr>
            <w:tcW w:w="160" w:type="dxa"/>
            <w:vAlign w:val="bottom"/>
            <w:gridSpan w:val="2"/>
            <w:shd w:val="clear" w:color="auto" w:fill="0D0D0D"/>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60" w:type="dxa"/>
            <w:vAlign w:val="bottom"/>
            <w:gridSpan w:val="18"/>
          </w:tcPr>
          <w:p>
            <w:pPr>
              <w:jc w:val="right"/>
              <w:ind w:right="20"/>
              <w:spacing w:after="0" w:line="237" w:lineRule="exact"/>
              <w:rPr>
                <w:sz w:val="20"/>
                <w:szCs w:val="20"/>
                <w:color w:val="auto"/>
              </w:rPr>
            </w:pPr>
            <w:r>
              <w:rPr>
                <w:rFonts w:ascii="Arial" w:cs="Arial" w:eastAsia="Arial" w:hAnsi="Arial"/>
                <w:sz w:val="22"/>
                <w:szCs w:val="22"/>
                <w:color w:val="0D0D0D"/>
                <w:w w:val="89"/>
              </w:rPr>
              <w:t xml:space="preserve">111-2, S. 181), </w:t>
            </w:r>
            <w:r>
              <w:rPr>
                <w:rFonts w:ascii="Arial" w:cs="Arial" w:eastAsia="Arial" w:hAnsi="Arial"/>
                <w:sz w:val="22"/>
                <w:szCs w:val="22"/>
                <w:color w:val="000000"/>
                <w:w w:val="89"/>
              </w:rPr>
              <w:t>the Employee Retirement Income Security Act of 1974 (ERISA) (29 U.S.C. § 1001 et seq., as</w:t>
            </w: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D0D0D"/>
          </w:tcPr>
          <w:p>
            <w:pPr>
              <w:spacing w:after="0" w:line="20" w:lineRule="exact"/>
              <w:rPr>
                <w:sz w:val="1"/>
                <w:szCs w:val="1"/>
                <w:color w:val="auto"/>
              </w:rPr>
            </w:pPr>
          </w:p>
        </w:tc>
        <w:tc>
          <w:tcPr>
            <w:tcW w:w="140" w:type="dxa"/>
            <w:vAlign w:val="bottom"/>
            <w:shd w:val="clear" w:color="auto" w:fill="0D0D0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D0D0D"/>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69"/>
        </w:trPr>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60" w:type="dxa"/>
            <w:vAlign w:val="bottom"/>
            <w:gridSpan w:val="18"/>
          </w:tcPr>
          <w:p>
            <w:pPr>
              <w:jc w:val="right"/>
              <w:ind w:right="20"/>
              <w:spacing w:after="0"/>
              <w:rPr>
                <w:sz w:val="20"/>
                <w:szCs w:val="20"/>
                <w:color w:val="auto"/>
              </w:rPr>
            </w:pPr>
            <w:r>
              <w:rPr>
                <w:rFonts w:ascii="Arial" w:cs="Arial" w:eastAsia="Arial" w:hAnsi="Arial"/>
                <w:sz w:val="22"/>
                <w:szCs w:val="22"/>
                <w:color w:val="auto"/>
                <w:w w:val="97"/>
              </w:rPr>
              <w:t>amended), 42 U.S.C. § 1981, the Age Discrimination in Employment Act of 1967 (as amended), the</w:t>
            </w:r>
          </w:p>
        </w:tc>
      </w:tr>
      <w:tr>
        <w:trPr>
          <w:trHeight w:val="224"/>
        </w:trPr>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60" w:type="dxa"/>
            <w:vAlign w:val="bottom"/>
            <w:gridSpan w:val="18"/>
          </w:tcPr>
          <w:p>
            <w:pPr>
              <w:jc w:val="right"/>
              <w:spacing w:after="0" w:line="224" w:lineRule="exact"/>
              <w:rPr>
                <w:sz w:val="20"/>
                <w:szCs w:val="20"/>
                <w:color w:val="auto"/>
              </w:rPr>
            </w:pPr>
            <w:r>
              <w:rPr>
                <w:rFonts w:ascii="Arial" w:cs="Arial" w:eastAsia="Arial" w:hAnsi="Arial"/>
                <w:sz w:val="22"/>
                <w:szCs w:val="22"/>
                <w:color w:val="auto"/>
                <w:w w:val="93"/>
              </w:rPr>
              <w:t>continuation coverage provisions of the Omnibus Budget Reconciliation Act of 1986 (29 U.S.C. § 623 et</w:t>
            </w: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60" w:type="dxa"/>
            <w:vAlign w:val="bottom"/>
            <w:gridSpan w:val="18"/>
          </w:tcPr>
          <w:p>
            <w:pPr>
              <w:jc w:val="right"/>
              <w:spacing w:after="0" w:line="237" w:lineRule="exact"/>
              <w:rPr>
                <w:sz w:val="20"/>
                <w:szCs w:val="20"/>
                <w:color w:val="auto"/>
              </w:rPr>
            </w:pPr>
            <w:r>
              <w:rPr>
                <w:rFonts w:ascii="Arial" w:cs="Arial" w:eastAsia="Arial" w:hAnsi="Arial"/>
                <w:sz w:val="22"/>
                <w:szCs w:val="22"/>
                <w:color w:val="auto"/>
                <w:w w:val="89"/>
              </w:rPr>
              <w:t>seq., as amended), the Florida Civil Rights Act of 1992 (§ 760.01 et seq., Florida Statutes, as amended), and</w:t>
            </w: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r>
      <w:tr>
        <w:trPr>
          <w:trHeight w:val="269"/>
        </w:trPr>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60" w:type="dxa"/>
            <w:vAlign w:val="bottom"/>
            <w:gridSpan w:val="18"/>
          </w:tcPr>
          <w:p>
            <w:pPr>
              <w:jc w:val="right"/>
              <w:spacing w:after="0"/>
              <w:rPr>
                <w:sz w:val="20"/>
                <w:szCs w:val="20"/>
                <w:color w:val="auto"/>
              </w:rPr>
            </w:pPr>
            <w:r>
              <w:rPr>
                <w:rFonts w:ascii="Arial" w:cs="Arial" w:eastAsia="Arial" w:hAnsi="Arial"/>
                <w:sz w:val="22"/>
                <w:szCs w:val="22"/>
                <w:color w:val="auto"/>
                <w:w w:val="94"/>
              </w:rPr>
              <w:t>all other federal, state, and local laws dealing with discrimination, retaliation, wages, leave, benefits, or</w:t>
            </w:r>
          </w:p>
        </w:tc>
      </w:tr>
      <w:tr>
        <w:trPr>
          <w:trHeight w:val="257"/>
        </w:trPr>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60" w:type="dxa"/>
            <w:vAlign w:val="bottom"/>
            <w:gridSpan w:val="18"/>
          </w:tcPr>
          <w:p>
            <w:pPr>
              <w:jc w:val="right"/>
              <w:spacing w:after="0"/>
              <w:rPr>
                <w:sz w:val="20"/>
                <w:szCs w:val="20"/>
                <w:color w:val="auto"/>
              </w:rPr>
            </w:pPr>
            <w:r>
              <w:rPr>
                <w:rFonts w:ascii="Arial" w:cs="Arial" w:eastAsia="Arial" w:hAnsi="Arial"/>
                <w:sz w:val="22"/>
                <w:szCs w:val="22"/>
                <w:color w:val="auto"/>
                <w:w w:val="92"/>
              </w:rPr>
              <w:t>workplace policies, as well as claims for unpaid wages, unpaid commissions, breach of contract, wrongful</w:t>
            </w:r>
          </w:p>
        </w:tc>
      </w:tr>
      <w:tr>
        <w:trPr>
          <w:trHeight w:val="257"/>
        </w:trPr>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60" w:type="dxa"/>
            <w:vAlign w:val="bottom"/>
            <w:gridSpan w:val="18"/>
          </w:tcPr>
          <w:p>
            <w:pPr>
              <w:jc w:val="right"/>
              <w:spacing w:after="0"/>
              <w:rPr>
                <w:sz w:val="20"/>
                <w:szCs w:val="20"/>
                <w:color w:val="auto"/>
              </w:rPr>
            </w:pPr>
            <w:r>
              <w:rPr>
                <w:rFonts w:ascii="Arial" w:cs="Arial" w:eastAsia="Arial" w:hAnsi="Arial"/>
                <w:sz w:val="22"/>
                <w:szCs w:val="22"/>
                <w:color w:val="auto"/>
                <w:w w:val="96"/>
              </w:rPr>
              <w:t>termination, retaliation, intentional infliction of emotional distress, negligent hiring, invasion of privacy,</w:t>
            </w:r>
          </w:p>
        </w:tc>
      </w:tr>
      <w:tr>
        <w:trPr>
          <w:trHeight w:val="257"/>
        </w:trPr>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60" w:type="dxa"/>
            <w:vAlign w:val="bottom"/>
            <w:gridSpan w:val="18"/>
          </w:tcPr>
          <w:p>
            <w:pPr>
              <w:jc w:val="right"/>
              <w:spacing w:after="0"/>
              <w:rPr>
                <w:sz w:val="20"/>
                <w:szCs w:val="20"/>
                <w:color w:val="auto"/>
              </w:rPr>
            </w:pPr>
            <w:r>
              <w:rPr>
                <w:rFonts w:ascii="Arial" w:cs="Arial" w:eastAsia="Arial" w:hAnsi="Arial"/>
                <w:sz w:val="22"/>
                <w:szCs w:val="22"/>
                <w:color w:val="auto"/>
                <w:w w:val="98"/>
              </w:rPr>
              <w:t>defamation, slander, assault, battery, or any other tort arising out of or connected in any way to the</w:t>
            </w:r>
          </w:p>
        </w:tc>
      </w:tr>
      <w:tr>
        <w:trPr>
          <w:trHeight w:val="257"/>
        </w:trPr>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60" w:type="dxa"/>
            <w:vAlign w:val="bottom"/>
            <w:gridSpan w:val="18"/>
          </w:tcPr>
          <w:p>
            <w:pPr>
              <w:jc w:val="right"/>
              <w:ind w:right="20"/>
              <w:spacing w:after="0"/>
              <w:rPr>
                <w:sz w:val="20"/>
                <w:szCs w:val="20"/>
                <w:color w:val="auto"/>
              </w:rPr>
            </w:pPr>
            <w:r>
              <w:rPr>
                <w:rFonts w:ascii="Arial" w:cs="Arial" w:eastAsia="Arial" w:hAnsi="Arial"/>
                <w:sz w:val="22"/>
                <w:szCs w:val="22"/>
                <w:color w:val="auto"/>
                <w:w w:val="92"/>
              </w:rPr>
              <w:t>employment relationship. The term “Claims” shall include injuries or damage of any nature, regardless of</w:t>
            </w:r>
          </w:p>
        </w:tc>
      </w:tr>
      <w:tr>
        <w:trPr>
          <w:trHeight w:val="257"/>
        </w:trPr>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60" w:type="dxa"/>
            <w:vAlign w:val="bottom"/>
            <w:gridSpan w:val="18"/>
          </w:tcPr>
          <w:p>
            <w:pPr>
              <w:jc w:val="right"/>
              <w:ind w:right="20"/>
              <w:spacing w:after="0"/>
              <w:rPr>
                <w:sz w:val="20"/>
                <w:szCs w:val="20"/>
                <w:color w:val="auto"/>
              </w:rPr>
            </w:pPr>
            <w:r>
              <w:rPr>
                <w:rFonts w:ascii="Arial" w:cs="Arial" w:eastAsia="Arial" w:hAnsi="Arial"/>
                <w:sz w:val="22"/>
                <w:szCs w:val="22"/>
                <w:color w:val="auto"/>
                <w:w w:val="91"/>
              </w:rPr>
              <w:t>whether such injuries or damage arise from accident, illness, occupational disease, negligence, intentional</w:t>
            </w:r>
          </w:p>
        </w:tc>
      </w:tr>
      <w:tr>
        <w:trPr>
          <w:trHeight w:val="257"/>
        </w:trPr>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60" w:type="dxa"/>
            <w:vAlign w:val="bottom"/>
            <w:gridSpan w:val="18"/>
          </w:tcPr>
          <w:p>
            <w:pPr>
              <w:jc w:val="right"/>
              <w:spacing w:after="0"/>
              <w:rPr>
                <w:sz w:val="20"/>
                <w:szCs w:val="20"/>
                <w:color w:val="auto"/>
              </w:rPr>
            </w:pPr>
            <w:r>
              <w:rPr>
                <w:rFonts w:ascii="Arial" w:cs="Arial" w:eastAsia="Arial" w:hAnsi="Arial"/>
                <w:sz w:val="22"/>
                <w:szCs w:val="22"/>
                <w:color w:val="auto"/>
                <w:w w:val="98"/>
              </w:rPr>
              <w:t>act, or some other origin. The term “Claims” specifically includes third-party claims for indemnity or</w:t>
            </w:r>
          </w:p>
        </w:tc>
      </w:tr>
      <w:tr>
        <w:trPr>
          <w:trHeight w:val="257"/>
        </w:trPr>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60" w:type="dxa"/>
            <w:vAlign w:val="bottom"/>
            <w:gridSpan w:val="18"/>
          </w:tcPr>
          <w:p>
            <w:pPr>
              <w:jc w:val="right"/>
              <w:ind w:right="20"/>
              <w:spacing w:after="0"/>
              <w:rPr>
                <w:sz w:val="20"/>
                <w:szCs w:val="20"/>
                <w:color w:val="auto"/>
              </w:rPr>
            </w:pPr>
            <w:r>
              <w:rPr>
                <w:rFonts w:ascii="Arial" w:cs="Arial" w:eastAsia="Arial" w:hAnsi="Arial"/>
                <w:sz w:val="22"/>
                <w:szCs w:val="22"/>
                <w:color w:val="auto"/>
                <w:w w:val="90"/>
              </w:rPr>
              <w:t>contribution against Employer or its Releasees. The term “Claims” shall be construed to include any and all</w:t>
            </w:r>
          </w:p>
        </w:tc>
      </w:tr>
      <w:tr>
        <w:trPr>
          <w:trHeight w:val="257"/>
        </w:trPr>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60" w:type="dxa"/>
            <w:vAlign w:val="bottom"/>
            <w:gridSpan w:val="18"/>
          </w:tcPr>
          <w:p>
            <w:pPr>
              <w:jc w:val="right"/>
              <w:spacing w:after="0"/>
              <w:rPr>
                <w:sz w:val="20"/>
                <w:szCs w:val="20"/>
                <w:color w:val="auto"/>
              </w:rPr>
            </w:pPr>
            <w:r>
              <w:rPr>
                <w:rFonts w:ascii="Arial" w:cs="Arial" w:eastAsia="Arial" w:hAnsi="Arial"/>
                <w:sz w:val="22"/>
                <w:szCs w:val="22"/>
                <w:color w:val="auto"/>
                <w:w w:val="90"/>
              </w:rPr>
              <w:t>Claims meeting the definitions in this subparagraph without regard to whether those Claims are asserted or</w:t>
            </w:r>
          </w:p>
        </w:tc>
      </w:tr>
      <w:tr>
        <w:trPr>
          <w:trHeight w:val="275"/>
        </w:trPr>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60" w:type="dxa"/>
            <w:vAlign w:val="bottom"/>
            <w:gridSpan w:val="18"/>
          </w:tcPr>
          <w:p>
            <w:pPr>
              <w:jc w:val="right"/>
              <w:ind w:right="1320"/>
              <w:spacing w:after="0"/>
              <w:rPr>
                <w:sz w:val="20"/>
                <w:szCs w:val="20"/>
                <w:color w:val="auto"/>
              </w:rPr>
            </w:pPr>
            <w:r>
              <w:rPr>
                <w:rFonts w:ascii="Arial" w:cs="Arial" w:eastAsia="Arial" w:hAnsi="Arial"/>
                <w:sz w:val="22"/>
                <w:szCs w:val="22"/>
                <w:color w:val="auto"/>
                <w:w w:val="90"/>
              </w:rPr>
              <w:t>unasserted, known or unknown, ripe or unripe, direct or indirect, conditional or unconditional.</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c.)</w:t>
            </w:r>
          </w:p>
        </w:tc>
        <w:tc>
          <w:tcPr>
            <w:tcW w:w="10320" w:type="dxa"/>
            <w:vAlign w:val="bottom"/>
            <w:gridSpan w:val="19"/>
          </w:tcPr>
          <w:p>
            <w:pPr>
              <w:jc w:val="right"/>
              <w:spacing w:after="0"/>
              <w:rPr>
                <w:sz w:val="20"/>
                <w:szCs w:val="20"/>
                <w:color w:val="auto"/>
              </w:rPr>
            </w:pPr>
            <w:r>
              <w:rPr>
                <w:rFonts w:ascii="Arial" w:cs="Arial" w:eastAsia="Arial" w:hAnsi="Arial"/>
                <w:sz w:val="22"/>
                <w:szCs w:val="22"/>
                <w:color w:val="auto"/>
                <w:w w:val="97"/>
              </w:rPr>
              <w:t>Employee was granted the option to purchase 250,000 shares of the common stock of Bloomin’ Brands, Inc.</w:t>
            </w:r>
          </w:p>
        </w:tc>
      </w:tr>
      <w:tr>
        <w:trPr>
          <w:trHeight w:val="257"/>
        </w:trPr>
        <w:tc>
          <w:tcPr>
            <w:tcW w:w="440" w:type="dxa"/>
            <w:vAlign w:val="bottom"/>
          </w:tcPr>
          <w:p>
            <w:pPr>
              <w:spacing w:after="0"/>
              <w:rPr>
                <w:sz w:val="22"/>
                <w:szCs w:val="22"/>
                <w:color w:val="auto"/>
              </w:rPr>
            </w:pPr>
          </w:p>
        </w:tc>
        <w:tc>
          <w:tcPr>
            <w:tcW w:w="10320" w:type="dxa"/>
            <w:vAlign w:val="bottom"/>
            <w:gridSpan w:val="19"/>
          </w:tcPr>
          <w:p>
            <w:pPr>
              <w:jc w:val="right"/>
              <w:spacing w:after="0"/>
              <w:rPr>
                <w:sz w:val="20"/>
                <w:szCs w:val="20"/>
                <w:color w:val="auto"/>
              </w:rPr>
            </w:pPr>
            <w:r>
              <w:rPr>
                <w:rFonts w:ascii="Arial" w:cs="Arial" w:eastAsia="Arial" w:hAnsi="Arial"/>
                <w:sz w:val="22"/>
                <w:szCs w:val="22"/>
                <w:color w:val="auto"/>
                <w:w w:val="95"/>
              </w:rPr>
              <w:t>(formerly Kangaroo Holdings, Inc.) (the "2014 Options") pursuant to that certain Option Agreement with a grant</w:t>
            </w:r>
          </w:p>
        </w:tc>
      </w:tr>
      <w:tr>
        <w:trPr>
          <w:trHeight w:val="257"/>
        </w:trPr>
        <w:tc>
          <w:tcPr>
            <w:tcW w:w="440" w:type="dxa"/>
            <w:vAlign w:val="bottom"/>
          </w:tcPr>
          <w:p>
            <w:pPr>
              <w:spacing w:after="0"/>
              <w:rPr>
                <w:sz w:val="22"/>
                <w:szCs w:val="22"/>
                <w:color w:val="auto"/>
              </w:rPr>
            </w:pPr>
          </w:p>
        </w:tc>
        <w:tc>
          <w:tcPr>
            <w:tcW w:w="10320" w:type="dxa"/>
            <w:vAlign w:val="bottom"/>
            <w:gridSpan w:val="19"/>
          </w:tcPr>
          <w:p>
            <w:pPr>
              <w:jc w:val="right"/>
              <w:ind w:right="20"/>
              <w:spacing w:after="0"/>
              <w:rPr>
                <w:sz w:val="20"/>
                <w:szCs w:val="20"/>
                <w:color w:val="auto"/>
              </w:rPr>
            </w:pPr>
            <w:r>
              <w:rPr>
                <w:rFonts w:ascii="Arial" w:cs="Arial" w:eastAsia="Arial" w:hAnsi="Arial"/>
                <w:sz w:val="22"/>
                <w:szCs w:val="22"/>
                <w:color w:val="auto"/>
                <w:w w:val="97"/>
              </w:rPr>
              <w:t>date of October 1, 2014 (the "2014 Option Agreement”). Employee agrees 187,000 of the 2014 Options were</w:t>
            </w:r>
          </w:p>
        </w:tc>
      </w:tr>
      <w:tr>
        <w:trPr>
          <w:trHeight w:val="257"/>
        </w:trPr>
        <w:tc>
          <w:tcPr>
            <w:tcW w:w="440" w:type="dxa"/>
            <w:vAlign w:val="bottom"/>
          </w:tcPr>
          <w:p>
            <w:pPr>
              <w:spacing w:after="0"/>
              <w:rPr>
                <w:sz w:val="22"/>
                <w:szCs w:val="22"/>
                <w:color w:val="auto"/>
              </w:rPr>
            </w:pPr>
          </w:p>
        </w:tc>
        <w:tc>
          <w:tcPr>
            <w:tcW w:w="10320" w:type="dxa"/>
            <w:vAlign w:val="bottom"/>
            <w:gridSpan w:val="19"/>
          </w:tcPr>
          <w:p>
            <w:pPr>
              <w:jc w:val="right"/>
              <w:spacing w:after="0"/>
              <w:rPr>
                <w:sz w:val="20"/>
                <w:szCs w:val="20"/>
                <w:color w:val="auto"/>
              </w:rPr>
            </w:pPr>
            <w:r>
              <w:rPr>
                <w:rFonts w:ascii="Arial" w:cs="Arial" w:eastAsia="Arial" w:hAnsi="Arial"/>
                <w:sz w:val="22"/>
                <w:szCs w:val="22"/>
                <w:color w:val="auto"/>
                <w:w w:val="92"/>
              </w:rPr>
              <w:t>previously vested and exercised. The remaining 62,500 of the 2014 Options are vested and unexercised and shall</w:t>
            </w:r>
          </w:p>
        </w:tc>
      </w:tr>
      <w:tr>
        <w:trPr>
          <w:trHeight w:val="257"/>
        </w:trPr>
        <w:tc>
          <w:tcPr>
            <w:tcW w:w="440" w:type="dxa"/>
            <w:vAlign w:val="bottom"/>
          </w:tcPr>
          <w:p>
            <w:pPr>
              <w:spacing w:after="0"/>
              <w:rPr>
                <w:sz w:val="22"/>
                <w:szCs w:val="22"/>
                <w:color w:val="auto"/>
              </w:rPr>
            </w:pPr>
          </w:p>
        </w:tc>
        <w:tc>
          <w:tcPr>
            <w:tcW w:w="10320" w:type="dxa"/>
            <w:vAlign w:val="bottom"/>
            <w:gridSpan w:val="19"/>
          </w:tcPr>
          <w:p>
            <w:pPr>
              <w:jc w:val="right"/>
              <w:spacing w:after="0"/>
              <w:rPr>
                <w:sz w:val="20"/>
                <w:szCs w:val="20"/>
                <w:color w:val="auto"/>
              </w:rPr>
            </w:pPr>
            <w:r>
              <w:rPr>
                <w:rFonts w:ascii="Arial" w:cs="Arial" w:eastAsia="Arial" w:hAnsi="Arial"/>
                <w:sz w:val="22"/>
                <w:szCs w:val="22"/>
                <w:color w:val="auto"/>
                <w:w w:val="94"/>
              </w:rPr>
              <w:t>remain vested and exercisable for 365 calendar days following the Separation Date. Employee agrees that as of</w:t>
            </w:r>
          </w:p>
        </w:tc>
      </w:tr>
      <w:tr>
        <w:trPr>
          <w:trHeight w:val="257"/>
        </w:trPr>
        <w:tc>
          <w:tcPr>
            <w:tcW w:w="440" w:type="dxa"/>
            <w:vAlign w:val="bottom"/>
          </w:tcPr>
          <w:p>
            <w:pPr>
              <w:spacing w:after="0"/>
              <w:rPr>
                <w:sz w:val="22"/>
                <w:szCs w:val="22"/>
                <w:color w:val="auto"/>
              </w:rPr>
            </w:pPr>
          </w:p>
        </w:tc>
        <w:tc>
          <w:tcPr>
            <w:tcW w:w="10320" w:type="dxa"/>
            <w:vAlign w:val="bottom"/>
            <w:gridSpan w:val="19"/>
          </w:tcPr>
          <w:p>
            <w:pPr>
              <w:jc w:val="right"/>
              <w:ind w:right="20"/>
              <w:spacing w:after="0"/>
              <w:rPr>
                <w:sz w:val="20"/>
                <w:szCs w:val="20"/>
                <w:color w:val="auto"/>
              </w:rPr>
            </w:pPr>
            <w:r>
              <w:rPr>
                <w:rFonts w:ascii="Arial" w:cs="Arial" w:eastAsia="Arial" w:hAnsi="Arial"/>
                <w:sz w:val="22"/>
                <w:szCs w:val="22"/>
                <w:color w:val="auto"/>
                <w:w w:val="94"/>
              </w:rPr>
              <w:t>12:01 a.m. (Tampa time) on the 365th calendar day immediately following the Separation Date, the 2014 Option</w:t>
            </w:r>
          </w:p>
        </w:tc>
      </w:tr>
      <w:tr>
        <w:trPr>
          <w:trHeight w:val="275"/>
        </w:trPr>
        <w:tc>
          <w:tcPr>
            <w:tcW w:w="440" w:type="dxa"/>
            <w:vAlign w:val="bottom"/>
          </w:tcPr>
          <w:p>
            <w:pPr>
              <w:spacing w:after="0"/>
              <w:rPr>
                <w:sz w:val="23"/>
                <w:szCs w:val="23"/>
                <w:color w:val="auto"/>
              </w:rPr>
            </w:pPr>
          </w:p>
        </w:tc>
        <w:tc>
          <w:tcPr>
            <w:tcW w:w="10320" w:type="dxa"/>
            <w:vAlign w:val="bottom"/>
            <w:gridSpan w:val="19"/>
          </w:tcPr>
          <w:p>
            <w:pPr>
              <w:ind w:left="200"/>
              <w:spacing w:after="0"/>
              <w:rPr>
                <w:sz w:val="20"/>
                <w:szCs w:val="20"/>
                <w:color w:val="auto"/>
              </w:rPr>
            </w:pPr>
            <w:r>
              <w:rPr>
                <w:rFonts w:ascii="Arial" w:cs="Arial" w:eastAsia="Arial" w:hAnsi="Arial"/>
                <w:sz w:val="22"/>
                <w:szCs w:val="22"/>
                <w:color w:val="auto"/>
              </w:rPr>
              <w:t>Agreement is hereby cancelled, terminated and deemed null and void ab initio.</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d.)</w:t>
            </w:r>
          </w:p>
        </w:tc>
        <w:tc>
          <w:tcPr>
            <w:tcW w:w="10320" w:type="dxa"/>
            <w:vAlign w:val="bottom"/>
            <w:gridSpan w:val="19"/>
          </w:tcPr>
          <w:p>
            <w:pPr>
              <w:jc w:val="right"/>
              <w:spacing w:after="0"/>
              <w:rPr>
                <w:sz w:val="20"/>
                <w:szCs w:val="20"/>
                <w:color w:val="auto"/>
              </w:rPr>
            </w:pPr>
            <w:r>
              <w:rPr>
                <w:rFonts w:ascii="Arial" w:cs="Arial" w:eastAsia="Arial" w:hAnsi="Arial"/>
                <w:sz w:val="22"/>
                <w:szCs w:val="22"/>
                <w:color w:val="auto"/>
                <w:w w:val="98"/>
              </w:rPr>
              <w:t>Employee was granted the option to purchase 26,471 shares of the common stock of Bloomin’ Brands, Inc.</w:t>
            </w:r>
          </w:p>
        </w:tc>
      </w:tr>
      <w:tr>
        <w:trPr>
          <w:trHeight w:val="257"/>
        </w:trPr>
        <w:tc>
          <w:tcPr>
            <w:tcW w:w="440" w:type="dxa"/>
            <w:vAlign w:val="bottom"/>
          </w:tcPr>
          <w:p>
            <w:pPr>
              <w:spacing w:after="0"/>
              <w:rPr>
                <w:sz w:val="22"/>
                <w:szCs w:val="22"/>
                <w:color w:val="auto"/>
              </w:rPr>
            </w:pPr>
          </w:p>
        </w:tc>
        <w:tc>
          <w:tcPr>
            <w:tcW w:w="10320" w:type="dxa"/>
            <w:vAlign w:val="bottom"/>
            <w:gridSpan w:val="19"/>
          </w:tcPr>
          <w:p>
            <w:pPr>
              <w:jc w:val="right"/>
              <w:spacing w:after="0"/>
              <w:rPr>
                <w:sz w:val="20"/>
                <w:szCs w:val="20"/>
                <w:color w:val="auto"/>
              </w:rPr>
            </w:pPr>
            <w:r>
              <w:rPr>
                <w:rFonts w:ascii="Arial" w:cs="Arial" w:eastAsia="Arial" w:hAnsi="Arial"/>
                <w:sz w:val="22"/>
                <w:szCs w:val="22"/>
                <w:color w:val="auto"/>
                <w:w w:val="95"/>
              </w:rPr>
              <w:t>(formerly Kangaroo Holdings, Inc.) (the "2015 Options") pursuant to that certain Option Agreement with a grant</w:t>
            </w:r>
          </w:p>
        </w:tc>
      </w:tr>
      <w:tr>
        <w:trPr>
          <w:trHeight w:val="257"/>
        </w:trPr>
        <w:tc>
          <w:tcPr>
            <w:tcW w:w="440" w:type="dxa"/>
            <w:vAlign w:val="bottom"/>
          </w:tcPr>
          <w:p>
            <w:pPr>
              <w:spacing w:after="0"/>
              <w:rPr>
                <w:sz w:val="22"/>
                <w:szCs w:val="22"/>
                <w:color w:val="auto"/>
              </w:rPr>
            </w:pPr>
          </w:p>
        </w:tc>
        <w:tc>
          <w:tcPr>
            <w:tcW w:w="10320" w:type="dxa"/>
            <w:vAlign w:val="bottom"/>
            <w:gridSpan w:val="19"/>
          </w:tcPr>
          <w:p>
            <w:pPr>
              <w:jc w:val="right"/>
              <w:spacing w:after="0"/>
              <w:rPr>
                <w:sz w:val="20"/>
                <w:szCs w:val="20"/>
                <w:color w:val="auto"/>
              </w:rPr>
            </w:pPr>
            <w:r>
              <w:rPr>
                <w:rFonts w:ascii="Arial" w:cs="Arial" w:eastAsia="Arial" w:hAnsi="Arial"/>
                <w:sz w:val="22"/>
                <w:szCs w:val="22"/>
                <w:color w:val="auto"/>
                <w:w w:val="92"/>
              </w:rPr>
              <w:t>date of February 26, 2015 (the "2015 Option Agreement”). Employee agrees all 26,471 shares of the 2015 Options</w:t>
            </w:r>
          </w:p>
        </w:tc>
      </w:tr>
      <w:tr>
        <w:trPr>
          <w:trHeight w:val="257"/>
        </w:trPr>
        <w:tc>
          <w:tcPr>
            <w:tcW w:w="440" w:type="dxa"/>
            <w:vAlign w:val="bottom"/>
          </w:tcPr>
          <w:p>
            <w:pPr>
              <w:spacing w:after="0"/>
              <w:rPr>
                <w:sz w:val="22"/>
                <w:szCs w:val="22"/>
                <w:color w:val="auto"/>
              </w:rPr>
            </w:pPr>
          </w:p>
        </w:tc>
        <w:tc>
          <w:tcPr>
            <w:tcW w:w="10320" w:type="dxa"/>
            <w:vAlign w:val="bottom"/>
            <w:gridSpan w:val="19"/>
          </w:tcPr>
          <w:p>
            <w:pPr>
              <w:jc w:val="right"/>
              <w:spacing w:after="0"/>
              <w:rPr>
                <w:sz w:val="20"/>
                <w:szCs w:val="20"/>
                <w:color w:val="auto"/>
              </w:rPr>
            </w:pPr>
            <w:r>
              <w:rPr>
                <w:rFonts w:ascii="Arial" w:cs="Arial" w:eastAsia="Arial" w:hAnsi="Arial"/>
                <w:sz w:val="22"/>
                <w:szCs w:val="22"/>
                <w:color w:val="auto"/>
                <w:w w:val="91"/>
              </w:rPr>
              <w:t>are vested and unexercised and shall remain vested and exercisable for 365 calendar days following the Separation</w:t>
            </w:r>
          </w:p>
        </w:tc>
      </w:tr>
      <w:tr>
        <w:trPr>
          <w:trHeight w:val="257"/>
        </w:trPr>
        <w:tc>
          <w:tcPr>
            <w:tcW w:w="440" w:type="dxa"/>
            <w:vAlign w:val="bottom"/>
          </w:tcPr>
          <w:p>
            <w:pPr>
              <w:spacing w:after="0"/>
              <w:rPr>
                <w:sz w:val="22"/>
                <w:szCs w:val="22"/>
                <w:color w:val="auto"/>
              </w:rPr>
            </w:pPr>
          </w:p>
        </w:tc>
        <w:tc>
          <w:tcPr>
            <w:tcW w:w="10320" w:type="dxa"/>
            <w:vAlign w:val="bottom"/>
            <w:gridSpan w:val="19"/>
          </w:tcPr>
          <w:p>
            <w:pPr>
              <w:jc w:val="right"/>
              <w:spacing w:after="0"/>
              <w:rPr>
                <w:sz w:val="20"/>
                <w:szCs w:val="20"/>
                <w:color w:val="auto"/>
              </w:rPr>
            </w:pPr>
            <w:r>
              <w:rPr>
                <w:rFonts w:ascii="Arial" w:cs="Arial" w:eastAsia="Arial" w:hAnsi="Arial"/>
                <w:sz w:val="22"/>
                <w:szCs w:val="22"/>
                <w:color w:val="auto"/>
                <w:w w:val="94"/>
              </w:rPr>
              <w:t>Date. Employee agrees that as of 12:01 a.m. (Tampa time) on the 365th calendar day immediately following the</w:t>
            </w:r>
          </w:p>
        </w:tc>
      </w:tr>
      <w:tr>
        <w:trPr>
          <w:trHeight w:val="275"/>
        </w:trPr>
        <w:tc>
          <w:tcPr>
            <w:tcW w:w="440" w:type="dxa"/>
            <w:vAlign w:val="bottom"/>
          </w:tcPr>
          <w:p>
            <w:pPr>
              <w:spacing w:after="0"/>
              <w:rPr>
                <w:sz w:val="23"/>
                <w:szCs w:val="23"/>
                <w:color w:val="auto"/>
              </w:rPr>
            </w:pPr>
          </w:p>
        </w:tc>
        <w:tc>
          <w:tcPr>
            <w:tcW w:w="10320" w:type="dxa"/>
            <w:vAlign w:val="bottom"/>
            <w:gridSpan w:val="19"/>
          </w:tcPr>
          <w:p>
            <w:pPr>
              <w:ind w:left="200"/>
              <w:spacing w:after="0"/>
              <w:rPr>
                <w:sz w:val="20"/>
                <w:szCs w:val="20"/>
                <w:color w:val="auto"/>
              </w:rPr>
            </w:pPr>
            <w:r>
              <w:rPr>
                <w:rFonts w:ascii="Arial" w:cs="Arial" w:eastAsia="Arial" w:hAnsi="Arial"/>
                <w:sz w:val="22"/>
                <w:szCs w:val="22"/>
                <w:color w:val="auto"/>
              </w:rPr>
              <w:t>Separation</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60"/>
        <w:spacing w:after="0"/>
        <w:tabs>
          <w:tab w:leader="none" w:pos="7940" w:val="left"/>
        </w:tabs>
        <w:rPr>
          <w:sz w:val="20"/>
          <w:szCs w:val="20"/>
          <w:color w:val="auto"/>
        </w:rPr>
      </w:pPr>
      <w:r>
        <w:rPr>
          <w:rFonts w:ascii="Arial" w:cs="Arial" w:eastAsia="Arial" w:hAnsi="Arial"/>
          <w:sz w:val="18"/>
          <w:szCs w:val="18"/>
          <w:color w:val="auto"/>
        </w:rPr>
        <w:t>Page 2 of 10</w:t>
      </w:r>
      <w:r>
        <w:rPr>
          <w:sz w:val="20"/>
          <w:szCs w:val="20"/>
          <w:color w:val="auto"/>
        </w:rPr>
        <w:tab/>
      </w:r>
      <w:r>
        <w:rPr>
          <w:rFonts w:ascii="Arial" w:cs="Arial" w:eastAsia="Arial" w:hAnsi="Arial"/>
          <w:sz w:val="16"/>
          <w:szCs w:val="16"/>
          <w:color w:val="auto"/>
        </w:rPr>
        <w:t xml:space="preserve">Employee Initials: </w:t>
      </w:r>
      <w:r>
        <w:rPr>
          <w:rFonts w:ascii="Arial" w:cs="Arial" w:eastAsia="Arial" w:hAnsi="Arial"/>
          <w:sz w:val="16"/>
          <w:szCs w:val="16"/>
          <w:b w:val="1"/>
          <w:bCs w:val="1"/>
          <w:u w:val="single" w:color="auto"/>
          <w:color w:val="auto"/>
        </w:rPr>
        <w:t>/s/ DH</w:t>
      </w:r>
    </w:p>
    <w:p>
      <w:pPr>
        <w:sectPr>
          <w:pgSz w:w="11900" w:h="16838" w:orient="portrait"/>
          <w:cols w:equalWidth="0" w:num="1">
            <w:col w:w="10760"/>
          </w:cols>
          <w:pgMar w:left="900" w:top="348" w:right="239" w:bottom="1440" w:gutter="0" w:footer="0" w:header="0"/>
        </w:sectPr>
      </w:pPr>
    </w:p>
    <w:bookmarkStart w:id="113" w:name="page114"/>
    <w:bookmarkEnd w:id="113"/>
    <w:p>
      <w:pPr>
        <w:ind w:left="640"/>
        <w:spacing w:after="0"/>
        <w:rPr>
          <w:sz w:val="20"/>
          <w:szCs w:val="20"/>
          <w:color w:val="auto"/>
        </w:rPr>
      </w:pPr>
      <w:r>
        <w:rPr>
          <w:rFonts w:ascii="Arial" w:cs="Arial" w:eastAsia="Arial" w:hAnsi="Arial"/>
          <w:sz w:val="19"/>
          <w:szCs w:val="19"/>
          <w:color w:val="auto"/>
        </w:rPr>
        <w:t>Date, the 2015 Option Agreement is hereby cancelled, terminated and deemed null and void ab initio.</w:t>
      </w:r>
    </w:p>
    <w:p>
      <w:pPr>
        <w:sectPr>
          <w:pgSz w:w="11900" w:h="16838" w:orient="portrait"/>
          <w:cols w:equalWidth="0" w:num="1">
            <w:col w:w="10760"/>
          </w:cols>
          <w:pgMar w:left="900" w:top="348" w:right="2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Employee was granted the option to purchase 31,335 shares of the common stock of Bloomin’ Brands, Inc. (formerly Kangaroo Holdings, Inc.) (the "2016 Options") pursuant to that certain Option Agreement with a grant date of February 25, 2016 (the "2016 Option Agreement”). Employee agrees 15,667 shares of the 2016 Options were previously vested and exercised. Employees agrees 7,834 shares of the 2016 Options are vested and unexercised and shall remain vested and exercisable for 365 calendar days following the Separation Date. Employee agrees the remaining 7,834 shares of the 2016 Options are unvested and hereby forfeited, cancelled, terminated and deemed null and void ab initio. Employee agrees that as of 12:01 a.m. (Tampa time) on the 365th calendar day immediately following the Separation Date, the 2016 Option Agreement is hereby cancelled, terminated and deemed null and void ab initio.</w:t>
      </w:r>
    </w:p>
    <w:p>
      <w:pPr>
        <w:spacing w:after="0" w:line="200" w:lineRule="exact"/>
        <w:rPr>
          <w:sz w:val="20"/>
          <w:szCs w:val="20"/>
          <w:color w:val="auto"/>
        </w:rPr>
      </w:pPr>
    </w:p>
    <w:p>
      <w:pPr>
        <w:sectPr>
          <w:pgSz w:w="11900" w:h="16838" w:orient="portrait"/>
          <w:cols w:equalWidth="0" w:num="2">
            <w:col w:w="220" w:space="420"/>
            <w:col w:w="10120"/>
          </w:cols>
          <w:pgMar w:left="900" w:top="348"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Employee was granted the option to purchase 32,080 shares of the common stock of Bloomin’ Brands, Inc. (formerly Kangaroo Holdings, Inc.) (the "2017 Options") pursuant to that certain Option Agreement with a grant date of February 24, 2017 (the "2017 Option Agreement”). Employee agrees 8,020 shares of the 2017 Options were previously vested and exercised. Employee agrees 8,020 shares of the 2017 Options are vested and unexercised and shall remain vested and exercisable for 365 calendar days following the Separation Date. Employee agrees the remaining 16,040 shares of the 2017 Options are unvested and hereby forfeited, cancelled, terminated and deemed null and void ab initio. Employee agrees that as of 12:01 a.m. (Tampa time) on the 365th calendar day immediately following the Separation Date, the 2017 Option Agreement is hereby cancelled, terminated and deemed null and void ab initio.</w:t>
      </w:r>
    </w:p>
    <w:p>
      <w:pPr>
        <w:spacing w:after="0" w:line="200" w:lineRule="exact"/>
        <w:rPr>
          <w:sz w:val="20"/>
          <w:szCs w:val="20"/>
          <w:color w:val="auto"/>
        </w:rPr>
      </w:pPr>
    </w:p>
    <w:p>
      <w:pPr>
        <w:sectPr>
          <w:pgSz w:w="11900" w:h="16838" w:orient="portrait"/>
          <w:cols w:equalWidth="0" w:num="2">
            <w:col w:w="200" w:space="440"/>
            <w:col w:w="10120"/>
          </w:cols>
          <w:pgMar w:left="900" w:top="348"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Employee was granted the option to purchase 22,284 shares of the common stock of Bloomin’ Brands, Inc. (formerly Kangaroo Holdings, Inc.) (the "2018 Options") pursuant to that certain Option Agreement with a grant date of February 23, 2018 (the "2018 Option Agreement”). Employee agrees 5,571 shares of the 2018 Options are vested and unexercised and shall remain vested and exercisable for 365 calendar days following the Separation Date. Employee agrees the remaining 16,713 shares of the 2018 Options are unvested and hereby forfeited, cancelled, terminated and deemed null and void ab initio. Employee agrees that as of 12:01 a.m. (Tampa time) on the 365th calendar day immediately following the Separation Date, the 2018 Option Agreement is hereby cancelled, terminated and deemed null and void ab initio.</w:t>
      </w:r>
    </w:p>
    <w:p>
      <w:pPr>
        <w:spacing w:after="0" w:line="200" w:lineRule="exact"/>
        <w:rPr>
          <w:sz w:val="20"/>
          <w:szCs w:val="20"/>
          <w:color w:val="auto"/>
        </w:rPr>
      </w:pPr>
    </w:p>
    <w:p>
      <w:pPr>
        <w:sectPr>
          <w:pgSz w:w="11900" w:h="16838" w:orient="portrait"/>
          <w:cols w:equalWidth="0" w:num="2">
            <w:col w:w="240" w:space="400"/>
            <w:col w:w="10120"/>
          </w:cols>
          <w:pgMar w:left="900" w:top="34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Employee was granted the option to purchase 27,883 shares of the common stock of Bloomin’ Brands, Inc. (formerly Kangaroo Holdings, Inc.) (the "2019 Options") pursuant to that certain Option Agreement with a grant date of February 19, 2019 (the "2019 Option Agreement”). Employee agrees none of the 2019 Options are vested and all are hereby forfeited, cancelled, terminated and deemed null and void</w:t>
      </w:r>
    </w:p>
    <w:p>
      <w:pPr>
        <w:spacing w:after="0" w:line="200" w:lineRule="exact"/>
        <w:rPr>
          <w:sz w:val="20"/>
          <w:szCs w:val="20"/>
          <w:color w:val="auto"/>
        </w:rPr>
      </w:pPr>
    </w:p>
    <w:p>
      <w:pPr>
        <w:sectPr>
          <w:pgSz w:w="11900" w:h="16838" w:orient="portrait"/>
          <w:cols w:equalWidth="0" w:num="2">
            <w:col w:w="240" w:space="400"/>
            <w:col w:w="10120"/>
          </w:cols>
          <w:pgMar w:left="900" w:top="348" w:right="23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ind w:left="4660"/>
        <w:spacing w:after="0"/>
        <w:tabs>
          <w:tab w:leader="none" w:pos="7940" w:val="left"/>
        </w:tabs>
        <w:rPr>
          <w:sz w:val="20"/>
          <w:szCs w:val="20"/>
          <w:color w:val="auto"/>
        </w:rPr>
      </w:pPr>
      <w:r>
        <w:rPr>
          <w:rFonts w:ascii="Arial" w:cs="Arial" w:eastAsia="Arial" w:hAnsi="Arial"/>
          <w:sz w:val="18"/>
          <w:szCs w:val="18"/>
          <w:color w:val="auto"/>
        </w:rPr>
        <w:t>Page 3 of 10</w:t>
      </w:r>
      <w:r>
        <w:rPr>
          <w:sz w:val="20"/>
          <w:szCs w:val="20"/>
          <w:color w:val="auto"/>
        </w:rPr>
        <w:tab/>
      </w:r>
      <w:r>
        <w:rPr>
          <w:rFonts w:ascii="Arial" w:cs="Arial" w:eastAsia="Arial" w:hAnsi="Arial"/>
          <w:sz w:val="16"/>
          <w:szCs w:val="16"/>
          <w:color w:val="auto"/>
        </w:rPr>
        <w:t xml:space="preserve">Employee Initials: </w:t>
      </w:r>
      <w:r>
        <w:rPr>
          <w:rFonts w:ascii="Arial" w:cs="Arial" w:eastAsia="Arial" w:hAnsi="Arial"/>
          <w:sz w:val="16"/>
          <w:szCs w:val="16"/>
          <w:b w:val="1"/>
          <w:bCs w:val="1"/>
          <w:u w:val="single" w:color="auto"/>
          <w:color w:val="auto"/>
        </w:rPr>
        <w:t>/s/ DH</w:t>
      </w:r>
    </w:p>
    <w:p>
      <w:pPr>
        <w:sectPr>
          <w:pgSz w:w="11900" w:h="16838" w:orient="portrait"/>
          <w:cols w:equalWidth="0" w:num="1">
            <w:col w:w="10760"/>
          </w:cols>
          <w:pgMar w:left="900" w:top="348" w:right="239" w:bottom="1440" w:gutter="0" w:footer="0" w:header="0"/>
          <w:type w:val="continuous"/>
        </w:sectPr>
      </w:pPr>
    </w:p>
    <w:bookmarkStart w:id="114" w:name="page115"/>
    <w:bookmarkEnd w:id="114"/>
    <w:p>
      <w:pPr>
        <w:ind w:left="640" w:right="20"/>
        <w:spacing w:after="0" w:line="232" w:lineRule="auto"/>
        <w:rPr>
          <w:sz w:val="20"/>
          <w:szCs w:val="20"/>
          <w:color w:val="auto"/>
        </w:rPr>
      </w:pPr>
      <w:r>
        <w:rPr>
          <w:rFonts w:ascii="Arial" w:cs="Arial" w:eastAsia="Arial" w:hAnsi="Arial"/>
          <w:sz w:val="22"/>
          <w:szCs w:val="22"/>
          <w:color w:val="auto"/>
        </w:rPr>
        <w:t>ab initio. Employee agrees the 2019 Option Agreement is hereby cancelled, terminated and deemed null and void ab initio.</w:t>
      </w:r>
    </w:p>
    <w:p>
      <w:pPr>
        <w:sectPr>
          <w:pgSz w:w="11900" w:h="16838" w:orient="portrait"/>
          <w:cols w:equalWidth="0" w:num="1">
            <w:col w:w="10760"/>
          </w:cols>
          <w:pgMar w:left="900" w:top="321" w:right="23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Employee was awarded 13,442 Bloomin’ Brands, Inc. (formerly Kangaroo Holdings, Inc.) restricted stock units (the "2016 Restricted Stock") pursuant to that certain Restricted Stock Agreement with a grant date of February 25, 2016 (the "2016 Restricted Stock Agreement"). Employee agrees 10,081 of the 2016 Restricted stock units were previously vested and distributed. Employee agrees 3,361 of the 2016 Restricted stock units are unvested and hereby forfeited, canceled, terminated and deemed null and void ab initio. The 2016 Restricted Stock Agreement is hereby forfeited, cancelled, terminated and deemed null and void ab initio.</w:t>
      </w:r>
    </w:p>
    <w:p>
      <w:pPr>
        <w:spacing w:after="0" w:line="200" w:lineRule="exact"/>
        <w:rPr>
          <w:sz w:val="20"/>
          <w:szCs w:val="20"/>
          <w:color w:val="auto"/>
        </w:rPr>
      </w:pPr>
    </w:p>
    <w:p>
      <w:pPr>
        <w:sectPr>
          <w:pgSz w:w="11900" w:h="16838" w:orient="portrait"/>
          <w:cols w:equalWidth="0" w:num="2">
            <w:col w:w="180" w:space="460"/>
            <w:col w:w="10120"/>
          </w:cols>
          <w:pgMar w:left="900" w:top="321"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j.)</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Employee was awarded 13,467 Bloomin’ Brands, Inc. (formerly Kangaroo Holdings, Inc.) restricted stock units (the "2017 Restricted Stock") pursuant to that certain Restricted Stock Agreement with a grant date of February 24, 2017 (the "2017 Restricted Stock Agreement"). Employee agrees 6,733 of the 2017 Restricted stock units were previously vested and distributed. Employee agrees 6,734 of the 2017 Restricted stock units are unvested and hereby forfeited, canceled, terminated and deemed null and void ab initio. The February 2017 Restricted Stock Agreement is hereby forfeited, cancelled, terminated and deemed null and void ab initio.</w:t>
      </w:r>
    </w:p>
    <w:p>
      <w:pPr>
        <w:spacing w:after="0" w:line="190" w:lineRule="exact"/>
        <w:rPr>
          <w:sz w:val="20"/>
          <w:szCs w:val="20"/>
          <w:color w:val="auto"/>
        </w:rPr>
      </w:pPr>
    </w:p>
    <w:p>
      <w:pPr>
        <w:sectPr>
          <w:pgSz w:w="11900" w:h="16838" w:orient="portrait"/>
          <w:cols w:equalWidth="0" w:num="2">
            <w:col w:w="180" w:space="460"/>
            <w:col w:w="10120"/>
          </w:cols>
          <w:pgMar w:left="900" w:top="321" w:right="239" w:bottom="1440" w:gutter="0" w:footer="0" w:header="0"/>
          <w:type w:val="continuous"/>
        </w:sectPr>
      </w:pPr>
    </w:p>
    <w:p>
      <w:pPr>
        <w:spacing w:after="0"/>
        <w:rPr>
          <w:sz w:val="20"/>
          <w:szCs w:val="20"/>
          <w:color w:val="auto"/>
        </w:rPr>
      </w:pPr>
      <w:r>
        <w:rPr>
          <w:rFonts w:ascii="Arial" w:cs="Arial" w:eastAsia="Arial" w:hAnsi="Arial"/>
          <w:sz w:val="21"/>
          <w:szCs w:val="21"/>
          <w:color w:val="auto"/>
        </w:rPr>
        <w:t>k.)</w:t>
      </w:r>
    </w:p>
    <w:p>
      <w:pPr>
        <w:spacing w:after="0" w:line="20" w:lineRule="exact"/>
        <w:rPr>
          <w:sz w:val="20"/>
          <w:szCs w:val="20"/>
          <w:color w:val="auto"/>
        </w:rPr>
      </w:pPr>
      <w:r>
        <w:rPr>
          <w:sz w:val="20"/>
          <w:szCs w:val="20"/>
          <w:color w:val="auto"/>
        </w:rPr>
        <w:br w:type="column"/>
      </w:r>
    </w:p>
    <w:p>
      <w:pPr>
        <w:jc w:val="both"/>
        <w:spacing w:after="0" w:line="294" w:lineRule="auto"/>
        <w:rPr>
          <w:sz w:val="20"/>
          <w:szCs w:val="20"/>
          <w:color w:val="auto"/>
        </w:rPr>
      </w:pPr>
      <w:r>
        <w:rPr>
          <w:rFonts w:ascii="Arial" w:cs="Arial" w:eastAsia="Arial" w:hAnsi="Arial"/>
          <w:sz w:val="19"/>
          <w:szCs w:val="19"/>
          <w:color w:val="auto"/>
        </w:rPr>
        <w:t>Employee was awarded 9,516 Bloomin’ Brands, Inc. (formerly Kangaroo Holdings, Inc.) restricted stock units (the "2018 Restricted Stock") pursuant to that certain Restricted Stock Agreement with a grant date of February 23, 2018 (the "2018 Restricted Stock Agreement"). Employee agrees 2,379 of the 2018 Restricted stock units were previously vested and distributed. Employee agrees 7,137 of the 2018 Restricted stock units are unvested and hereby forfeited, canceled, terminated and deemed null and void ab initio. The February 2018 Restricted Stock Agreement is hereby forfeited, cancelled, terminated and deemed null and void ab initio.</w:t>
      </w:r>
    </w:p>
    <w:p>
      <w:pPr>
        <w:spacing w:after="0" w:line="190" w:lineRule="exact"/>
        <w:rPr>
          <w:sz w:val="20"/>
          <w:szCs w:val="20"/>
          <w:color w:val="auto"/>
        </w:rPr>
      </w:pPr>
    </w:p>
    <w:p>
      <w:pPr>
        <w:sectPr>
          <w:pgSz w:w="11900" w:h="16838" w:orient="portrait"/>
          <w:cols w:equalWidth="0" w:num="2">
            <w:col w:w="240" w:space="400"/>
            <w:col w:w="10120"/>
          </w:cols>
          <w:pgMar w:left="900" w:top="321" w:right="239" w:bottom="1440" w:gutter="0" w:footer="0" w:header="0"/>
          <w:type w:val="continuous"/>
        </w:sectPr>
      </w:pPr>
    </w:p>
    <w:p>
      <w:pPr>
        <w:spacing w:after="0"/>
        <w:rPr>
          <w:sz w:val="20"/>
          <w:szCs w:val="20"/>
          <w:color w:val="auto"/>
        </w:rPr>
      </w:pPr>
      <w:r>
        <w:rPr>
          <w:rFonts w:ascii="Arial" w:cs="Arial" w:eastAsia="Arial" w:hAnsi="Arial"/>
          <w:sz w:val="21"/>
          <w:szCs w:val="21"/>
          <w:color w:val="auto"/>
        </w:rPr>
        <w:t>l.)</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9"/>
          <w:szCs w:val="19"/>
          <w:color w:val="auto"/>
        </w:rPr>
        <w:t>Employee was awarded 10,731 Bloomin’ Brands, Inc. (formerly Kangaroo Holdings, Inc.) restricted stock units (the "2019 Restricted Stock") pursuant to that certain Restricted Stock Agreement with a grant date of February 19, 2019 (the "2019 Restricted Stock Agreement"). Employee agrees none of the 2019 Restricted stock units are vested and all are hereby forfeited, canceled, terminated and deemed null and void ab initio. The February 2019 Restricted Stock Agreement is hereby forfeited, cancelled, terminated and deemed null and void ab initio.</w:t>
      </w:r>
    </w:p>
    <w:p>
      <w:pPr>
        <w:spacing w:after="0" w:line="188" w:lineRule="exact"/>
        <w:rPr>
          <w:sz w:val="20"/>
          <w:szCs w:val="20"/>
          <w:color w:val="auto"/>
        </w:rPr>
      </w:pPr>
    </w:p>
    <w:p>
      <w:pPr>
        <w:sectPr>
          <w:pgSz w:w="11900" w:h="16838" w:orient="portrait"/>
          <w:cols w:equalWidth="0" w:num="2">
            <w:col w:w="180" w:space="460"/>
            <w:col w:w="10120"/>
          </w:cols>
          <w:pgMar w:left="900" w:top="321" w:right="239" w:bottom="1440" w:gutter="0" w:footer="0" w:header="0"/>
          <w:type w:val="continuous"/>
        </w:sectPr>
      </w:pPr>
    </w:p>
    <w:p>
      <w:pPr>
        <w:spacing w:after="0"/>
        <w:rPr>
          <w:sz w:val="20"/>
          <w:szCs w:val="20"/>
          <w:color w:val="auto"/>
        </w:rPr>
      </w:pPr>
      <w:r>
        <w:rPr>
          <w:rFonts w:ascii="Arial" w:cs="Arial" w:eastAsia="Arial" w:hAnsi="Arial"/>
          <w:sz w:val="19"/>
          <w:szCs w:val="19"/>
          <w:color w:val="auto"/>
        </w:rPr>
        <w:t>m.)</w:t>
      </w:r>
    </w:p>
    <w:p>
      <w:pPr>
        <w:spacing w:after="0" w:line="20" w:lineRule="exact"/>
        <w:rPr>
          <w:sz w:val="20"/>
          <w:szCs w:val="20"/>
          <w:color w:val="auto"/>
        </w:rPr>
      </w:pPr>
      <w:r>
        <w:rPr>
          <w:sz w:val="20"/>
          <w:szCs w:val="20"/>
          <w:color w:val="auto"/>
        </w:rPr>
        <w:br w:type="column"/>
      </w:r>
    </w:p>
    <w:p>
      <w:pPr>
        <w:jc w:val="both"/>
        <w:spacing w:after="0" w:line="248" w:lineRule="auto"/>
        <w:rPr>
          <w:sz w:val="20"/>
          <w:szCs w:val="20"/>
          <w:color w:val="auto"/>
        </w:rPr>
      </w:pPr>
      <w:r>
        <w:rPr>
          <w:rFonts w:ascii="Arial" w:cs="Arial" w:eastAsia="Arial" w:hAnsi="Arial"/>
          <w:sz w:val="22"/>
          <w:szCs w:val="22"/>
          <w:color w:val="auto"/>
        </w:rPr>
        <w:t>Employee was awarded 9,915 Bloomin’ Brands, Inc. (formerly Kangaroo Holdings, Inc.) Performance Share Units awards (the "2017 Performance Share Units") pursuant to that certain Performance Share Units Agreement with a grant date of February 24, 2017 (the "2017 Performance Share Units Agreement"). Employee agrees none of the 2017 Performance Share Units awards are vested and all are hereby forfeited, cancelled, terminated and deemed null and void. The 2017</w:t>
      </w:r>
    </w:p>
    <w:p>
      <w:pPr>
        <w:spacing w:after="0" w:line="200" w:lineRule="exact"/>
        <w:rPr>
          <w:sz w:val="20"/>
          <w:szCs w:val="20"/>
          <w:color w:val="auto"/>
        </w:rPr>
      </w:pPr>
    </w:p>
    <w:p>
      <w:pPr>
        <w:sectPr>
          <w:pgSz w:w="11900" w:h="16838" w:orient="portrait"/>
          <w:cols w:equalWidth="0" w:num="2">
            <w:col w:w="300" w:space="340"/>
            <w:col w:w="10120"/>
          </w:cols>
          <w:pgMar w:left="900" w:top="3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60"/>
        <w:spacing w:after="0"/>
        <w:tabs>
          <w:tab w:leader="none" w:pos="7940" w:val="left"/>
        </w:tabs>
        <w:rPr>
          <w:sz w:val="20"/>
          <w:szCs w:val="20"/>
          <w:color w:val="auto"/>
        </w:rPr>
      </w:pPr>
      <w:r>
        <w:rPr>
          <w:rFonts w:ascii="Arial" w:cs="Arial" w:eastAsia="Arial" w:hAnsi="Arial"/>
          <w:sz w:val="18"/>
          <w:szCs w:val="18"/>
          <w:color w:val="auto"/>
        </w:rPr>
        <w:t>Page 4 of 10</w:t>
      </w:r>
      <w:r>
        <w:rPr>
          <w:sz w:val="20"/>
          <w:szCs w:val="20"/>
          <w:color w:val="auto"/>
        </w:rPr>
        <w:tab/>
      </w:r>
      <w:r>
        <w:rPr>
          <w:rFonts w:ascii="Arial" w:cs="Arial" w:eastAsia="Arial" w:hAnsi="Arial"/>
          <w:sz w:val="16"/>
          <w:szCs w:val="16"/>
          <w:color w:val="auto"/>
        </w:rPr>
        <w:t xml:space="preserve">Employee Initials: </w:t>
      </w:r>
      <w:r>
        <w:rPr>
          <w:rFonts w:ascii="Arial" w:cs="Arial" w:eastAsia="Arial" w:hAnsi="Arial"/>
          <w:sz w:val="16"/>
          <w:szCs w:val="16"/>
          <w:b w:val="1"/>
          <w:bCs w:val="1"/>
          <w:u w:val="single" w:color="auto"/>
          <w:color w:val="auto"/>
        </w:rPr>
        <w:t>/s/ DH</w:t>
      </w:r>
    </w:p>
    <w:p>
      <w:pPr>
        <w:sectPr>
          <w:pgSz w:w="11900" w:h="16838" w:orient="portrait"/>
          <w:cols w:equalWidth="0" w:num="1">
            <w:col w:w="10760"/>
          </w:cols>
          <w:pgMar w:left="900" w:top="321" w:right="239" w:bottom="1440" w:gutter="0" w:footer="0" w:header="0"/>
          <w:type w:val="continuous"/>
        </w:sectPr>
      </w:pPr>
    </w:p>
    <w:bookmarkStart w:id="115" w:name="page116"/>
    <w:bookmarkEnd w:id="115"/>
    <w:p>
      <w:pPr>
        <w:ind w:left="640"/>
        <w:spacing w:after="0"/>
        <w:rPr>
          <w:sz w:val="20"/>
          <w:szCs w:val="20"/>
          <w:color w:val="auto"/>
        </w:rPr>
      </w:pPr>
      <w:r>
        <w:rPr>
          <w:rFonts w:ascii="Arial" w:cs="Arial" w:eastAsia="Arial" w:hAnsi="Arial"/>
          <w:sz w:val="19"/>
          <w:szCs w:val="19"/>
          <w:color w:val="auto"/>
        </w:rPr>
        <w:t>Performance Share Units Agreement is hereby forfeited, cancelled, terminated and deemed null and void ab initio.</w:t>
      </w:r>
    </w:p>
    <w:p>
      <w:pPr>
        <w:sectPr>
          <w:pgSz w:w="11900" w:h="16838" w:orient="portrait"/>
          <w:cols w:equalWidth="0" w:num="1">
            <w:col w:w="10760"/>
          </w:cols>
          <w:pgMar w:left="900" w:top="348" w:right="2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n.)</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Employee was awarded 7,029 Bloomin’ Brands, Inc. (formerly Kangaroo Holdings, Inc.) Performance Share Units awards (the "2018 Performance Share Units") pursuant to that certain Performance Share Units Agreement with a grant date of February 23, 2018 (the "2018 Performance Share Units Agreement"). Employee agrees none of the 2018 Performance Share Units awards are vested and all are hereby forfeited, cancelled, terminated and deemed null and void. The 2018 Performance Share Units Agreement is hereby forfeited, cancelled, terminated and deemed null and void ab initio.</w:t>
      </w:r>
    </w:p>
    <w:p>
      <w:pPr>
        <w:spacing w:after="0" w:line="200" w:lineRule="exact"/>
        <w:rPr>
          <w:sz w:val="20"/>
          <w:szCs w:val="20"/>
          <w:color w:val="auto"/>
        </w:rPr>
      </w:pPr>
    </w:p>
    <w:p>
      <w:pPr>
        <w:sectPr>
          <w:pgSz w:w="11900" w:h="16838" w:orient="portrait"/>
          <w:cols w:equalWidth="0" w:num="2">
            <w:col w:w="240" w:space="400"/>
            <w:col w:w="10120"/>
          </w:cols>
          <w:pgMar w:left="900" w:top="348"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Employee was awarded 8,048 Bloomin’ Brands, Inc. (formerly Kangaroo Holdings, Inc.) Performance Share Units awards (the "2019 Performance Share Units") pursuant to that certain Performance Share Units Agreement with a grant date of February 19, 2019 (the "2019 Performance Share Units Agreement"). Employee agrees none of the 2019 Performance Share Units awards are vested and all are hereby forfeited, cancelled, terminated and deemed null and void. The 2019 Performance Share Units Agreement is hereby forfeited, cancelled, terminated and deemed null and void ab initio.</w:t>
      </w:r>
    </w:p>
    <w:p>
      <w:pPr>
        <w:spacing w:after="0" w:line="200" w:lineRule="exact"/>
        <w:rPr>
          <w:sz w:val="20"/>
          <w:szCs w:val="20"/>
          <w:color w:val="auto"/>
        </w:rPr>
      </w:pPr>
    </w:p>
    <w:p>
      <w:pPr>
        <w:sectPr>
          <w:pgSz w:w="11900" w:h="16838" w:orient="portrait"/>
          <w:cols w:equalWidth="0" w:num="2">
            <w:col w:w="240" w:space="400"/>
            <w:col w:w="10120"/>
          </w:cols>
          <w:pgMar w:left="900" w:top="348"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p.)</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Employee waives and relinquishes any rights that Employee may have to claim reimbursement from Employer and its Releasees for attorney’s fees, litigation costs or expenses that Employee may have incurred in the course of obtaining legal advice on any matter related to Employer, except as otherwise expressly provided for herein.</w:t>
      </w:r>
    </w:p>
    <w:p>
      <w:pPr>
        <w:spacing w:after="0" w:line="174" w:lineRule="exact"/>
        <w:rPr>
          <w:sz w:val="20"/>
          <w:szCs w:val="20"/>
          <w:color w:val="auto"/>
        </w:rPr>
      </w:pPr>
    </w:p>
    <w:p>
      <w:pPr>
        <w:sectPr>
          <w:pgSz w:w="11900" w:h="16838" w:orient="portrait"/>
          <w:cols w:equalWidth="0" w:num="2">
            <w:col w:w="240" w:space="400"/>
            <w:col w:w="10120"/>
          </w:cols>
          <w:pgMar w:left="900" w:top="348" w:right="239" w:bottom="1440" w:gutter="0" w:footer="0" w:header="0"/>
          <w:type w:val="continuous"/>
        </w:sectPr>
      </w:pPr>
    </w:p>
    <w:p>
      <w:pPr>
        <w:spacing w:after="0"/>
        <w:rPr>
          <w:sz w:val="20"/>
          <w:szCs w:val="20"/>
          <w:color w:val="auto"/>
        </w:rPr>
      </w:pPr>
      <w:r>
        <w:rPr>
          <w:rFonts w:ascii="Arial" w:cs="Arial" w:eastAsia="Arial" w:hAnsi="Arial"/>
          <w:sz w:val="19"/>
          <w:szCs w:val="19"/>
          <w:color w:val="auto"/>
        </w:rPr>
        <w:t>q.)</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9"/>
          <w:szCs w:val="19"/>
          <w:color w:val="auto"/>
        </w:rPr>
        <w:t>Employee waives and disclaims any right to any damages, compensation, or other personal relief that may be recovered at any time after the execution of this Release as a result of any proceeding arising out of or related to the employment relationship that is brought under the jurisdiction or authority of the Equal Employment Opportunity Commission ("EEOC"), the Florida Commission on Human Relations, the U.S. Department of Labor, or any other local, state, or federal court or agency. If any such agency or court assumes jurisdiction of or files any complaint, charge, or proceeding against Employer or its Releasees, Employee shall request such agency or court to dismiss or withdraw from the matter. Notwithstanding any other term or provision of this Release, nothing in this Release is intended or shall be construed to prohibit Employee, with or without notice to the Employer or Employer’s Releasees, from filing a charge with, directly communicating with or participating in any investigation or proceeding conducted by any local, state or federal agency regarding any possible law violation. Employee acknowledges and agrees, however, that, except with respect to any award pursuant to Section 21F of the Securities Exchange Act of 1934, as amended, or any award administered by the U.S. Occupational Safety and Health Administration, Employee waives any right to monetary damages, attorneys’ fees, costs and equitable remedies related to or arising from any such charge, or ensuing complaint or lawsuit, filed by Employee or on Employee’s behalf.</w:t>
      </w:r>
    </w:p>
    <w:p>
      <w:pPr>
        <w:spacing w:after="0" w:line="200" w:lineRule="exact"/>
        <w:rPr>
          <w:sz w:val="20"/>
          <w:szCs w:val="20"/>
          <w:color w:val="auto"/>
        </w:rPr>
      </w:pPr>
    </w:p>
    <w:p>
      <w:pPr>
        <w:sectPr>
          <w:pgSz w:w="11900" w:h="16838" w:orient="portrait"/>
          <w:cols w:equalWidth="0" w:num="2">
            <w:col w:w="240" w:space="400"/>
            <w:col w:w="10120"/>
          </w:cols>
          <w:pgMar w:left="900" w:top="348" w:right="2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left="4660"/>
        <w:spacing w:after="0"/>
        <w:tabs>
          <w:tab w:leader="none" w:pos="7940" w:val="left"/>
        </w:tabs>
        <w:rPr>
          <w:sz w:val="20"/>
          <w:szCs w:val="20"/>
          <w:color w:val="auto"/>
        </w:rPr>
      </w:pPr>
      <w:r>
        <w:rPr>
          <w:rFonts w:ascii="Arial" w:cs="Arial" w:eastAsia="Arial" w:hAnsi="Arial"/>
          <w:sz w:val="18"/>
          <w:szCs w:val="18"/>
          <w:color w:val="auto"/>
        </w:rPr>
        <w:t>Page 5 of 10</w:t>
      </w:r>
      <w:r>
        <w:rPr>
          <w:sz w:val="20"/>
          <w:szCs w:val="20"/>
          <w:color w:val="auto"/>
        </w:rPr>
        <w:tab/>
      </w:r>
      <w:r>
        <w:rPr>
          <w:rFonts w:ascii="Arial" w:cs="Arial" w:eastAsia="Arial" w:hAnsi="Arial"/>
          <w:sz w:val="16"/>
          <w:szCs w:val="16"/>
          <w:color w:val="auto"/>
        </w:rPr>
        <w:t xml:space="preserve">Employee Initials: </w:t>
      </w:r>
      <w:r>
        <w:rPr>
          <w:rFonts w:ascii="Arial" w:cs="Arial" w:eastAsia="Arial" w:hAnsi="Arial"/>
          <w:sz w:val="16"/>
          <w:szCs w:val="16"/>
          <w:b w:val="1"/>
          <w:bCs w:val="1"/>
          <w:u w:val="single" w:color="auto"/>
          <w:color w:val="auto"/>
        </w:rPr>
        <w:t>/s/ DH</w:t>
      </w:r>
    </w:p>
    <w:p>
      <w:pPr>
        <w:sectPr>
          <w:pgSz w:w="11900" w:h="16838" w:orient="portrait"/>
          <w:cols w:equalWidth="0" w:num="1">
            <w:col w:w="10760"/>
          </w:cols>
          <w:pgMar w:left="900" w:top="348" w:right="2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9"/>
          <w:szCs w:val="19"/>
          <w:color w:val="auto"/>
        </w:rPr>
        <w:t>r.)</w:t>
      </w:r>
    </w:p>
    <w:p>
      <w:pPr>
        <w:spacing w:after="0" w:line="20" w:lineRule="exact"/>
        <w:rPr>
          <w:sz w:val="20"/>
          <w:szCs w:val="20"/>
          <w:color w:val="auto"/>
        </w:rPr>
      </w:pPr>
      <w:r>
        <w:rPr>
          <w:sz w:val="20"/>
          <w:szCs w:val="20"/>
          <w:color w:val="auto"/>
        </w:rPr>
        <w:br w:type="column"/>
      </w:r>
    </w:p>
    <w:p>
      <w:pPr>
        <w:jc w:val="both"/>
        <w:spacing w:after="0" w:line="289" w:lineRule="auto"/>
        <w:rPr>
          <w:sz w:val="20"/>
          <w:szCs w:val="20"/>
          <w:color w:val="auto"/>
        </w:rPr>
      </w:pPr>
      <w:r>
        <w:rPr>
          <w:rFonts w:ascii="Arial" w:cs="Arial" w:eastAsia="Arial" w:hAnsi="Arial"/>
          <w:sz w:val="19"/>
          <w:szCs w:val="19"/>
          <w:color w:val="auto"/>
        </w:rPr>
        <w:t>Employee agrees that he will preserve the confidentiality of this Release and not discuss or disclose its existence, substance, or contents to anyone other than his spouse, attorney, accountant, or tax advisors, except as compelled or authorized by law. Employee further agrees that he will not at any time, disclose, use, or communicate to any person or entity, whether directly or indirectly, any Confidential Information obtained by the Employee during the term of Employee's employment with Employer, unless (i) such disclosure or communication is compelled by law, or (ii) Employee has received specific written authorization in advance from Employer prior to the disclosure, use, or communication. Confidential Information shall mean any information regarding, affecting, or relating to the clients, operations, or business of Employer that is treated as confidential by Employer and that is not generally known by or otherwise available to third parties.</w:t>
      </w:r>
    </w:p>
    <w:p>
      <w:pPr>
        <w:spacing w:after="0" w:line="198" w:lineRule="exact"/>
        <w:rPr>
          <w:sz w:val="20"/>
          <w:szCs w:val="20"/>
          <w:color w:val="auto"/>
        </w:rPr>
      </w:pPr>
    </w:p>
    <w:p>
      <w:pPr>
        <w:sectPr>
          <w:pgSz w:w="11900" w:h="16838" w:orient="portrait"/>
          <w:cols w:equalWidth="0" w:num="2">
            <w:col w:w="180" w:space="460"/>
            <w:col w:w="10120"/>
          </w:cols>
          <w:pgMar w:left="900" w:top="348" w:right="239" w:bottom="1440" w:gutter="0" w:footer="0" w:header="0"/>
        </w:sectPr>
      </w:pPr>
    </w:p>
    <w:p>
      <w:pPr>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22"/>
          <w:szCs w:val="22"/>
          <w:color w:val="auto"/>
        </w:rPr>
        <w:t>Employee agrees that he will not disparage Employer or its Releasees in any way to any person or entity. Notwithstanding this provision, in the unlikely event that Employee is subpoenaed as part of a government entity’s investigation of Employer, Employee may provide truthful information about his employment to the government entity without violating this Release.</w:t>
      </w:r>
    </w:p>
    <w:p>
      <w:pPr>
        <w:spacing w:after="0" w:line="200" w:lineRule="exact"/>
        <w:rPr>
          <w:sz w:val="20"/>
          <w:szCs w:val="20"/>
          <w:color w:val="auto"/>
        </w:rPr>
      </w:pPr>
    </w:p>
    <w:p>
      <w:pPr>
        <w:sectPr>
          <w:pgSz w:w="11900" w:h="16838" w:orient="portrait"/>
          <w:cols w:equalWidth="0" w:num="2">
            <w:col w:w="200" w:space="440"/>
            <w:col w:w="10120"/>
          </w:cols>
          <w:pgMar w:left="900" w:top="348"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If Employee is asked to discuss the subjects prohibited by subparagraphs 3(r) and (s) above, Employee is authorized to respond as follows:</w:t>
      </w:r>
    </w:p>
    <w:p>
      <w:pPr>
        <w:spacing w:after="0" w:line="200" w:lineRule="exact"/>
        <w:rPr>
          <w:sz w:val="20"/>
          <w:szCs w:val="20"/>
          <w:color w:val="auto"/>
        </w:rPr>
      </w:pPr>
    </w:p>
    <w:p>
      <w:pPr>
        <w:sectPr>
          <w:pgSz w:w="11900" w:h="16838" w:orient="portrait"/>
          <w:cols w:equalWidth="0" w:num="2">
            <w:col w:w="180" w:space="460"/>
            <w:col w:w="10120"/>
          </w:cols>
          <w:pgMar w:left="900" w:top="348" w:right="239" w:bottom="1440" w:gutter="0" w:footer="0" w:header="0"/>
          <w:type w:val="continuous"/>
        </w:sectPr>
      </w:pPr>
    </w:p>
    <w:p>
      <w:pPr>
        <w:spacing w:after="0" w:line="1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I had a good relationship with Bloomin’ Brands, but my position was eliminated. I have no disputes with Bloomin’ Brands.</w:t>
      </w:r>
    </w:p>
    <w:p>
      <w:pPr>
        <w:sectPr>
          <w:pgSz w:w="11900" w:h="16838" w:orient="portrait"/>
          <w:cols w:equalWidth="0" w:num="1">
            <w:col w:w="10760"/>
          </w:cols>
          <w:pgMar w:left="900" w:top="348" w:right="239"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u.)</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F</w:t>
      </w:r>
      <w:r>
        <w:rPr>
          <w:rFonts w:ascii="Arial" w:cs="Arial" w:eastAsia="Arial" w:hAnsi="Arial"/>
          <w:sz w:val="21"/>
          <w:szCs w:val="21"/>
          <w:color w:val="0D0D0D"/>
        </w:rPr>
        <w:t>or a two-year period commencing on the date Employee executes this Agreement,</w:t>
      </w:r>
      <w:r>
        <w:rPr>
          <w:rFonts w:ascii="Arial" w:cs="Arial" w:eastAsia="Arial" w:hAnsi="Arial"/>
          <w:sz w:val="21"/>
          <w:szCs w:val="21"/>
          <w:color w:val="auto"/>
        </w:rPr>
        <w:t xml:space="preserve"> Employee shall not, individually or jointly with others, offer employment to, or hire, any employee of Employer, their franchisees or affiliates, or otherwise solicit or induce, directly or indirectly, any employee of Employer, their franchisees or affiliates to terminate their employment. This prohibition on solicitation shall include but not be limited to </w:t>
      </w:r>
      <w:r>
        <w:rPr>
          <w:rFonts w:ascii="Arial" w:cs="Arial" w:eastAsia="Arial" w:hAnsi="Arial"/>
          <w:sz w:val="21"/>
          <w:szCs w:val="21"/>
          <w:color w:val="0D0D0D"/>
        </w:rPr>
        <w:t>any employee of</w:t>
      </w:r>
      <w:r>
        <w:rPr>
          <w:rFonts w:ascii="Arial" w:cs="Arial" w:eastAsia="Arial" w:hAnsi="Arial"/>
          <w:sz w:val="21"/>
          <w:szCs w:val="21"/>
          <w:color w:val="auto"/>
        </w:rPr>
        <w:t xml:space="preserve"> </w:t>
      </w:r>
      <w:r>
        <w:rPr>
          <w:rFonts w:ascii="Arial" w:cs="Arial" w:eastAsia="Arial" w:hAnsi="Arial"/>
          <w:sz w:val="21"/>
          <w:szCs w:val="21"/>
          <w:color w:val="0D0D0D"/>
        </w:rPr>
        <w:t>Employer or its affiliates assigned to Employer’s Restaurant Support Center in Tampa, Florida, except for non-management personnel recruited through general solicitations in print or other media.</w:t>
      </w:r>
    </w:p>
    <w:p>
      <w:pPr>
        <w:spacing w:after="0" w:line="200" w:lineRule="exact"/>
        <w:rPr>
          <w:sz w:val="20"/>
          <w:szCs w:val="20"/>
          <w:color w:val="auto"/>
        </w:rPr>
      </w:pPr>
    </w:p>
    <w:p>
      <w:pPr>
        <w:sectPr>
          <w:pgSz w:w="11900" w:h="16838" w:orient="portrait"/>
          <w:cols w:equalWidth="0" w:num="2">
            <w:col w:w="240" w:space="400"/>
            <w:col w:w="10120"/>
          </w:cols>
          <w:pgMar w:left="900" w:top="348"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v.)</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Employee agrees to submit all requests for reimbursement no later than two weeks after the Separation Date. Employer reserves the right to deny requests for reimbursement made more than two weeks after the Separation Date. Reimbursement eligibility will be determined consistent with Employer’s usual policies and procedures.</w:t>
      </w:r>
    </w:p>
    <w:p>
      <w:pPr>
        <w:spacing w:after="0" w:line="174" w:lineRule="exact"/>
        <w:rPr>
          <w:sz w:val="20"/>
          <w:szCs w:val="20"/>
          <w:color w:val="auto"/>
        </w:rPr>
      </w:pPr>
    </w:p>
    <w:p>
      <w:pPr>
        <w:sectPr>
          <w:pgSz w:w="11900" w:h="16838" w:orient="portrait"/>
          <w:cols w:equalWidth="0" w:num="2">
            <w:col w:w="220" w:space="420"/>
            <w:col w:w="10120"/>
          </w:cols>
          <w:pgMar w:left="900" w:top="348" w:right="239" w:bottom="1440" w:gutter="0" w:footer="0" w:header="0"/>
          <w:type w:val="continuous"/>
        </w:sectPr>
      </w:pPr>
    </w:p>
    <w:p>
      <w:pPr>
        <w:spacing w:after="0"/>
        <w:rPr>
          <w:sz w:val="20"/>
          <w:szCs w:val="20"/>
          <w:color w:val="auto"/>
        </w:rPr>
      </w:pPr>
      <w:r>
        <w:rPr>
          <w:rFonts w:ascii="Arial" w:cs="Arial" w:eastAsia="Arial" w:hAnsi="Arial"/>
          <w:sz w:val="19"/>
          <w:szCs w:val="19"/>
          <w:color w:val="auto"/>
        </w:rPr>
        <w:t>w.)</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21"/>
          <w:szCs w:val="21"/>
          <w:color w:val="auto"/>
        </w:rPr>
        <w:t>Employee agrees this Release shall serve as Employee’s resignation from any and all director, officer or other positions Employee has held at any time for or on behalf of the Employer and/or Employer’s affiliates.</w:t>
      </w:r>
    </w:p>
    <w:p>
      <w:pPr>
        <w:spacing w:after="0" w:line="192" w:lineRule="exact"/>
        <w:rPr>
          <w:sz w:val="20"/>
          <w:szCs w:val="20"/>
          <w:color w:val="auto"/>
        </w:rPr>
      </w:pPr>
    </w:p>
    <w:p>
      <w:pPr>
        <w:sectPr>
          <w:pgSz w:w="11900" w:h="16838" w:orient="portrait"/>
          <w:cols w:equalWidth="0" w:num="2">
            <w:col w:w="260" w:space="380"/>
            <w:col w:w="10120"/>
          </w:cols>
          <w:pgMar w:left="900" w:top="348" w:right="239" w:bottom="1440" w:gutter="0" w:footer="0" w:header="0"/>
          <w:type w:val="continuous"/>
        </w:sectPr>
      </w:pPr>
    </w:p>
    <w:p>
      <w:pPr>
        <w:spacing w:after="0"/>
        <w:rPr>
          <w:sz w:val="20"/>
          <w:szCs w:val="20"/>
          <w:color w:val="auto"/>
        </w:rPr>
      </w:pPr>
      <w:r>
        <w:rPr>
          <w:rFonts w:ascii="Arial" w:cs="Arial" w:eastAsia="Arial" w:hAnsi="Arial"/>
          <w:sz w:val="21"/>
          <w:szCs w:val="21"/>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Employee shall comply with all other terms of this Release as provided for herein.</w:t>
      </w:r>
    </w:p>
    <w:p>
      <w:pPr>
        <w:spacing w:after="0" w:line="222" w:lineRule="exact"/>
        <w:rPr>
          <w:sz w:val="20"/>
          <w:szCs w:val="20"/>
          <w:color w:val="auto"/>
        </w:rPr>
      </w:pPr>
    </w:p>
    <w:p>
      <w:pPr>
        <w:sectPr>
          <w:pgSz w:w="11900" w:h="16838" w:orient="portrait"/>
          <w:cols w:equalWidth="0" w:num="2">
            <w:col w:w="240" w:space="400"/>
            <w:col w:w="10120"/>
          </w:cols>
          <w:pgMar w:left="900" w:top="3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60"/>
        <w:spacing w:after="0"/>
        <w:tabs>
          <w:tab w:leader="none" w:pos="7940" w:val="left"/>
        </w:tabs>
        <w:rPr>
          <w:sz w:val="20"/>
          <w:szCs w:val="20"/>
          <w:color w:val="auto"/>
        </w:rPr>
      </w:pPr>
      <w:r>
        <w:rPr>
          <w:rFonts w:ascii="Arial" w:cs="Arial" w:eastAsia="Arial" w:hAnsi="Arial"/>
          <w:sz w:val="18"/>
          <w:szCs w:val="18"/>
          <w:color w:val="auto"/>
        </w:rPr>
        <w:t>Page 6 of 10</w:t>
      </w:r>
      <w:r>
        <w:rPr>
          <w:sz w:val="20"/>
          <w:szCs w:val="20"/>
          <w:color w:val="auto"/>
        </w:rPr>
        <w:tab/>
      </w:r>
      <w:r>
        <w:rPr>
          <w:rFonts w:ascii="Arial" w:cs="Arial" w:eastAsia="Arial" w:hAnsi="Arial"/>
          <w:sz w:val="16"/>
          <w:szCs w:val="16"/>
          <w:color w:val="auto"/>
        </w:rPr>
        <w:t xml:space="preserve">Employee Initials: </w:t>
      </w:r>
      <w:r>
        <w:rPr>
          <w:rFonts w:ascii="Arial" w:cs="Arial" w:eastAsia="Arial" w:hAnsi="Arial"/>
          <w:sz w:val="16"/>
          <w:szCs w:val="16"/>
          <w:b w:val="1"/>
          <w:bCs w:val="1"/>
          <w:u w:val="single" w:color="auto"/>
          <w:color w:val="auto"/>
        </w:rPr>
        <w:t>/s/ DH</w:t>
      </w:r>
    </w:p>
    <w:p>
      <w:pPr>
        <w:sectPr>
          <w:pgSz w:w="11900" w:h="16838" w:orient="portrait"/>
          <w:cols w:equalWidth="0" w:num="1">
            <w:col w:w="10760"/>
          </w:cols>
          <w:pgMar w:left="900" w:top="348" w:right="239" w:bottom="1440" w:gutter="0" w:footer="0" w:header="0"/>
          <w:type w:val="continuous"/>
        </w:sectPr>
      </w:pPr>
    </w:p>
    <w:bookmarkStart w:id="117" w:name="page118"/>
    <w:bookmarkEnd w:id="117"/>
    <w:p>
      <w:pPr>
        <w:ind w:left="652" w:right="20" w:hanging="652"/>
        <w:spacing w:after="0" w:line="263" w:lineRule="auto"/>
        <w:tabs>
          <w:tab w:leader="none" w:pos="652" w:val="left"/>
        </w:tabs>
        <w:numPr>
          <w:ilvl w:val="0"/>
          <w:numId w:val="80"/>
        </w:numPr>
        <w:rPr>
          <w:rFonts w:ascii="Arial" w:cs="Arial" w:eastAsia="Arial" w:hAnsi="Arial"/>
          <w:sz w:val="22"/>
          <w:szCs w:val="22"/>
          <w:color w:val="auto"/>
        </w:rPr>
      </w:pPr>
      <w:r>
        <w:rPr>
          <w:rFonts w:ascii="Arial" w:cs="Arial" w:eastAsia="Arial" w:hAnsi="Arial"/>
          <w:sz w:val="22"/>
          <w:szCs w:val="22"/>
          <w:color w:val="auto"/>
        </w:rPr>
        <w:t>As consideration for the promises made by Employee in this Release, Employer promises and obligates itself to perform the following covenants under this Release:</w:t>
      </w:r>
    </w:p>
    <w:p>
      <w:pPr>
        <w:sectPr>
          <w:pgSz w:w="11900" w:h="16838" w:orient="portrait"/>
          <w:cols w:equalWidth="0" w:num="1">
            <w:col w:w="11412"/>
          </w:cols>
          <w:pgMar w:left="248" w:top="348" w:right="239" w:bottom="1440" w:gutter="0" w:footer="0" w:header="0"/>
        </w:sectPr>
      </w:pPr>
    </w:p>
    <w:p>
      <w:pPr>
        <w:spacing w:after="0" w:line="21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Employer shall pay Employee a lump sum severance payment in the gross amount of $1,500,000, less legal deductions and withholdings.</w:t>
      </w:r>
    </w:p>
    <w:p>
      <w:pPr>
        <w:spacing w:after="0" w:line="200" w:lineRule="exact"/>
        <w:rPr>
          <w:sz w:val="20"/>
          <w:szCs w:val="20"/>
          <w:color w:val="auto"/>
        </w:rPr>
      </w:pPr>
    </w:p>
    <w:p>
      <w:pPr>
        <w:sectPr>
          <w:pgSz w:w="11900" w:h="16838" w:orient="portrait"/>
          <w:cols w:equalWidth="0" w:num="2">
            <w:col w:w="872" w:space="420"/>
            <w:col w:w="10120"/>
          </w:cols>
          <w:pgMar w:left="248" w:top="348" w:right="239" w:bottom="1440" w:gutter="0" w:footer="0" w:header="0"/>
          <w:type w:val="continuous"/>
        </w:sectPr>
      </w:pPr>
    </w:p>
    <w:p>
      <w:pPr>
        <w:spacing w:after="0" w:line="1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22"/>
          <w:szCs w:val="22"/>
          <w:color w:val="auto"/>
        </w:rPr>
        <w:t>Employer shall pay Employee a lump sum of $16,500 to reimburse Employee for 12 months continuing coverage of his benefits pursuant to the Consolidated Omnibus Budget Reconciliation Act (“COBRA”).</w:t>
      </w:r>
    </w:p>
    <w:p>
      <w:pPr>
        <w:spacing w:after="0" w:line="200" w:lineRule="exact"/>
        <w:rPr>
          <w:sz w:val="20"/>
          <w:szCs w:val="20"/>
          <w:color w:val="auto"/>
        </w:rPr>
      </w:pPr>
    </w:p>
    <w:p>
      <w:pPr>
        <w:sectPr>
          <w:pgSz w:w="11900" w:h="16838" w:orient="portrait"/>
          <w:cols w:equalWidth="0" w:num="2">
            <w:col w:w="892" w:space="400"/>
            <w:col w:w="10120"/>
          </w:cols>
          <w:pgMar w:left="248" w:top="348" w:right="239" w:bottom="1440" w:gutter="0" w:footer="0" w:header="0"/>
          <w:type w:val="continuous"/>
        </w:sectPr>
      </w:pPr>
    </w:p>
    <w:p>
      <w:pPr>
        <w:spacing w:after="0" w:line="1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22"/>
          <w:szCs w:val="22"/>
          <w:color w:val="auto"/>
        </w:rPr>
        <w:t>As additional consideration for this Release, Employer will provide Employee with outplacement services with Challenger, Gray &amp; Christmas for a period of up to 12 months, to be used consecutively, beginning after the expiration of the Revocation Period referenced in paragraph 6 below.</w:t>
      </w:r>
    </w:p>
    <w:p>
      <w:pPr>
        <w:spacing w:after="0" w:line="200" w:lineRule="exact"/>
        <w:rPr>
          <w:sz w:val="20"/>
          <w:szCs w:val="20"/>
          <w:color w:val="auto"/>
        </w:rPr>
      </w:pPr>
    </w:p>
    <w:p>
      <w:pPr>
        <w:sectPr>
          <w:pgSz w:w="11900" w:h="16838" w:orient="portrait"/>
          <w:cols w:equalWidth="0" w:num="2">
            <w:col w:w="872" w:space="420"/>
            <w:col w:w="10120"/>
          </w:cols>
          <w:pgMar w:left="248" w:top="348" w:right="239" w:bottom="1440" w:gutter="0" w:footer="0" w:header="0"/>
          <w:type w:val="continuous"/>
        </w:sectPr>
      </w:pPr>
    </w:p>
    <w:p>
      <w:pPr>
        <w:spacing w:after="0" w:line="26" w:lineRule="exact"/>
        <w:rPr>
          <w:sz w:val="20"/>
          <w:szCs w:val="20"/>
          <w:color w:val="auto"/>
        </w:rPr>
      </w:pPr>
    </w:p>
    <w:p>
      <w:pPr>
        <w:ind w:left="652"/>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Employer will not contest any claim for unemployment benefits related to Employee’s employment with Employer ended on the Separation Date.</w:t>
      </w:r>
    </w:p>
    <w:p>
      <w:pPr>
        <w:spacing w:after="0" w:line="200" w:lineRule="exact"/>
        <w:rPr>
          <w:sz w:val="20"/>
          <w:szCs w:val="20"/>
          <w:color w:val="auto"/>
        </w:rPr>
      </w:pPr>
    </w:p>
    <w:p>
      <w:pPr>
        <w:sectPr>
          <w:pgSz w:w="11900" w:h="16838" w:orient="portrait"/>
          <w:cols w:equalWidth="0" w:num="2">
            <w:col w:w="892" w:space="400"/>
            <w:col w:w="10120"/>
          </w:cols>
          <w:pgMar w:left="248" w:top="348" w:right="239" w:bottom="1440" w:gutter="0" w:footer="0" w:header="0"/>
          <w:type w:val="continuous"/>
        </w:sectPr>
      </w:pPr>
    </w:p>
    <w:p>
      <w:pPr>
        <w:spacing w:after="0" w:line="1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22"/>
          <w:szCs w:val="22"/>
          <w:color w:val="auto"/>
        </w:rPr>
        <w:t>Employer shall send the payments described in paragraphs 4(a) and 4(b) above to Employee’s home address within 10 days after the expiration of the Revocation Period referenced in paragraph 6 below.</w:t>
      </w:r>
    </w:p>
    <w:p>
      <w:pPr>
        <w:spacing w:after="0" w:line="200" w:lineRule="exact"/>
        <w:rPr>
          <w:sz w:val="20"/>
          <w:szCs w:val="20"/>
          <w:color w:val="auto"/>
        </w:rPr>
      </w:pPr>
    </w:p>
    <w:p>
      <w:pPr>
        <w:sectPr>
          <w:pgSz w:w="11900" w:h="16838" w:orient="portrait"/>
          <w:cols w:equalWidth="0" w:num="2">
            <w:col w:w="872" w:space="420"/>
            <w:col w:w="10120"/>
          </w:cols>
          <w:pgMar w:left="248" w:top="348" w:right="239" w:bottom="1440" w:gutter="0" w:footer="0" w:header="0"/>
          <w:type w:val="continuous"/>
        </w:sectPr>
      </w:pPr>
    </w:p>
    <w:p>
      <w:pPr>
        <w:spacing w:after="0" w:line="1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Employer shall comply with all other terms of this Release as provided for herein.</w:t>
      </w:r>
    </w:p>
    <w:p>
      <w:pPr>
        <w:spacing w:after="0" w:line="234" w:lineRule="exact"/>
        <w:rPr>
          <w:sz w:val="20"/>
          <w:szCs w:val="20"/>
          <w:color w:val="auto"/>
        </w:rPr>
      </w:pPr>
    </w:p>
    <w:p>
      <w:pPr>
        <w:sectPr>
          <w:pgSz w:w="11900" w:h="16838" w:orient="portrait"/>
          <w:cols w:equalWidth="0" w:num="2">
            <w:col w:w="852" w:space="440"/>
            <w:col w:w="10120"/>
          </w:cols>
          <w:pgMar w:left="248" w:top="348" w:right="239" w:bottom="1440" w:gutter="0" w:footer="0" w:header="0"/>
          <w:type w:val="continuous"/>
        </w:sectPr>
      </w:pPr>
    </w:p>
    <w:p>
      <w:pPr>
        <w:spacing w:after="0" w:line="60" w:lineRule="exact"/>
        <w:rPr>
          <w:sz w:val="20"/>
          <w:szCs w:val="20"/>
          <w:color w:val="auto"/>
        </w:rPr>
      </w:pPr>
    </w:p>
    <w:p>
      <w:pPr>
        <w:jc w:val="both"/>
        <w:ind w:left="652" w:hanging="652"/>
        <w:spacing w:after="0" w:line="250" w:lineRule="auto"/>
        <w:tabs>
          <w:tab w:leader="none" w:pos="652" w:val="left"/>
        </w:tabs>
        <w:numPr>
          <w:ilvl w:val="0"/>
          <w:numId w:val="81"/>
        </w:numPr>
        <w:rPr>
          <w:rFonts w:ascii="Arial" w:cs="Arial" w:eastAsia="Arial" w:hAnsi="Arial"/>
          <w:sz w:val="22"/>
          <w:szCs w:val="22"/>
          <w:color w:val="auto"/>
        </w:rPr>
      </w:pPr>
      <w:r>
        <w:rPr>
          <w:rFonts w:ascii="Arial" w:cs="Arial" w:eastAsia="Arial" w:hAnsi="Arial"/>
          <w:sz w:val="22"/>
          <w:szCs w:val="22"/>
          <w:color w:val="auto"/>
        </w:rPr>
        <w:t>Employee shall have a period of 21 calendar days (“the Consideration Period”) from the date he is presented with this Release to consider the Release’s terms and consequences before executing the Release. Employee is not required to let the full Consideration Period elapse before executing the Release; the Release may be executed on any date within the Consideration Period.</w:t>
      </w:r>
    </w:p>
    <w:p>
      <w:pPr>
        <w:spacing w:after="0" w:line="228" w:lineRule="exact"/>
        <w:rPr>
          <w:rFonts w:ascii="Arial" w:cs="Arial" w:eastAsia="Arial" w:hAnsi="Arial"/>
          <w:sz w:val="22"/>
          <w:szCs w:val="22"/>
          <w:color w:val="auto"/>
        </w:rPr>
      </w:pPr>
    </w:p>
    <w:p>
      <w:pPr>
        <w:jc w:val="both"/>
        <w:ind w:left="652" w:hanging="652"/>
        <w:spacing w:after="0" w:line="247" w:lineRule="auto"/>
        <w:tabs>
          <w:tab w:leader="none" w:pos="652"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Employee and Employer agree that Employee may revoke the Release for any reason at any time during the seven calendar days immediately following Employee’s execution of the Release ("the Revocation Period"). To revoke this Release, Employee must cause written notice of his intent to revoke this Release to be delivered to Pablo Brizi at Employer’s </w:t>
      </w:r>
      <w:r>
        <w:rPr>
          <w:rFonts w:ascii="Arial" w:cs="Arial" w:eastAsia="Arial" w:hAnsi="Arial"/>
          <w:sz w:val="21"/>
          <w:szCs w:val="21"/>
          <w:color w:val="0D0D0D"/>
        </w:rPr>
        <w:t>Restaurant Support Center</w:t>
      </w:r>
      <w:r>
        <w:rPr>
          <w:rFonts w:ascii="Arial" w:cs="Arial" w:eastAsia="Arial" w:hAnsi="Arial"/>
          <w:sz w:val="21"/>
          <w:szCs w:val="21"/>
          <w:color w:val="000000"/>
        </w:rPr>
        <w:t>, 2202 N. Westshore Boulevard, 5</w:t>
      </w:r>
      <w:r>
        <w:rPr>
          <w:rFonts w:ascii="Arial" w:cs="Arial" w:eastAsia="Arial" w:hAnsi="Arial"/>
          <w:sz w:val="27"/>
          <w:szCs w:val="27"/>
          <w:color w:val="000000"/>
          <w:vertAlign w:val="superscript"/>
        </w:rPr>
        <w:t>th</w:t>
      </w:r>
      <w:r>
        <w:rPr>
          <w:rFonts w:ascii="Arial" w:cs="Arial" w:eastAsia="Arial" w:hAnsi="Arial"/>
          <w:sz w:val="21"/>
          <w:szCs w:val="21"/>
          <w:color w:val="0D0D0D"/>
        </w:rPr>
        <w:t xml:space="preserve"> </w:t>
      </w:r>
      <w:r>
        <w:rPr>
          <w:rFonts w:ascii="Arial" w:cs="Arial" w:eastAsia="Arial" w:hAnsi="Arial"/>
          <w:sz w:val="21"/>
          <w:szCs w:val="21"/>
          <w:color w:val="000000"/>
        </w:rPr>
        <w:t>Floor, Tampa, FL 33607, within the Revocation Period. This</w:t>
      </w:r>
      <w:r>
        <w:rPr>
          <w:rFonts w:ascii="Arial" w:cs="Arial" w:eastAsia="Arial" w:hAnsi="Arial"/>
          <w:sz w:val="21"/>
          <w:szCs w:val="21"/>
          <w:color w:val="0D0D0D"/>
        </w:rPr>
        <w:t xml:space="preserve"> </w:t>
      </w:r>
      <w:r>
        <w:rPr>
          <w:rFonts w:ascii="Arial" w:cs="Arial" w:eastAsia="Arial" w:hAnsi="Arial"/>
          <w:sz w:val="21"/>
          <w:szCs w:val="21"/>
          <w:color w:val="000000"/>
        </w:rPr>
        <w:t>Release shall not become effective or enforceable until the Revocation Period has expired without such notice having been delivered to Employer in the specified manner.</w:t>
      </w:r>
    </w:p>
    <w:p>
      <w:pPr>
        <w:spacing w:after="0" w:line="234" w:lineRule="exact"/>
        <w:rPr>
          <w:rFonts w:ascii="Arial" w:cs="Arial" w:eastAsia="Arial" w:hAnsi="Arial"/>
          <w:sz w:val="21"/>
          <w:szCs w:val="21"/>
          <w:color w:val="auto"/>
        </w:rPr>
      </w:pPr>
    </w:p>
    <w:p>
      <w:pPr>
        <w:ind w:left="652" w:hanging="652"/>
        <w:spacing w:after="0"/>
        <w:tabs>
          <w:tab w:leader="none" w:pos="652" w:val="left"/>
        </w:tabs>
        <w:numPr>
          <w:ilvl w:val="0"/>
          <w:numId w:val="81"/>
        </w:numPr>
        <w:rPr>
          <w:rFonts w:ascii="Arial" w:cs="Arial" w:eastAsia="Arial" w:hAnsi="Arial"/>
          <w:sz w:val="22"/>
          <w:szCs w:val="22"/>
          <w:color w:val="auto"/>
        </w:rPr>
      </w:pPr>
      <w:r>
        <w:rPr>
          <w:rFonts w:ascii="Arial" w:cs="Arial" w:eastAsia="Arial" w:hAnsi="Arial"/>
          <w:sz w:val="22"/>
          <w:szCs w:val="22"/>
          <w:color w:val="auto"/>
        </w:rPr>
        <w:t>Employee agrees that each of the following statements is truthful and accurate:</w:t>
      </w:r>
    </w:p>
    <w:p>
      <w:pPr>
        <w:sectPr>
          <w:pgSz w:w="11900" w:h="16838" w:orient="portrait"/>
          <w:cols w:equalWidth="0" w:num="1">
            <w:col w:w="11412"/>
          </w:cols>
          <w:pgMar w:left="248" w:top="348" w:right="239" w:bottom="1440" w:gutter="0" w:footer="0" w:header="0"/>
          <w:type w:val="continuous"/>
        </w:sectPr>
      </w:pPr>
    </w:p>
    <w:p>
      <w:pPr>
        <w:spacing w:after="0" w:line="26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Employee is of sound mind and body.</w:t>
      </w:r>
    </w:p>
    <w:p>
      <w:pPr>
        <w:spacing w:after="0" w:line="200" w:lineRule="exact"/>
        <w:rPr>
          <w:sz w:val="20"/>
          <w:szCs w:val="20"/>
          <w:color w:val="auto"/>
        </w:rPr>
      </w:pPr>
    </w:p>
    <w:p>
      <w:pPr>
        <w:sectPr>
          <w:pgSz w:w="11900" w:h="16838" w:orient="portrait"/>
          <w:cols w:equalWidth="0" w:num="2">
            <w:col w:w="872" w:space="420"/>
            <w:col w:w="10120"/>
          </w:cols>
          <w:pgMar w:left="248" w:top="348" w:right="239" w:bottom="1440" w:gutter="0" w:footer="0" w:header="0"/>
          <w:type w:val="continuous"/>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Employee has sufficient education and experience to make choices for himself that may affect his legal rights.</w:t>
      </w:r>
    </w:p>
    <w:p>
      <w:pPr>
        <w:spacing w:after="0" w:line="200" w:lineRule="exact"/>
        <w:rPr>
          <w:sz w:val="20"/>
          <w:szCs w:val="20"/>
          <w:color w:val="auto"/>
        </w:rPr>
      </w:pPr>
    </w:p>
    <w:p>
      <w:pPr>
        <w:sectPr>
          <w:pgSz w:w="11900" w:h="16838" w:orient="portrait"/>
          <w:cols w:equalWidth="0" w:num="2">
            <w:col w:w="892" w:space="400"/>
            <w:col w:w="10120"/>
          </w:cols>
          <w:pgMar w:left="248" w:top="348" w:right="239" w:bottom="1440" w:gutter="0" w:footer="0" w:header="0"/>
          <w:type w:val="continuous"/>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Employee has full legal capacity to make decisions for himself.</w:t>
      </w:r>
    </w:p>
    <w:p>
      <w:pPr>
        <w:spacing w:after="0" w:line="200" w:lineRule="exact"/>
        <w:rPr>
          <w:sz w:val="20"/>
          <w:szCs w:val="20"/>
          <w:color w:val="auto"/>
        </w:rPr>
      </w:pPr>
    </w:p>
    <w:p>
      <w:pPr>
        <w:sectPr>
          <w:pgSz w:w="11900" w:h="16838" w:orient="portrait"/>
          <w:cols w:equalWidth="0" w:num="2">
            <w:col w:w="872" w:space="420"/>
            <w:col w:w="10120"/>
          </w:cols>
          <w:pgMar w:left="248" w:top="3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312"/>
        <w:spacing w:after="0"/>
        <w:tabs>
          <w:tab w:leader="none" w:pos="8592" w:val="left"/>
        </w:tabs>
        <w:rPr>
          <w:sz w:val="20"/>
          <w:szCs w:val="20"/>
          <w:color w:val="auto"/>
        </w:rPr>
      </w:pPr>
      <w:r>
        <w:rPr>
          <w:rFonts w:ascii="Arial" w:cs="Arial" w:eastAsia="Arial" w:hAnsi="Arial"/>
          <w:sz w:val="18"/>
          <w:szCs w:val="18"/>
          <w:color w:val="auto"/>
        </w:rPr>
        <w:t>Page 7 of 10</w:t>
      </w:r>
      <w:r>
        <w:rPr>
          <w:sz w:val="20"/>
          <w:szCs w:val="20"/>
          <w:color w:val="auto"/>
        </w:rPr>
        <w:tab/>
      </w:r>
      <w:r>
        <w:rPr>
          <w:rFonts w:ascii="Arial" w:cs="Arial" w:eastAsia="Arial" w:hAnsi="Arial"/>
          <w:sz w:val="16"/>
          <w:szCs w:val="16"/>
          <w:color w:val="auto"/>
        </w:rPr>
        <w:t xml:space="preserve">Employee Initials: </w:t>
      </w:r>
      <w:r>
        <w:rPr>
          <w:rFonts w:ascii="Arial" w:cs="Arial" w:eastAsia="Arial" w:hAnsi="Arial"/>
          <w:sz w:val="16"/>
          <w:szCs w:val="16"/>
          <w:b w:val="1"/>
          <w:bCs w:val="1"/>
          <w:u w:val="single" w:color="auto"/>
          <w:color w:val="auto"/>
        </w:rPr>
        <w:t>/s/ DH</w:t>
      </w:r>
    </w:p>
    <w:p>
      <w:pPr>
        <w:sectPr>
          <w:pgSz w:w="11900" w:h="16838" w:orient="portrait"/>
          <w:cols w:equalWidth="0" w:num="1">
            <w:col w:w="11412"/>
          </w:cols>
          <w:pgMar w:left="248" w:top="348" w:right="239" w:bottom="1440" w:gutter="0" w:footer="0" w:header="0"/>
          <w:type w:val="continuous"/>
        </w:sectPr>
      </w:pPr>
    </w:p>
    <w:bookmarkStart w:id="118" w:name="page119"/>
    <w:bookmarkEnd w:id="118"/>
    <w:p>
      <w:pPr>
        <w:ind w:left="652"/>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Employee is aware that this Release has significant legal consequences.</w:t>
      </w:r>
    </w:p>
    <w:p>
      <w:pPr>
        <w:spacing w:after="0" w:line="200" w:lineRule="exact"/>
        <w:rPr>
          <w:sz w:val="20"/>
          <w:szCs w:val="20"/>
          <w:color w:val="auto"/>
        </w:rPr>
      </w:pPr>
    </w:p>
    <w:p>
      <w:pPr>
        <w:sectPr>
          <w:pgSz w:w="11900" w:h="16838" w:orient="portrait"/>
          <w:cols w:equalWidth="0" w:num="2">
            <w:col w:w="892" w:space="400"/>
            <w:col w:w="10120"/>
          </w:cols>
          <w:pgMar w:left="248" w:top="348" w:right="239" w:bottom="1440" w:gutter="0" w:footer="0" w:header="0"/>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Employee has been advised to consider consulting with an attorney of his choice prior to signing this Release.</w:t>
      </w:r>
    </w:p>
    <w:p>
      <w:pPr>
        <w:spacing w:after="0" w:line="200" w:lineRule="exact"/>
        <w:rPr>
          <w:sz w:val="20"/>
          <w:szCs w:val="20"/>
          <w:color w:val="auto"/>
        </w:rPr>
      </w:pPr>
    </w:p>
    <w:p>
      <w:pPr>
        <w:sectPr>
          <w:pgSz w:w="11900" w:h="16838" w:orient="portrait"/>
          <w:cols w:equalWidth="0" w:num="2">
            <w:col w:w="872" w:space="420"/>
            <w:col w:w="10120"/>
          </w:cols>
          <w:pgMar w:left="248" w:top="348" w:right="239" w:bottom="1440" w:gutter="0" w:footer="0" w:header="0"/>
          <w:type w:val="continuous"/>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Employee has decided to sign this Release of his own free will, and his decision to sign this Release has not been unduly influenced or controlled by any mental or emotional impairment or condition.</w:t>
      </w:r>
    </w:p>
    <w:p>
      <w:pPr>
        <w:spacing w:after="0" w:line="200" w:lineRule="exact"/>
        <w:rPr>
          <w:sz w:val="20"/>
          <w:szCs w:val="20"/>
          <w:color w:val="auto"/>
        </w:rPr>
      </w:pPr>
    </w:p>
    <w:p>
      <w:pPr>
        <w:sectPr>
          <w:pgSz w:w="11900" w:h="16838" w:orient="portrait"/>
          <w:cols w:equalWidth="0" w:num="2">
            <w:col w:w="852" w:space="440"/>
            <w:col w:w="10120"/>
          </w:cols>
          <w:pgMar w:left="248" w:top="348" w:right="239" w:bottom="1440" w:gutter="0" w:footer="0" w:header="0"/>
          <w:type w:val="continuous"/>
        </w:sectPr>
      </w:pPr>
    </w:p>
    <w:p>
      <w:pPr>
        <w:spacing w:after="0" w:line="1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Employee is not executing this Release because of any duress or coercion imposed on him by anyone.</w:t>
      </w:r>
    </w:p>
    <w:p>
      <w:pPr>
        <w:spacing w:after="0" w:line="200" w:lineRule="exact"/>
        <w:rPr>
          <w:sz w:val="20"/>
          <w:szCs w:val="20"/>
          <w:color w:val="auto"/>
        </w:rPr>
      </w:pPr>
    </w:p>
    <w:p>
      <w:pPr>
        <w:sectPr>
          <w:pgSz w:w="11900" w:h="16838" w:orient="portrait"/>
          <w:cols w:equalWidth="0" w:num="2">
            <w:col w:w="892" w:space="400"/>
            <w:col w:w="10120"/>
          </w:cols>
          <w:pgMar w:left="248" w:top="348" w:right="239" w:bottom="1440" w:gutter="0" w:footer="0" w:header="0"/>
          <w:type w:val="continuous"/>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h.)</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Employee acknowledges that he has not compromised any claim for unpaid wages under the Fair Labor Standards Act as he has received full compensation for all hours worked, at the appropriate rate of pay, and no other wages, overtime, compensation, benefits, or other amounts are due and owing.</w:t>
      </w:r>
    </w:p>
    <w:p>
      <w:pPr>
        <w:spacing w:after="0" w:line="200" w:lineRule="exact"/>
        <w:rPr>
          <w:sz w:val="20"/>
          <w:szCs w:val="20"/>
          <w:color w:val="auto"/>
        </w:rPr>
      </w:pPr>
    </w:p>
    <w:p>
      <w:pPr>
        <w:sectPr>
          <w:pgSz w:w="11900" w:h="16838" w:orient="portrait"/>
          <w:cols w:equalWidth="0" w:num="2">
            <w:col w:w="892" w:space="400"/>
            <w:col w:w="10120"/>
          </w:cols>
          <w:pgMar w:left="248" w:top="348" w:right="239" w:bottom="1440" w:gutter="0" w:footer="0" w:header="0"/>
          <w:type w:val="continuous"/>
        </w:sectPr>
      </w:pPr>
    </w:p>
    <w:p>
      <w:pPr>
        <w:spacing w:after="0" w:line="26" w:lineRule="exact"/>
        <w:rPr>
          <w:sz w:val="20"/>
          <w:szCs w:val="20"/>
          <w:color w:val="auto"/>
        </w:rPr>
      </w:pPr>
    </w:p>
    <w:p>
      <w:pPr>
        <w:jc w:val="both"/>
        <w:ind w:left="652" w:hanging="652"/>
        <w:spacing w:after="0" w:line="259" w:lineRule="auto"/>
        <w:tabs>
          <w:tab w:leader="none" w:pos="652" w:val="left"/>
        </w:tabs>
        <w:numPr>
          <w:ilvl w:val="0"/>
          <w:numId w:val="82"/>
        </w:numPr>
        <w:rPr>
          <w:rFonts w:ascii="Arial" w:cs="Arial" w:eastAsia="Arial" w:hAnsi="Arial"/>
          <w:sz w:val="21"/>
          <w:szCs w:val="21"/>
          <w:color w:val="auto"/>
        </w:rPr>
      </w:pPr>
      <w:r>
        <w:rPr>
          <w:rFonts w:ascii="Arial" w:cs="Arial" w:eastAsia="Arial" w:hAnsi="Arial"/>
          <w:sz w:val="21"/>
          <w:szCs w:val="21"/>
          <w:color w:val="auto"/>
        </w:rPr>
        <w:t>Employee represents that he has not sold, transferred, or assigned to a third party any claims that he may have against Employer and its Releasees. Employee represents that any claims that he may have against Employer and its Releasees are unencumbered and otherwise within his power to dispose of. Employee represents that he does not have any pending lawsuits, claims, or actions against Employer and its Releasees, or that if he does, he has fully disclosed such lawsuits, claims, or actions to Employer prior to executing this Release. Employee further represents that he has not suffered any injuries, illnesses, or accidents in the course of his employment other than those he has previously disclosed to Employer, and that any previously disclosed injuries, illnesses, or accidents are included within the scope of the claims settled by this Release.</w:t>
      </w:r>
    </w:p>
    <w:p>
      <w:pPr>
        <w:spacing w:after="0" w:line="224" w:lineRule="exact"/>
        <w:rPr>
          <w:rFonts w:ascii="Arial" w:cs="Arial" w:eastAsia="Arial" w:hAnsi="Arial"/>
          <w:sz w:val="21"/>
          <w:szCs w:val="21"/>
          <w:color w:val="auto"/>
        </w:rPr>
      </w:pPr>
    </w:p>
    <w:p>
      <w:pPr>
        <w:jc w:val="both"/>
        <w:ind w:left="652" w:hanging="652"/>
        <w:spacing w:after="0" w:line="253" w:lineRule="auto"/>
        <w:tabs>
          <w:tab w:leader="none" w:pos="652" w:val="left"/>
        </w:tabs>
        <w:numPr>
          <w:ilvl w:val="0"/>
          <w:numId w:val="82"/>
        </w:numPr>
        <w:rPr>
          <w:rFonts w:ascii="Arial" w:cs="Arial" w:eastAsia="Arial" w:hAnsi="Arial"/>
          <w:sz w:val="22"/>
          <w:szCs w:val="22"/>
          <w:color w:val="auto"/>
        </w:rPr>
      </w:pPr>
      <w:r>
        <w:rPr>
          <w:rFonts w:ascii="Arial" w:cs="Arial" w:eastAsia="Arial" w:hAnsi="Arial"/>
          <w:sz w:val="22"/>
          <w:szCs w:val="22"/>
          <w:color w:val="auto"/>
        </w:rPr>
        <w:t>Employee has returned all property of Employer and its affiliates in Employee’s possession, including but not limited to, training materials, laptop computers, customer correspondence, sales information, company discount card and gift cards. All such materials are the exclusive property of the Employer.</w:t>
      </w:r>
    </w:p>
    <w:p>
      <w:pPr>
        <w:spacing w:after="0" w:line="226" w:lineRule="exact"/>
        <w:rPr>
          <w:rFonts w:ascii="Arial" w:cs="Arial" w:eastAsia="Arial" w:hAnsi="Arial"/>
          <w:sz w:val="22"/>
          <w:szCs w:val="22"/>
          <w:color w:val="auto"/>
        </w:rPr>
      </w:pPr>
    </w:p>
    <w:p>
      <w:pPr>
        <w:jc w:val="both"/>
        <w:ind w:left="652" w:hanging="652"/>
        <w:spacing w:after="0" w:line="289" w:lineRule="auto"/>
        <w:tabs>
          <w:tab w:leader="none" w:pos="652" w:val="left"/>
        </w:tabs>
        <w:numPr>
          <w:ilvl w:val="0"/>
          <w:numId w:val="82"/>
        </w:numPr>
        <w:rPr>
          <w:rFonts w:ascii="Arial" w:cs="Arial" w:eastAsia="Arial" w:hAnsi="Arial"/>
          <w:sz w:val="19"/>
          <w:szCs w:val="19"/>
          <w:color w:val="auto"/>
        </w:rPr>
      </w:pPr>
      <w:r>
        <w:rPr>
          <w:rFonts w:ascii="Arial" w:cs="Arial" w:eastAsia="Arial" w:hAnsi="Arial"/>
          <w:sz w:val="19"/>
          <w:szCs w:val="19"/>
          <w:color w:val="auto"/>
        </w:rPr>
        <w:t>Commencing on the Separation Date, Employee shall not, individually or jointly with others, directly or indirectly, whether for Employee’s own account or for any other person or entity, engage in or own or hold any ownership interest in any of the following companies, or any franchisee of those companies: Brinker International, Cheesecake Factory, Chipotle Mexican Grill, Cracker Barrel, Darden Restaurants, Dine Brands Global, Domino’s Pizza, Jack in the Box, Texas Roadhouse, Wendy’s, YUM! Brands. Employee shall not act as an officer, director, employee, partner, independent contractor, consultant, principal, agent, proprietor or in any other capacity for, nor lend any assistance (financial or otherwise) or cooperation to, any of the aforementioned companies for a continuous period of twelve months. It shall not be a violation for Employee to own a one percent (1%) or smaller interest in any corporation required to file periodic reports with the Securities and Exchange Commission pursuant to the Securities Exchange Act of 1934, as amended or successor statute.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312"/>
        <w:spacing w:after="0"/>
        <w:tabs>
          <w:tab w:leader="none" w:pos="8592" w:val="left"/>
        </w:tabs>
        <w:rPr>
          <w:sz w:val="20"/>
          <w:szCs w:val="20"/>
          <w:color w:val="auto"/>
        </w:rPr>
      </w:pPr>
      <w:r>
        <w:rPr>
          <w:rFonts w:ascii="Arial" w:cs="Arial" w:eastAsia="Arial" w:hAnsi="Arial"/>
          <w:sz w:val="18"/>
          <w:szCs w:val="18"/>
          <w:color w:val="auto"/>
        </w:rPr>
        <w:t>Page 8 of 10</w:t>
      </w:r>
      <w:r>
        <w:rPr>
          <w:sz w:val="20"/>
          <w:szCs w:val="20"/>
          <w:color w:val="auto"/>
        </w:rPr>
        <w:tab/>
      </w:r>
      <w:r>
        <w:rPr>
          <w:rFonts w:ascii="Arial" w:cs="Arial" w:eastAsia="Arial" w:hAnsi="Arial"/>
          <w:sz w:val="16"/>
          <w:szCs w:val="16"/>
          <w:color w:val="auto"/>
        </w:rPr>
        <w:t xml:space="preserve">Employee Initials: </w:t>
      </w:r>
      <w:r>
        <w:rPr>
          <w:rFonts w:ascii="Arial" w:cs="Arial" w:eastAsia="Arial" w:hAnsi="Arial"/>
          <w:sz w:val="16"/>
          <w:szCs w:val="16"/>
          <w:b w:val="1"/>
          <w:bCs w:val="1"/>
          <w:u w:val="single" w:color="auto"/>
          <w:color w:val="auto"/>
        </w:rPr>
        <w:t>/s/ DH</w:t>
      </w:r>
    </w:p>
    <w:p>
      <w:pPr>
        <w:sectPr>
          <w:pgSz w:w="11900" w:h="16838" w:orient="portrait"/>
          <w:cols w:equalWidth="0" w:num="1">
            <w:col w:w="11412"/>
          </w:cols>
          <w:pgMar w:left="248" w:top="348" w:right="239" w:bottom="1440" w:gutter="0" w:footer="0" w:header="0"/>
          <w:type w:val="continuous"/>
        </w:sectPr>
      </w:pPr>
    </w:p>
    <w:bookmarkStart w:id="119" w:name="page120"/>
    <w:bookmarkEnd w:id="119"/>
    <w:p>
      <w:pPr>
        <w:jc w:val="both"/>
        <w:ind w:left="652" w:hanging="652"/>
        <w:spacing w:after="0" w:line="259" w:lineRule="auto"/>
        <w:tabs>
          <w:tab w:leader="none" w:pos="652" w:val="left"/>
        </w:tabs>
        <w:numPr>
          <w:ilvl w:val="0"/>
          <w:numId w:val="83"/>
        </w:numPr>
        <w:rPr>
          <w:rFonts w:ascii="Arial" w:cs="Arial" w:eastAsia="Arial" w:hAnsi="Arial"/>
          <w:sz w:val="21"/>
          <w:szCs w:val="21"/>
          <w:color w:val="auto"/>
        </w:rPr>
      </w:pPr>
      <w:r>
        <w:rPr>
          <w:rFonts w:ascii="Arial" w:cs="Arial" w:eastAsia="Arial" w:hAnsi="Arial"/>
          <w:sz w:val="21"/>
          <w:szCs w:val="21"/>
          <w:color w:val="auto"/>
        </w:rPr>
        <w:t>Employee shall not, individually or jointly with others, for the benefit of the Employee or any third party, publish, disclose, use or authorize anyone else to publish, disclose or use any secret or confidential material or information relating to any aspect of the business or operations of the Employer or any of its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or any of its affiliates, except (i) to the extent required by law, regulation or valid subpoena, or (ii) to the extent that such information or material becomes publicly known or available through no fault of the Employee.</w:t>
      </w:r>
    </w:p>
    <w:p>
      <w:pPr>
        <w:spacing w:after="0" w:line="224" w:lineRule="exact"/>
        <w:rPr>
          <w:rFonts w:ascii="Arial" w:cs="Arial" w:eastAsia="Arial" w:hAnsi="Arial"/>
          <w:sz w:val="21"/>
          <w:szCs w:val="21"/>
          <w:color w:val="auto"/>
        </w:rPr>
      </w:pPr>
    </w:p>
    <w:p>
      <w:pPr>
        <w:jc w:val="both"/>
        <w:ind w:left="652" w:hanging="652"/>
        <w:spacing w:after="0" w:line="260" w:lineRule="auto"/>
        <w:tabs>
          <w:tab w:leader="none" w:pos="652" w:val="left"/>
        </w:tabs>
        <w:numPr>
          <w:ilvl w:val="0"/>
          <w:numId w:val="83"/>
        </w:numPr>
        <w:rPr>
          <w:rFonts w:ascii="Arial" w:cs="Arial" w:eastAsia="Arial" w:hAnsi="Arial"/>
          <w:sz w:val="21"/>
          <w:szCs w:val="21"/>
          <w:color w:val="auto"/>
        </w:rPr>
      </w:pPr>
      <w:r>
        <w:rPr>
          <w:rFonts w:ascii="Arial" w:cs="Arial" w:eastAsia="Arial" w:hAnsi="Arial"/>
          <w:sz w:val="21"/>
          <w:szCs w:val="21"/>
          <w:color w:val="auto"/>
        </w:rPr>
        <w:t>Any and all prior understandings or agreements between Employee and Employer with respect to the subject matter of this Release are merged into this Release, which fully and completely expresses the entire agreement and understanding of the parties with respect to the subject matter hereof. Notwithstanding this provision, this Release shall not in any way diminish any obligation, duty or undertaking owed by the Employee to Employer because of any other contract or agreement or law. The rights and releases given to Employer in this Release will be in addition to, and not in place of, any and all other rights held by Employer by virtue of any other contract, agreement or undertaking, and to that extent, the obligations of the Employee survive the execution of this Release.</w:t>
      </w:r>
    </w:p>
    <w:p>
      <w:pPr>
        <w:spacing w:after="0" w:line="221" w:lineRule="exact"/>
        <w:rPr>
          <w:rFonts w:ascii="Arial" w:cs="Arial" w:eastAsia="Arial" w:hAnsi="Arial"/>
          <w:sz w:val="21"/>
          <w:szCs w:val="21"/>
          <w:color w:val="auto"/>
        </w:rPr>
      </w:pPr>
    </w:p>
    <w:p>
      <w:pPr>
        <w:jc w:val="both"/>
        <w:ind w:left="652" w:hanging="652"/>
        <w:spacing w:after="0" w:line="253" w:lineRule="auto"/>
        <w:tabs>
          <w:tab w:leader="none" w:pos="652"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 addition to any rights and remedies Employer provided by law, Employer has the right to set-off any amounts for any damages to Employer and/or its affiliates caused by Employee’s noncompliance with this Release, including as related to the non-solicitation provision.</w:t>
      </w:r>
    </w:p>
    <w:p>
      <w:pPr>
        <w:spacing w:after="0" w:line="226" w:lineRule="exact"/>
        <w:rPr>
          <w:rFonts w:ascii="Arial" w:cs="Arial" w:eastAsia="Arial" w:hAnsi="Arial"/>
          <w:sz w:val="22"/>
          <w:szCs w:val="22"/>
          <w:color w:val="auto"/>
        </w:rPr>
      </w:pPr>
    </w:p>
    <w:p>
      <w:pPr>
        <w:jc w:val="both"/>
        <w:ind w:left="652" w:hanging="652"/>
        <w:spacing w:after="0" w:line="248" w:lineRule="auto"/>
        <w:tabs>
          <w:tab w:leader="none" w:pos="652"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Release cannot be orally amended, modified, or changed. No change, amendment, or modification to the terms of this Release shall be valid unless such change, amendment, or modification is memorialized in a written agreement between the parties that expressly references this Release and identifies the provisions herein that are to be changed, amended, or modified. Such change, amendment, or modification must be signed by Employee and by duly authorized officers or representatives of Employer.</w:t>
      </w:r>
    </w:p>
    <w:p>
      <w:pPr>
        <w:spacing w:after="0" w:line="232" w:lineRule="exact"/>
        <w:rPr>
          <w:rFonts w:ascii="Arial" w:cs="Arial" w:eastAsia="Arial" w:hAnsi="Arial"/>
          <w:sz w:val="22"/>
          <w:szCs w:val="22"/>
          <w:color w:val="auto"/>
        </w:rPr>
      </w:pPr>
    </w:p>
    <w:p>
      <w:pPr>
        <w:jc w:val="both"/>
        <w:ind w:left="652" w:hanging="652"/>
        <w:spacing w:after="0" w:line="294" w:lineRule="auto"/>
        <w:tabs>
          <w:tab w:leader="none" w:pos="652"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This Release is made and entered into in the state of Florida, and shall in all respects be interpreted, enforced and governed under the laws of Florida. In the event of a breach of this Release by either party, the other party shall be entitled to seek enforcement of this Release exclusively before a state or federal court of competent jurisdiction located in Hillsborough County, Florida, and the state and federal courts located in Hillsborough County, Florida shall be deemed to have exclusive jurisdiction and venue over any litigation related to or arising from this Release. This Release shall not be construed to waive any right of removal that may apply to any action filed in state court by either party to this Release.</w:t>
      </w:r>
    </w:p>
    <w:p>
      <w:pPr>
        <w:spacing w:after="0" w:line="190" w:lineRule="exact"/>
        <w:rPr>
          <w:rFonts w:ascii="Arial" w:cs="Arial" w:eastAsia="Arial" w:hAnsi="Arial"/>
          <w:sz w:val="19"/>
          <w:szCs w:val="19"/>
          <w:color w:val="auto"/>
        </w:rPr>
      </w:pPr>
    </w:p>
    <w:p>
      <w:pPr>
        <w:ind w:left="652" w:hanging="652"/>
        <w:spacing w:after="0" w:line="263" w:lineRule="auto"/>
        <w:tabs>
          <w:tab w:leader="none" w:pos="652" w:val="left"/>
        </w:tabs>
        <w:numPr>
          <w:ilvl w:val="0"/>
          <w:numId w:val="83"/>
        </w:numPr>
        <w:rPr>
          <w:rFonts w:ascii="Arial" w:cs="Arial" w:eastAsia="Arial" w:hAnsi="Arial"/>
          <w:sz w:val="22"/>
          <w:szCs w:val="22"/>
          <w:color w:val="auto"/>
        </w:rPr>
      </w:pPr>
      <w:r>
        <w:rPr>
          <w:rFonts w:ascii="Arial" w:cs="Arial" w:eastAsia="Arial" w:hAnsi="Arial"/>
          <w:sz w:val="22"/>
          <w:szCs w:val="22"/>
          <w:color w:val="auto"/>
        </w:rPr>
        <w:t>At the conclusion of any litigation or dispute arising out of or related to this Release, the prevailing party may recover, in addition to damages, the costs and fees (including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12"/>
        <w:spacing w:after="0"/>
        <w:tabs>
          <w:tab w:leader="none" w:pos="8592" w:val="left"/>
        </w:tabs>
        <w:rPr>
          <w:sz w:val="20"/>
          <w:szCs w:val="20"/>
          <w:color w:val="auto"/>
        </w:rPr>
      </w:pPr>
      <w:r>
        <w:rPr>
          <w:rFonts w:ascii="Arial" w:cs="Arial" w:eastAsia="Arial" w:hAnsi="Arial"/>
          <w:sz w:val="18"/>
          <w:szCs w:val="18"/>
          <w:color w:val="auto"/>
        </w:rPr>
        <w:t>Page 9 of 10</w:t>
      </w:r>
      <w:r>
        <w:rPr>
          <w:sz w:val="20"/>
          <w:szCs w:val="20"/>
          <w:color w:val="auto"/>
        </w:rPr>
        <w:tab/>
      </w:r>
      <w:r>
        <w:rPr>
          <w:rFonts w:ascii="Arial" w:cs="Arial" w:eastAsia="Arial" w:hAnsi="Arial"/>
          <w:sz w:val="16"/>
          <w:szCs w:val="16"/>
          <w:color w:val="auto"/>
        </w:rPr>
        <w:t xml:space="preserve">Employee Initials: </w:t>
      </w:r>
      <w:r>
        <w:rPr>
          <w:rFonts w:ascii="Arial" w:cs="Arial" w:eastAsia="Arial" w:hAnsi="Arial"/>
          <w:sz w:val="16"/>
          <w:szCs w:val="16"/>
          <w:b w:val="1"/>
          <w:bCs w:val="1"/>
          <w:u w:val="single" w:color="auto"/>
          <w:color w:val="auto"/>
        </w:rPr>
        <w:t>/s/ DH</w:t>
      </w:r>
    </w:p>
    <w:p>
      <w:pPr>
        <w:sectPr>
          <w:pgSz w:w="11900" w:h="16838" w:orient="portrait"/>
          <w:cols w:equalWidth="0" w:num="1">
            <w:col w:w="11412"/>
          </w:cols>
          <w:pgMar w:left="248" w:top="348" w:right="239" w:bottom="1440" w:gutter="0" w:footer="0" w:header="0"/>
        </w:sectPr>
      </w:pPr>
    </w:p>
    <w:bookmarkStart w:id="120" w:name="page121"/>
    <w:bookmarkEnd w:id="120"/>
    <w:p>
      <w:pPr>
        <w:ind w:left="660"/>
        <w:spacing w:after="0"/>
        <w:rPr>
          <w:sz w:val="20"/>
          <w:szCs w:val="20"/>
          <w:color w:val="auto"/>
        </w:rPr>
      </w:pPr>
      <w:r>
        <w:rPr>
          <w:rFonts w:ascii="Arial" w:cs="Arial" w:eastAsia="Arial" w:hAnsi="Arial"/>
          <w:sz w:val="21"/>
          <w:szCs w:val="21"/>
          <w:color w:val="auto"/>
        </w:rPr>
        <w:t>attorney's fees, paralegal fees, and expert fees) reasonably incurred in connection with the litigation or dispute.</w:t>
      </w:r>
    </w:p>
    <w:p>
      <w:pPr>
        <w:spacing w:after="0" w:line="272" w:lineRule="exact"/>
        <w:rPr>
          <w:sz w:val="20"/>
          <w:szCs w:val="20"/>
          <w:color w:val="auto"/>
        </w:rPr>
      </w:pPr>
    </w:p>
    <w:p>
      <w:pPr>
        <w:jc w:val="both"/>
        <w:ind w:left="660" w:hanging="652"/>
        <w:spacing w:after="0" w:line="253" w:lineRule="auto"/>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language of all parts of this Release shall in all cases be construed as a whole, according to its fair meaning, and not strictly for or against any of the parties. As used in this Release, the singular or plural shall be deemed to include the other whenever the context so indicates or requires.</w:t>
      </w:r>
    </w:p>
    <w:p>
      <w:pPr>
        <w:spacing w:after="0" w:line="226"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Should any provision of this Release be declared or be determined by any court to be illegal or invalid, the remaining parts, terms or provisions shall remain valid unless declared otherwise by the court. Any part, term or provision which is determined to be illegal or invalid shall be deemed not to be a part of this Release.</w:t>
      </w:r>
    </w:p>
    <w:p>
      <w:pPr>
        <w:spacing w:after="0" w:line="226"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parties agree that a true copy of this Release may be used in any legal proceeding in place of the original and that any such true copy shall have the same effect as the original.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READ CAREFULLY. THIS GENERAL RELEASE INCLUDES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RELEASE OF ALL KNOWN AND UNKNOWN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840" w:type="dxa"/>
        <w:tblCellMar>
          <w:top w:w="0" w:type="dxa"/>
          <w:left w:w="0" w:type="dxa"/>
          <w:bottom w:w="0" w:type="dxa"/>
          <w:right w:w="0" w:type="dxa"/>
        </w:tblCellMar>
      </w:tblPr>
      <w:tr>
        <w:trPr>
          <w:trHeight w:val="275"/>
        </w:trPr>
        <w:tc>
          <w:tcPr>
            <w:tcW w:w="1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60" w:type="dxa"/>
            <w:vAlign w:val="bottom"/>
            <w:gridSpan w:val="3"/>
          </w:tcPr>
          <w:p>
            <w:pPr>
              <w:ind w:left="420"/>
              <w:spacing w:after="0"/>
              <w:rPr>
                <w:sz w:val="20"/>
                <w:szCs w:val="20"/>
                <w:color w:val="auto"/>
              </w:rPr>
            </w:pPr>
            <w:r>
              <w:rPr>
                <w:rFonts w:ascii="Arial" w:cs="Arial" w:eastAsia="Arial" w:hAnsi="Arial"/>
                <w:sz w:val="22"/>
                <w:szCs w:val="22"/>
                <w:color w:val="auto"/>
                <w:w w:val="97"/>
              </w:rPr>
              <w:t>Executed at Tampa, Florida this 28th day of January, 2020.</w:t>
            </w:r>
          </w:p>
        </w:tc>
      </w:tr>
      <w:tr>
        <w:trPr>
          <w:trHeight w:val="571"/>
        </w:trPr>
        <w:tc>
          <w:tcPr>
            <w:tcW w:w="1460" w:type="dxa"/>
            <w:vAlign w:val="bottom"/>
          </w:tcPr>
          <w:p>
            <w:pPr>
              <w:spacing w:after="0"/>
              <w:rPr>
                <w:sz w:val="20"/>
                <w:szCs w:val="20"/>
                <w:color w:val="auto"/>
              </w:rPr>
            </w:pPr>
            <w:r>
              <w:rPr>
                <w:rFonts w:ascii="Arial" w:cs="Arial" w:eastAsia="Arial" w:hAnsi="Arial"/>
                <w:sz w:val="22"/>
                <w:szCs w:val="22"/>
                <w:b w:val="1"/>
                <w:bCs w:val="1"/>
                <w:color w:val="auto"/>
                <w:w w:val="90"/>
              </w:rPr>
              <w:t>/s/ Amy Herlihy</w:t>
            </w:r>
          </w:p>
        </w:tc>
        <w:tc>
          <w:tcPr>
            <w:tcW w:w="440" w:type="dxa"/>
            <w:vAlign w:val="bottom"/>
          </w:tcPr>
          <w:p>
            <w:pPr>
              <w:spacing w:after="0"/>
              <w:rPr>
                <w:sz w:val="24"/>
                <w:szCs w:val="24"/>
                <w:color w:val="auto"/>
              </w:rPr>
            </w:pPr>
          </w:p>
        </w:tc>
        <w:tc>
          <w:tcPr>
            <w:tcW w:w="6060" w:type="dxa"/>
            <w:vAlign w:val="bottom"/>
            <w:gridSpan w:val="3"/>
          </w:tcPr>
          <w:p>
            <w:pPr>
              <w:ind w:left="3400"/>
              <w:spacing w:after="0"/>
              <w:rPr>
                <w:sz w:val="20"/>
                <w:szCs w:val="20"/>
                <w:color w:val="auto"/>
              </w:rPr>
            </w:pPr>
            <w:r>
              <w:rPr>
                <w:rFonts w:ascii="Arial" w:cs="Arial" w:eastAsia="Arial" w:hAnsi="Arial"/>
                <w:sz w:val="22"/>
                <w:szCs w:val="22"/>
                <w:b w:val="1"/>
                <w:bCs w:val="1"/>
                <w:color w:val="auto"/>
              </w:rPr>
              <w:t>/s/ Donagh Herlihy</w:t>
            </w:r>
          </w:p>
        </w:tc>
      </w:tr>
      <w:tr>
        <w:trPr>
          <w:trHeight w:val="20"/>
        </w:trPr>
        <w:tc>
          <w:tcPr>
            <w:tcW w:w="1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28"/>
        </w:trPr>
        <w:tc>
          <w:tcPr>
            <w:tcW w:w="1460" w:type="dxa"/>
            <w:vAlign w:val="bottom"/>
          </w:tcPr>
          <w:p>
            <w:pPr>
              <w:spacing w:after="0"/>
              <w:rPr>
                <w:sz w:val="20"/>
                <w:szCs w:val="20"/>
                <w:color w:val="auto"/>
              </w:rPr>
            </w:pPr>
            <w:r>
              <w:rPr>
                <w:rFonts w:ascii="Arial" w:cs="Arial" w:eastAsia="Arial" w:hAnsi="Arial"/>
                <w:sz w:val="22"/>
                <w:szCs w:val="22"/>
                <w:color w:val="auto"/>
              </w:rPr>
              <w:t>Witness</w:t>
            </w:r>
          </w:p>
        </w:tc>
        <w:tc>
          <w:tcPr>
            <w:tcW w:w="440" w:type="dxa"/>
            <w:vAlign w:val="bottom"/>
          </w:tcPr>
          <w:p>
            <w:pPr>
              <w:spacing w:after="0"/>
              <w:rPr>
                <w:sz w:val="24"/>
                <w:szCs w:val="24"/>
                <w:color w:val="auto"/>
              </w:rPr>
            </w:pPr>
          </w:p>
        </w:tc>
        <w:tc>
          <w:tcPr>
            <w:tcW w:w="6060" w:type="dxa"/>
            <w:vAlign w:val="bottom"/>
            <w:gridSpan w:val="3"/>
          </w:tcPr>
          <w:p>
            <w:pPr>
              <w:ind w:left="3400"/>
              <w:spacing w:after="0"/>
              <w:rPr>
                <w:sz w:val="20"/>
                <w:szCs w:val="20"/>
                <w:color w:val="auto"/>
              </w:rPr>
            </w:pPr>
            <w:r>
              <w:rPr>
                <w:rFonts w:ascii="Arial" w:cs="Arial" w:eastAsia="Arial" w:hAnsi="Arial"/>
                <w:sz w:val="22"/>
                <w:szCs w:val="22"/>
                <w:color w:val="auto"/>
                <w:w w:val="90"/>
              </w:rPr>
              <w:t>Donagh M. Herlihy, Employee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840" w:type="dxa"/>
        <w:tblCellMar>
          <w:top w:w="0" w:type="dxa"/>
          <w:left w:w="0" w:type="dxa"/>
          <w:bottom w:w="0" w:type="dxa"/>
          <w:right w:w="0" w:type="dxa"/>
        </w:tblCellMar>
      </w:tblPr>
      <w:tr>
        <w:trPr>
          <w:trHeight w:val="275"/>
        </w:trPr>
        <w:tc>
          <w:tcPr>
            <w:tcW w:w="1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740" w:type="dxa"/>
            <w:vAlign w:val="bottom"/>
            <w:gridSpan w:val="3"/>
          </w:tcPr>
          <w:p>
            <w:pPr>
              <w:ind w:left="500"/>
              <w:spacing w:after="0"/>
              <w:rPr>
                <w:sz w:val="20"/>
                <w:szCs w:val="20"/>
                <w:color w:val="auto"/>
              </w:rPr>
            </w:pPr>
            <w:r>
              <w:rPr>
                <w:rFonts w:ascii="Arial" w:cs="Arial" w:eastAsia="Arial" w:hAnsi="Arial"/>
                <w:sz w:val="22"/>
                <w:szCs w:val="22"/>
                <w:color w:val="auto"/>
                <w:w w:val="88"/>
              </w:rPr>
              <w:t>Executed at Tampa, Florida this 28th day of February, 2020.</w:t>
            </w:r>
          </w:p>
        </w:tc>
      </w:tr>
      <w:tr>
        <w:trPr>
          <w:trHeight w:val="621"/>
        </w:trPr>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40" w:type="dxa"/>
            <w:vAlign w:val="bottom"/>
            <w:gridSpan w:val="3"/>
          </w:tcPr>
          <w:p>
            <w:pPr>
              <w:ind w:left="3520"/>
              <w:spacing w:after="0"/>
              <w:rPr>
                <w:sz w:val="20"/>
                <w:szCs w:val="20"/>
                <w:color w:val="auto"/>
              </w:rPr>
            </w:pPr>
            <w:r>
              <w:rPr>
                <w:rFonts w:ascii="Arial" w:cs="Arial" w:eastAsia="Arial" w:hAnsi="Arial"/>
                <w:sz w:val="22"/>
                <w:szCs w:val="22"/>
                <w:color w:val="auto"/>
              </w:rPr>
              <w:t>EMPLOYER</w:t>
            </w:r>
          </w:p>
        </w:tc>
      </w:tr>
      <w:tr>
        <w:trPr>
          <w:trHeight w:val="571"/>
        </w:trPr>
        <w:tc>
          <w:tcPr>
            <w:tcW w:w="1780" w:type="dxa"/>
            <w:vAlign w:val="bottom"/>
            <w:gridSpan w:val="2"/>
          </w:tcPr>
          <w:p>
            <w:pPr>
              <w:spacing w:after="0"/>
              <w:rPr>
                <w:sz w:val="20"/>
                <w:szCs w:val="20"/>
                <w:color w:val="auto"/>
              </w:rPr>
            </w:pPr>
            <w:r>
              <w:rPr>
                <w:rFonts w:ascii="Arial" w:cs="Arial" w:eastAsia="Arial" w:hAnsi="Arial"/>
                <w:sz w:val="22"/>
                <w:szCs w:val="22"/>
                <w:b w:val="1"/>
                <w:bCs w:val="1"/>
                <w:color w:val="auto"/>
              </w:rPr>
              <w:t>/s/ Pablo Brizi</w:t>
            </w:r>
          </w:p>
        </w:tc>
        <w:tc>
          <w:tcPr>
            <w:tcW w:w="5740" w:type="dxa"/>
            <w:vAlign w:val="bottom"/>
            <w:gridSpan w:val="3"/>
          </w:tcPr>
          <w:p>
            <w:pPr>
              <w:ind w:left="35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color w:val="auto"/>
              </w:rPr>
              <w:t>/s/ Kelly Lefferts</w:t>
            </w:r>
          </w:p>
        </w:tc>
      </w:tr>
      <w:tr>
        <w:trPr>
          <w:trHeight w:val="20"/>
        </w:trPr>
        <w:tc>
          <w:tcPr>
            <w:tcW w:w="1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8"/>
        </w:trPr>
        <w:tc>
          <w:tcPr>
            <w:tcW w:w="1280" w:type="dxa"/>
            <w:vAlign w:val="bottom"/>
          </w:tcPr>
          <w:p>
            <w:pPr>
              <w:spacing w:after="0"/>
              <w:rPr>
                <w:sz w:val="20"/>
                <w:szCs w:val="20"/>
                <w:color w:val="auto"/>
              </w:rPr>
            </w:pPr>
            <w:r>
              <w:rPr>
                <w:rFonts w:ascii="Arial" w:cs="Arial" w:eastAsia="Arial" w:hAnsi="Arial"/>
                <w:sz w:val="22"/>
                <w:szCs w:val="22"/>
                <w:color w:val="auto"/>
              </w:rPr>
              <w:t>Witness</w:t>
            </w:r>
          </w:p>
        </w:tc>
        <w:tc>
          <w:tcPr>
            <w:tcW w:w="500" w:type="dxa"/>
            <w:vAlign w:val="bottom"/>
          </w:tcPr>
          <w:p>
            <w:pPr>
              <w:spacing w:after="0"/>
              <w:rPr>
                <w:sz w:val="24"/>
                <w:szCs w:val="24"/>
                <w:color w:val="auto"/>
              </w:rPr>
            </w:pPr>
          </w:p>
        </w:tc>
        <w:tc>
          <w:tcPr>
            <w:tcW w:w="5740" w:type="dxa"/>
            <w:vAlign w:val="bottom"/>
            <w:gridSpan w:val="3"/>
          </w:tcPr>
          <w:p>
            <w:pPr>
              <w:ind w:left="3520"/>
              <w:spacing w:after="0"/>
              <w:rPr>
                <w:sz w:val="20"/>
                <w:szCs w:val="20"/>
                <w:color w:val="auto"/>
              </w:rPr>
            </w:pPr>
            <w:r>
              <w:rPr>
                <w:rFonts w:ascii="Arial" w:cs="Arial" w:eastAsia="Arial" w:hAnsi="Arial"/>
                <w:sz w:val="22"/>
                <w:szCs w:val="22"/>
                <w:color w:val="auto"/>
                <w:w w:val="93"/>
              </w:rPr>
              <w:t>Title: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80"/>
        <w:spacing w:after="0"/>
        <w:tabs>
          <w:tab w:leader="none" w:pos="8600" w:val="left"/>
        </w:tabs>
        <w:rPr>
          <w:sz w:val="20"/>
          <w:szCs w:val="20"/>
          <w:color w:val="auto"/>
        </w:rPr>
      </w:pPr>
      <w:r>
        <w:rPr>
          <w:rFonts w:ascii="Arial" w:cs="Arial" w:eastAsia="Arial" w:hAnsi="Arial"/>
          <w:sz w:val="18"/>
          <w:szCs w:val="18"/>
          <w:color w:val="auto"/>
        </w:rPr>
        <w:t>Page 10 of 10</w:t>
      </w:r>
      <w:r>
        <w:rPr>
          <w:sz w:val="20"/>
          <w:szCs w:val="20"/>
          <w:color w:val="auto"/>
        </w:rPr>
        <w:tab/>
      </w:r>
      <w:r>
        <w:rPr>
          <w:rFonts w:ascii="Arial" w:cs="Arial" w:eastAsia="Arial" w:hAnsi="Arial"/>
          <w:sz w:val="16"/>
          <w:szCs w:val="16"/>
          <w:color w:val="auto"/>
        </w:rPr>
        <w:t xml:space="preserve">Employee Initials: </w:t>
      </w:r>
      <w:r>
        <w:rPr>
          <w:rFonts w:ascii="Arial" w:cs="Arial" w:eastAsia="Arial" w:hAnsi="Arial"/>
          <w:sz w:val="16"/>
          <w:szCs w:val="16"/>
          <w:b w:val="1"/>
          <w:bCs w:val="1"/>
          <w:u w:val="single" w:color="auto"/>
          <w:color w:val="auto"/>
        </w:rPr>
        <w:t>/s/ DH</w:t>
      </w:r>
    </w:p>
    <w:p>
      <w:pPr>
        <w:sectPr>
          <w:pgSz w:w="11900" w:h="16838" w:orient="portrait"/>
          <w:cols w:equalWidth="0" w:num="1">
            <w:col w:w="11420"/>
          </w:cols>
          <w:pgMar w:left="240" w:top="34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10.39</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RESIGNATION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RESIGNATION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effective as of March 6, 2020 (the “Effective Date”), by and between Bloomin’ Brands,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Elizabeth A. Smith (the “</w:t>
      </w:r>
      <w:r>
        <w:rPr>
          <w:rFonts w:ascii="Arial" w:cs="Arial" w:eastAsia="Arial" w:hAnsi="Arial"/>
          <w:sz w:val="22"/>
          <w:szCs w:val="22"/>
          <w:u w:val="single" w:color="auto"/>
          <w:color w:val="auto"/>
        </w:rPr>
        <w:t>Executive</w:t>
      </w:r>
      <w:r>
        <w:rPr>
          <w:rFonts w:ascii="Arial" w:cs="Arial" w:eastAsia="Arial" w:hAnsi="Arial"/>
          <w:sz w:val="22"/>
          <w:szCs w:val="22"/>
          <w:color w:val="auto"/>
        </w:rPr>
        <w:t>”). Capitalized terms used but not defined herein have the meanings ascribed to such terms in that certain Second Amended and Restated Employment Agreement between the Executive and the Company, dated April 1, 2019 (the “</w:t>
      </w:r>
      <w:r>
        <w:rPr>
          <w:rFonts w:ascii="Arial" w:cs="Arial" w:eastAsia="Arial" w:hAnsi="Arial"/>
          <w:sz w:val="22"/>
          <w:szCs w:val="22"/>
          <w:u w:val="single" w:color="auto"/>
          <w:color w:val="auto"/>
        </w:rPr>
        <w:t>Existing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Executive is currently employed by the Company as the Executive Chairman of the Company and is party to the Existing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Executive will cease serving as the Executive Chairman of the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of the Company effective as of the Effective Date;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and the Executive desire to enter into this Agreement to terminate the Existing Agreement.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foregoing premises and the mutual promises, terms, provisions and conditions set forth in this Agreement, the parties hereby agree as follows:</w:t>
      </w:r>
    </w:p>
    <w:p>
      <w:pPr>
        <w:spacing w:after="0" w:line="148" w:lineRule="exact"/>
        <w:rPr>
          <w:sz w:val="20"/>
          <w:szCs w:val="20"/>
          <w:color w:val="auto"/>
        </w:rPr>
      </w:pPr>
    </w:p>
    <w:p>
      <w:pPr>
        <w:jc w:val="both"/>
        <w:ind w:firstLine="8"/>
        <w:spacing w:after="0" w:line="252" w:lineRule="auto"/>
        <w:tabs>
          <w:tab w:leader="none" w:pos="81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Termination of Agreement</w:t>
      </w:r>
      <w:r>
        <w:rPr>
          <w:rFonts w:ascii="Arial" w:cs="Arial" w:eastAsia="Arial" w:hAnsi="Arial"/>
          <w:sz w:val="19"/>
          <w:szCs w:val="19"/>
          <w:color w:val="auto"/>
        </w:rPr>
        <w:t>. As of the Effective Date and in accordance with the terms of this Agreement, (a) Executive resigns from employment as the Company’s Executive Chairman and all other positions with the Company or any subsidiaries or Affiliates thereof, other than membership on the Board, and (b) the Existing Agreement is terminated, other than the terms thereof that survive as expressly provided herein. Notwithstanding anything to the contrary in the Existing Agreement, nothing in this Agreement shall result in termination of the Executive’s membership on the Board or require Executive to resign such membership.</w:t>
      </w:r>
    </w:p>
    <w:p>
      <w:pPr>
        <w:spacing w:after="0" w:line="149" w:lineRule="exact"/>
        <w:rPr>
          <w:rFonts w:ascii="Arial" w:cs="Arial" w:eastAsia="Arial" w:hAnsi="Arial"/>
          <w:sz w:val="19"/>
          <w:szCs w:val="19"/>
          <w:color w:val="auto"/>
        </w:rPr>
      </w:pPr>
    </w:p>
    <w:p>
      <w:pPr>
        <w:jc w:val="both"/>
        <w:ind w:firstLine="8"/>
        <w:spacing w:after="0" w:line="223" w:lineRule="auto"/>
        <w:tabs>
          <w:tab w:leader="none" w:pos="81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 Executive shall receive, as good and valuable consideration in return for Executive’s execution of this Agreement, which is intended to fully and finally resolve any and all matters between the Company and the Executive, whether actual or potential, on terms that are mutually agreeable:</w:t>
      </w:r>
    </w:p>
    <w:p>
      <w:pPr>
        <w:spacing w:after="0" w:line="186" w:lineRule="exact"/>
        <w:rPr>
          <w:rFonts w:ascii="Arial" w:cs="Arial" w:eastAsia="Arial" w:hAnsi="Arial"/>
          <w:sz w:val="22"/>
          <w:szCs w:val="22"/>
          <w:color w:val="auto"/>
        </w:rPr>
      </w:pPr>
    </w:p>
    <w:p>
      <w:pPr>
        <w:ind w:left="1120" w:hanging="464"/>
        <w:spacing w:after="0"/>
        <w:tabs>
          <w:tab w:leader="none" w:pos="1120" w:val="left"/>
        </w:tabs>
        <w:numPr>
          <w:ilvl w:val="1"/>
          <w:numId w:val="85"/>
        </w:numPr>
        <w:rPr>
          <w:rFonts w:ascii="Arial" w:cs="Arial" w:eastAsia="Arial" w:hAnsi="Arial"/>
          <w:sz w:val="22"/>
          <w:szCs w:val="22"/>
          <w:color w:val="auto"/>
        </w:rPr>
      </w:pPr>
      <w:r>
        <w:rPr>
          <w:rFonts w:ascii="Arial" w:cs="Arial" w:eastAsia="Arial" w:hAnsi="Arial"/>
          <w:sz w:val="22"/>
          <w:szCs w:val="22"/>
          <w:color w:val="auto"/>
        </w:rPr>
        <w:t>Final Compensation; and</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255" w:val="left"/>
        </w:tabs>
        <w:numPr>
          <w:ilvl w:val="1"/>
          <w:numId w:val="85"/>
        </w:numPr>
        <w:rPr>
          <w:rFonts w:ascii="Arial" w:cs="Arial" w:eastAsia="Arial" w:hAnsi="Arial"/>
          <w:sz w:val="22"/>
          <w:szCs w:val="22"/>
          <w:color w:val="auto"/>
        </w:rPr>
      </w:pPr>
      <w:r>
        <w:rPr>
          <w:rFonts w:ascii="Arial" w:cs="Arial" w:eastAsia="Arial" w:hAnsi="Arial"/>
          <w:sz w:val="22"/>
          <w:szCs w:val="22"/>
          <w:color w:val="auto"/>
        </w:rPr>
        <w:t>all outstanding equity awards held by Executive that were granted by the Company prior to the Effective Date, whether vested or unvested, shall continue to be governed by the terms of the existing award agreements. For the avoidance of doubt, Executive’s continued membership on the Board constitutes “Continuous Service” within the meaning of all applicable equity awards.</w:t>
      </w:r>
    </w:p>
    <w:p>
      <w:pPr>
        <w:spacing w:after="0" w:line="161" w:lineRule="exact"/>
        <w:rPr>
          <w:rFonts w:ascii="Arial" w:cs="Arial" w:eastAsia="Arial" w:hAnsi="Arial"/>
          <w:sz w:val="22"/>
          <w:szCs w:val="22"/>
          <w:color w:val="auto"/>
        </w:rPr>
      </w:pPr>
    </w:p>
    <w:p>
      <w:pPr>
        <w:jc w:val="both"/>
        <w:ind w:firstLine="8"/>
        <w:spacing w:after="0" w:line="226" w:lineRule="auto"/>
        <w:tabs>
          <w:tab w:leader="none" w:pos="810"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Timing of Payments and Section 409A</w:t>
      </w:r>
      <w:r>
        <w:rPr>
          <w:rFonts w:ascii="Arial" w:cs="Arial" w:eastAsia="Arial" w:hAnsi="Arial"/>
          <w:sz w:val="21"/>
          <w:szCs w:val="21"/>
          <w:color w:val="auto"/>
        </w:rPr>
        <w:t>. Notwithstanding anything to the contrary in this Agreement, if any amounts payable under this Agreement within six (6) months following the Effective Date would be a deferral of compensation within the meaning of Treasury regulation Section 1.409A-1(b) [(including without limitation by reason of the safe harbor set forth in Section 1.409A-1(b)(9)(iii), as determined by the Company in its reasonable good faith discretion)]; then such amounts shall instead be paid on the next business day following the expiration of such six (6) month period.</w:t>
      </w:r>
    </w:p>
    <w:p>
      <w:pPr>
        <w:sectPr>
          <w:pgSz w:w="11900" w:h="16838" w:orient="portrait"/>
          <w:cols w:equalWidth="0" w:num="1">
            <w:col w:w="11420"/>
          </w:cols>
          <w:pgMar w:left="240" w:top="116" w:right="239" w:bottom="1440" w:gutter="0" w:footer="0" w:header="0"/>
        </w:sectPr>
      </w:pPr>
    </w:p>
    <w:bookmarkStart w:id="122" w:name="page123"/>
    <w:bookmarkEnd w:id="122"/>
    <w:p>
      <w:pPr>
        <w:ind w:left="900" w:hanging="892"/>
        <w:spacing w:after="0"/>
        <w:tabs>
          <w:tab w:leader="none" w:pos="90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Effect of Termination of Existing Agreement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line="297" w:lineRule="auto"/>
        <w:tabs>
          <w:tab w:leader="none" w:pos="1156" w:val="left"/>
        </w:tabs>
        <w:numPr>
          <w:ilvl w:val="1"/>
          <w:numId w:val="86"/>
        </w:numPr>
        <w:rPr>
          <w:rFonts w:ascii="Arial" w:cs="Arial" w:eastAsia="Arial" w:hAnsi="Arial"/>
          <w:sz w:val="19"/>
          <w:szCs w:val="19"/>
          <w:color w:val="auto"/>
        </w:rPr>
      </w:pPr>
      <w:r>
        <w:rPr>
          <w:rFonts w:ascii="Arial" w:cs="Arial" w:eastAsia="Arial" w:hAnsi="Arial"/>
          <w:sz w:val="19"/>
          <w:szCs w:val="19"/>
          <w:color w:val="auto"/>
        </w:rPr>
        <w:t>Subject to the other provisions of this Section 4, payment by the Company of the amounts and benefits provided for under Section 2 shall constitute the entire obligation of the Company to the Executive hereunder. Executive acknowledges and agrees that the amounts and benefits provided for under Section 2 are conditioned on (i) the Executive signing and returning to the Company (without revoking) the Release of Claims, by the deadline specified therein, which in all events shall be no later than the forty fifth (45th) calendar day following the Effective Date and (ii) the Compliance Condition.</w:t>
      </w:r>
    </w:p>
    <w:p>
      <w:pPr>
        <w:spacing w:after="0" w:line="147" w:lineRule="exact"/>
        <w:rPr>
          <w:rFonts w:ascii="Arial" w:cs="Arial" w:eastAsia="Arial" w:hAnsi="Arial"/>
          <w:sz w:val="19"/>
          <w:szCs w:val="19"/>
          <w:color w:val="auto"/>
        </w:rPr>
      </w:pPr>
    </w:p>
    <w:p>
      <w:pPr>
        <w:jc w:val="both"/>
        <w:ind w:firstLine="656"/>
        <w:spacing w:after="0" w:line="294" w:lineRule="auto"/>
        <w:tabs>
          <w:tab w:leader="none" w:pos="1173" w:val="left"/>
        </w:tabs>
        <w:numPr>
          <w:ilvl w:val="1"/>
          <w:numId w:val="86"/>
        </w:numPr>
        <w:rPr>
          <w:rFonts w:ascii="Arial" w:cs="Arial" w:eastAsia="Arial" w:hAnsi="Arial"/>
          <w:sz w:val="19"/>
          <w:szCs w:val="19"/>
          <w:color w:val="auto"/>
        </w:rPr>
      </w:pPr>
      <w:r>
        <w:rPr>
          <w:rFonts w:ascii="Arial" w:cs="Arial" w:eastAsia="Arial" w:hAnsi="Arial"/>
          <w:sz w:val="19"/>
          <w:szCs w:val="19"/>
          <w:color w:val="auto"/>
        </w:rPr>
        <w:t>Except with respect to any bonus or cash incentive plan or agreement, severance plan or agreement or equity award plan or agreement, the Executive’s participation in all Employee Benefit Plans shall be determined pursuant to the terms of the applicable plan documents based on the date of termination of the Executive’s employment without regard to any payment to or on behalf of the Executive following such date of termination and, in the case of the right of the Executive to continue medical and dental plan participation, such participation shall be governed in accordance with applicable law. The Executive is entitled to retain any vested benefits under the Employee Benefit Plans in accordance with the terms of such plans.</w:t>
      </w:r>
    </w:p>
    <w:p>
      <w:pPr>
        <w:spacing w:after="0" w:line="149" w:lineRule="exact"/>
        <w:rPr>
          <w:rFonts w:ascii="Arial" w:cs="Arial" w:eastAsia="Arial" w:hAnsi="Arial"/>
          <w:sz w:val="19"/>
          <w:szCs w:val="19"/>
          <w:color w:val="auto"/>
        </w:rPr>
      </w:pPr>
    </w:p>
    <w:p>
      <w:pPr>
        <w:ind w:firstLine="656"/>
        <w:spacing w:after="0" w:line="263" w:lineRule="auto"/>
        <w:tabs>
          <w:tab w:leader="none" w:pos="1104"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provisions of Sections 7, 8, 9, 10, 11 and 12 of the Existing Agreement shall remain in effect as of and through the Effective Date on the terms and conditions set forth therein.</w:t>
      </w:r>
    </w:p>
    <w:p>
      <w:pPr>
        <w:spacing w:after="0" w:line="147" w:lineRule="exact"/>
        <w:rPr>
          <w:rFonts w:ascii="Arial" w:cs="Arial" w:eastAsia="Arial" w:hAnsi="Arial"/>
          <w:sz w:val="22"/>
          <w:szCs w:val="22"/>
          <w:color w:val="auto"/>
        </w:rPr>
      </w:pPr>
    </w:p>
    <w:p>
      <w:pPr>
        <w:ind w:right="20" w:firstLine="8"/>
        <w:spacing w:after="0" w:line="232" w:lineRule="auto"/>
        <w:tabs>
          <w:tab w:leader="none" w:pos="81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under this Agreement shall be reduced by any tax or other amounts required to be withheld by the Company under applicable law.</w:t>
      </w:r>
    </w:p>
    <w:p>
      <w:pPr>
        <w:spacing w:after="0" w:line="159" w:lineRule="exact"/>
        <w:rPr>
          <w:rFonts w:ascii="Arial" w:cs="Arial" w:eastAsia="Arial" w:hAnsi="Arial"/>
          <w:sz w:val="22"/>
          <w:szCs w:val="22"/>
          <w:color w:val="auto"/>
        </w:rPr>
      </w:pPr>
    </w:p>
    <w:p>
      <w:pPr>
        <w:jc w:val="both"/>
        <w:ind w:firstLine="8"/>
        <w:spacing w:after="0" w:line="246" w:lineRule="auto"/>
        <w:tabs>
          <w:tab w:leader="none" w:pos="81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Neither the Company nor the Executive may make any assignment of this Agreement or any interest herein, by operation of law or otherwise, without the prior written consent of the other;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may assign its rights and obligations under this Agreement, without the consent of the Executive, to an Affiliate (that will manage the assets and carry on the historic business of the Company following such assignment) or a successor that expressly assumes and agrees in writing to perform this Agreement in the same manner and to the same extent as the Company, including in the event that the Company shall hereafter affect a reorganization, consolidate with, or merge into, any other Person, or transfer all or substantially all of its properties, stock, or assets to any other Person. This Agreement shall inure to the benefit of and be binding upon the Company and the Executive, their respective successors, executors, administrators, heirs and permitted assigns.</w:t>
      </w:r>
    </w:p>
    <w:p>
      <w:pPr>
        <w:spacing w:after="0" w:line="153" w:lineRule="exact"/>
        <w:rPr>
          <w:rFonts w:ascii="Arial" w:cs="Arial" w:eastAsia="Arial" w:hAnsi="Arial"/>
          <w:sz w:val="19"/>
          <w:szCs w:val="19"/>
          <w:color w:val="auto"/>
        </w:rPr>
      </w:pPr>
    </w:p>
    <w:p>
      <w:pPr>
        <w:jc w:val="both"/>
        <w:ind w:firstLine="8"/>
        <w:spacing w:after="0" w:line="211" w:lineRule="auto"/>
        <w:tabs>
          <w:tab w:leader="none" w:pos="81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The declaration by a court of competent jurisdiction that any of the provisions in Sections 7, 8 or 9 of the Existing Agreement, or any portions thereof, are illegal or unenforceable shall have no effect on the Company’s rights under Section 11 of the Existing Agreement to terminate the benefits under Section 2 and any outstanding equity awards in the event of the Executive’s failure to comply with the Compliance Condition.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21" w:right="239" w:bottom="1440" w:gutter="0" w:footer="0" w:header="0"/>
        </w:sectPr>
      </w:pPr>
    </w:p>
    <w:bookmarkStart w:id="123" w:name="page124"/>
    <w:bookmarkEnd w:id="123"/>
    <w:p>
      <w:pPr>
        <w:jc w:val="both"/>
        <w:ind w:firstLine="8"/>
        <w:spacing w:after="0" w:line="218" w:lineRule="auto"/>
        <w:tabs>
          <w:tab w:leader="none" w:pos="81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spacing w:after="0" w:line="161" w:lineRule="exact"/>
        <w:rPr>
          <w:rFonts w:ascii="Arial" w:cs="Arial" w:eastAsia="Arial" w:hAnsi="Arial"/>
          <w:sz w:val="22"/>
          <w:szCs w:val="22"/>
          <w:color w:val="auto"/>
        </w:rPr>
      </w:pPr>
    </w:p>
    <w:p>
      <w:pPr>
        <w:jc w:val="both"/>
        <w:ind w:firstLine="8"/>
        <w:spacing w:after="0" w:line="249" w:lineRule="auto"/>
        <w:tabs>
          <w:tab w:leader="none" w:pos="81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and all notices, requests, demands and other communications provided for by this Agreement shall be in writing and shall be effective when delivered in person, consigned to a reputable national courier service or deposited in the United States mail, postage prepaid, registered or certified, and addressed to the Executive at her last known address on the books of the Company, or, in the case of the Company, at its principal place of business, attention of the Corporate Secretary of the Company, with a copy to Baker &amp; Hostetler LLC, 127 Public Square, Suite 2100, Cleveland, Ohio 44114, Attention: John M. Gherlein and Janet A. Spreen or to such other address as either party may specify by notice to the other actually received.</w:t>
      </w:r>
    </w:p>
    <w:p>
      <w:pPr>
        <w:spacing w:after="0" w:line="152" w:lineRule="exact"/>
        <w:rPr>
          <w:rFonts w:ascii="Arial" w:cs="Arial" w:eastAsia="Arial" w:hAnsi="Arial"/>
          <w:sz w:val="19"/>
          <w:szCs w:val="19"/>
          <w:color w:val="auto"/>
        </w:rPr>
      </w:pPr>
    </w:p>
    <w:p>
      <w:pPr>
        <w:jc w:val="both"/>
        <w:ind w:firstLine="8"/>
        <w:spacing w:after="0" w:line="257" w:lineRule="auto"/>
        <w:tabs>
          <w:tab w:leader="none" w:pos="91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Release of Claims constitute the entire agreement between the parties and supersedes and terminates all prior communications, agreements and understandings, written or oral, with respect to the terms and conditions of the Executive’s employment with the Company, including, but not limited to the Existing Agreement. This Agreement does not supersede or otherwise affect the terms of any outstanding equity awards, except as expressly set forth herein.</w:t>
      </w:r>
    </w:p>
    <w:p>
      <w:pPr>
        <w:spacing w:after="0" w:line="144" w:lineRule="exact"/>
        <w:rPr>
          <w:rFonts w:ascii="Arial" w:cs="Arial" w:eastAsia="Arial" w:hAnsi="Arial"/>
          <w:sz w:val="19"/>
          <w:szCs w:val="19"/>
          <w:color w:val="auto"/>
        </w:rPr>
      </w:pPr>
    </w:p>
    <w:p>
      <w:pPr>
        <w:ind w:right="20" w:firstLine="8"/>
        <w:spacing w:after="0" w:line="232" w:lineRule="auto"/>
        <w:tabs>
          <w:tab w:leader="none" w:pos="91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signed by the Executive and by an expressly authorized representative of the Company.</w:t>
      </w:r>
    </w:p>
    <w:p>
      <w:pPr>
        <w:spacing w:after="0" w:line="159" w:lineRule="exact"/>
        <w:rPr>
          <w:rFonts w:ascii="Arial" w:cs="Arial" w:eastAsia="Arial" w:hAnsi="Arial"/>
          <w:sz w:val="22"/>
          <w:szCs w:val="22"/>
          <w:color w:val="auto"/>
        </w:rPr>
      </w:pPr>
    </w:p>
    <w:p>
      <w:pPr>
        <w:ind w:right="20" w:firstLine="8"/>
        <w:spacing w:after="0" w:line="232" w:lineRule="auto"/>
        <w:tabs>
          <w:tab w:leader="none" w:pos="91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and captions in this Agreement are for convenience only and in no way define or describe the scope or content of any provision of this Agreement.</w:t>
      </w:r>
    </w:p>
    <w:p>
      <w:pPr>
        <w:spacing w:after="0" w:line="159" w:lineRule="exact"/>
        <w:rPr>
          <w:rFonts w:ascii="Arial" w:cs="Arial" w:eastAsia="Arial" w:hAnsi="Arial"/>
          <w:sz w:val="22"/>
          <w:szCs w:val="22"/>
          <w:color w:val="auto"/>
        </w:rPr>
      </w:pPr>
    </w:p>
    <w:p>
      <w:pPr>
        <w:ind w:firstLine="8"/>
        <w:spacing w:after="0" w:line="232" w:lineRule="auto"/>
        <w:tabs>
          <w:tab w:leader="none" w:pos="91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shall be an original and all of which together shall constitute one and the same instrument.</w:t>
      </w:r>
    </w:p>
    <w:p>
      <w:pPr>
        <w:spacing w:after="0" w:line="159" w:lineRule="exact"/>
        <w:rPr>
          <w:rFonts w:ascii="Arial" w:cs="Arial" w:eastAsia="Arial" w:hAnsi="Arial"/>
          <w:sz w:val="22"/>
          <w:szCs w:val="22"/>
          <w:color w:val="auto"/>
        </w:rPr>
      </w:pPr>
    </w:p>
    <w:p>
      <w:pPr>
        <w:jc w:val="both"/>
        <w:ind w:firstLine="8"/>
        <w:spacing w:after="0" w:line="218" w:lineRule="auto"/>
        <w:tabs>
          <w:tab w:leader="none" w:pos="91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is a Florida contract and shall be construed and enforced under and be governed in all respects by the laws of the State of Florida, without regard to the conflict of laws principles thereof. In the event of any alleged breach or threatened breach of this Agreement, the Executive hereby consents and submits to the jurisdiction of the federal and state courts in and of the State of Florida.</w:t>
      </w:r>
    </w:p>
    <w:p>
      <w:pPr>
        <w:spacing w:after="0" w:line="161" w:lineRule="exact"/>
        <w:rPr>
          <w:rFonts w:ascii="Arial" w:cs="Arial" w:eastAsia="Arial" w:hAnsi="Arial"/>
          <w:sz w:val="22"/>
          <w:szCs w:val="22"/>
          <w:color w:val="auto"/>
        </w:rPr>
      </w:pPr>
    </w:p>
    <w:p>
      <w:pPr>
        <w:jc w:val="both"/>
        <w:ind w:firstLine="8"/>
        <w:spacing w:after="0" w:line="234" w:lineRule="auto"/>
        <w:tabs>
          <w:tab w:leader="none" w:pos="918"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The Executive shall cooperate fully with all reasonable requests for information and participation by the Company, its agents or its attorneys at the Company’s expense in prosecuting or defending claims, suits and disputes brought on behalf of or against the Company and in which Executive is involved or about which Executive has knowledge.</w:t>
      </w:r>
    </w:p>
    <w:p>
      <w:pPr>
        <w:spacing w:after="0" w:line="152" w:lineRule="exact"/>
        <w:rPr>
          <w:rFonts w:ascii="Arial" w:cs="Arial" w:eastAsia="Arial" w:hAnsi="Arial"/>
          <w:sz w:val="21"/>
          <w:szCs w:val="21"/>
          <w:color w:val="auto"/>
        </w:rPr>
      </w:pPr>
    </w:p>
    <w:p>
      <w:pPr>
        <w:jc w:val="both"/>
        <w:ind w:firstLine="8"/>
        <w:spacing w:after="0" w:line="220" w:lineRule="auto"/>
        <w:tabs>
          <w:tab w:leader="none" w:pos="918"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THE PARTIES TO THIS AGREEMENT KNOW AND UNDERSTAND THAT THEY HAVE A CONSTITUTIONAL RIGHT TO A JURY TRIAL. THE PARTIES ACKNOWLEDGE THAT ANY DISPUTE OR CONTROVERSY THAT MAY ARISE OUT OF THIS AGREEMENT WILL INVOLVE COMPLICATED AND DIFFICULT FACTUAL AND LEGAL ISSUES.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20" w:right="239" w:bottom="1440" w:gutter="0" w:footer="0" w:header="0"/>
        </w:sectPr>
      </w:pPr>
    </w:p>
    <w:bookmarkStart w:id="124" w:name="page125"/>
    <w:bookmarkEnd w:id="124"/>
    <w:p>
      <w:pPr>
        <w:jc w:val="both"/>
        <w:ind w:firstLine="648"/>
        <w:spacing w:after="0" w:line="246" w:lineRule="auto"/>
        <w:rPr>
          <w:sz w:val="20"/>
          <w:szCs w:val="20"/>
          <w:color w:val="auto"/>
        </w:rPr>
      </w:pPr>
      <w:r>
        <w:rPr>
          <w:rFonts w:ascii="Arial" w:cs="Arial" w:eastAsia="Arial" w:hAnsi="Arial"/>
          <w:sz w:val="22"/>
          <w:szCs w:val="22"/>
          <w:b w:val="1"/>
          <w:bCs w:val="1"/>
          <w:color w:val="auto"/>
        </w:rPr>
        <w:t>THE PARTIES HEREBY WAIVE ANY RIGHT TO TRIAL BY JURY IN ANY PROCEEDING ARISING OUT OF OR RELATING TO THIS AGREEMENT OR ANY OF THE CONTEMPLATED TRANSACTIONS, WHETHER NOW EXISTING OR HEREAFTER ARISING, AND WHETHER SOUNDING IN CONTRACT, TORT OR OTHERWISE. THE PARTIES AGREE THAT EITHER OF THEM MAY FILE A COPY OF THIS PARAGRAPH WITH ANY COURT AS WRITTEN EVIDENCE OF THE KNOWING, VOLUNTARY AND BARGAINED−FOR AGREEMENT AMONG THE PARTIES IRREVOCABLY TO WAIVE TRIAL BY JURY, AND THAT ANY PROCEEDING WHATSOEVER BETWEEN THEM RELATING TO THIS AGREEMENT OR ANY OF THE CONTEMPLATED TRANSACTIONS SHALL INSTEAD BE TRIED IN A COURT OF COMPETENT JURISDICTION BY A JUDGE SITTING WITHOUT A JURY.</w:t>
      </w:r>
    </w:p>
    <w:p>
      <w:pPr>
        <w:spacing w:after="0" w:line="19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42" w:right="239" w:bottom="1440" w:gutter="0" w:footer="0" w:header="0"/>
        </w:sectPr>
      </w:pPr>
    </w:p>
    <w:bookmarkStart w:id="125" w:name="page126"/>
    <w:bookmarkEnd w:id="125"/>
    <w:p>
      <w:pPr>
        <w:spacing w:after="0"/>
        <w:rPr>
          <w:sz w:val="20"/>
          <w:szCs w:val="20"/>
          <w:color w:val="auto"/>
        </w:rPr>
      </w:pPr>
      <w:r>
        <w:rPr>
          <w:rFonts w:ascii="Arial" w:cs="Arial" w:eastAsia="Arial" w:hAnsi="Arial"/>
          <w:sz w:val="19"/>
          <w:szCs w:val="19"/>
          <w:color w:val="auto"/>
        </w:rPr>
        <w:t>IN WITNESS WHEREOF, this parties have executed this Amendment as of the date set forth above.</w:t>
      </w:r>
    </w:p>
    <w:p>
      <w:pPr>
        <w:sectPr>
          <w:pgSz w:w="11900" w:h="16838" w:orient="portrait"/>
          <w:cols w:equalWidth="0" w:num="1">
            <w:col w:w="9559"/>
          </w:cols>
          <w:pgMar w:left="900" w:top="3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THE COMPANY:</w:t>
      </w:r>
    </w:p>
    <w:p>
      <w:pPr>
        <w:spacing w:after="0" w:line="368" w:lineRule="exact"/>
        <w:rPr>
          <w:sz w:val="20"/>
          <w:szCs w:val="20"/>
          <w:color w:val="auto"/>
        </w:rPr>
      </w:pPr>
    </w:p>
    <w:p>
      <w:pPr>
        <w:ind w:left="5900"/>
        <w:spacing w:after="0"/>
        <w:rPr>
          <w:sz w:val="20"/>
          <w:szCs w:val="20"/>
          <w:color w:val="auto"/>
        </w:rPr>
      </w:pPr>
      <w:r>
        <w:rPr>
          <w:rFonts w:ascii="Arial" w:cs="Arial" w:eastAsia="Arial" w:hAnsi="Arial"/>
          <w:sz w:val="21"/>
          <w:szCs w:val="21"/>
          <w:color w:val="auto"/>
        </w:rPr>
        <w:t>BLOOMIN’ BRANDS, INC.</w:t>
      </w:r>
    </w:p>
    <w:p>
      <w:pPr>
        <w:spacing w:after="0" w:line="37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u w:val="single" w:color="auto"/>
          <w:color w:val="auto"/>
        </w:rPr>
        <w:t>/s/ Elizabeth Smith</w:t>
      </w:r>
    </w:p>
    <w:p>
      <w:pPr>
        <w:spacing w:after="0" w:line="37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THE EXECUTIVE</w:t>
      </w:r>
    </w:p>
    <w:p>
      <w:pPr>
        <w:spacing w:after="0" w:line="362" w:lineRule="exact"/>
        <w:rPr>
          <w:sz w:val="20"/>
          <w:szCs w:val="20"/>
          <w:color w:val="auto"/>
        </w:rPr>
      </w:pPr>
    </w:p>
    <w:p>
      <w:pPr>
        <w:ind w:left="5900"/>
        <w:spacing w:after="0"/>
        <w:rPr>
          <w:sz w:val="20"/>
          <w:szCs w:val="20"/>
          <w:color w:val="auto"/>
        </w:rPr>
      </w:pPr>
      <w:r>
        <w:rPr>
          <w:rFonts w:ascii="Arial" w:cs="Arial" w:eastAsia="Arial" w:hAnsi="Arial"/>
          <w:sz w:val="22"/>
          <w:szCs w:val="22"/>
          <w:b w:val="1"/>
          <w:bCs w:val="1"/>
          <w:u w:val="single" w:color="auto"/>
          <w:color w:val="auto"/>
        </w:rPr>
        <w:t>/s/ Elizabeth Smith</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Elizabeth A. Smith</w:t>
      </w:r>
    </w:p>
    <w:p>
      <w:pPr>
        <w:sectPr>
          <w:pgSz w:w="11900" w:h="16838" w:orient="portrait"/>
          <w:cols w:equalWidth="0" w:num="1">
            <w:col w:w="9559"/>
          </w:cols>
          <w:pgMar w:left="900" w:top="348" w:right="1440"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17145</wp:posOffset>
            </wp:positionV>
            <wp:extent cx="325755" cy="531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3257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February 14,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Gregg Scarlett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Gregg,</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letter agreement confirms the verbal offer extended to you by Bloomin’ Brands, Inc. (the “Company”) to serve as Executive Vice President, Chief Operating Officer, Casual Dining Restaurants reporting to David Deno, Chief Executive Officer. Your effective date will be February 14, 2020. The terms of your employment will be: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will be employed by a subsidiary of the Company (the “Employer”) and will be paid an annual base salary of $675,000 effective February 14, 2020 payable in equal bi-weekly installments.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will remain eligible to participate in the Company’s annual bonus program and effective February 14, 2020 your target bonus will be 120% of your base salary based on both Company performance against objectives as set forth in the Company bonus program and individual performance. Your bonus payout for the 2020 fiscal year will be prorated based on your effective date through the end of the fiscal year, provided you remain employed by the Employer through the payout date.</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Company will issue you a one-time grant delivered with 35,000 Performance Share Units (“PSUs”), 50,000 Restricted Stock Units (“RSUs”) and 100,000 Stock Options (“Options”) on the first business day of the month immediately following your effective date. This grant will have standard vesting of three years contingent on continued employment with the Company or the Employer as follows: PSUs will vest on a 3-year cliff schedule on the third anniversary of the grant date subject to the Company’s Adjusted EPS performance over fiscal years 2020-2022, and RSUs and Options shall both ratably vest one-third of the units on each of the first, second and third anniversaries of the grant date, respectively. All grants are subject to the terms of our 2016 Omnibus Incentive Compensation Plan and Equity Award Policy (collectively, the “Plan”) and our standard award agreement. Our standard equity agreement includes a “double trigger” provision to protect you in the event of a change-in-control. The details of the Plan and the form of grant agreement will be provided to you separately.</w:t>
      </w:r>
    </w:p>
    <w:p>
      <w:pPr>
        <w:spacing w:after="0" w:line="18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 addition to your annual bonus, you will be eligible for an annual long-term incentive grant commencing in 2020. Per the current long-term incentive plan, you will be eligible for a target up to 150% of your base salary, which will be subject to Company and individual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You will remain eligible for Paid Time Off (PTO) benefit.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You will be eligible to participate in the following benefits as applicable and in accordance with the terms of Company policy:</w:t>
      </w:r>
    </w:p>
    <w:p>
      <w:pPr>
        <w:spacing w:after="0" w:line="229" w:lineRule="exact"/>
        <w:rPr>
          <w:sz w:val="20"/>
          <w:szCs w:val="20"/>
          <w:color w:val="auto"/>
        </w:rPr>
      </w:pPr>
    </w:p>
    <w:p>
      <w:pPr>
        <w:ind w:left="1300" w:hanging="320"/>
        <w:spacing w:after="0"/>
        <w:tabs>
          <w:tab w:leader="none" w:pos="13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Medical Benefits Plan</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Salaried Short-Term Disability Insurance</w:t>
      </w:r>
    </w:p>
    <w:p>
      <w:pPr>
        <w:ind w:left="1300" w:hanging="320"/>
        <w:spacing w:after="0"/>
        <w:tabs>
          <w:tab w:leader="none" w:pos="13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Salaried Long-Term Disability Insurance</w:t>
      </w:r>
    </w:p>
    <w:p>
      <w:pPr>
        <w:ind w:left="1300" w:hanging="320"/>
        <w:spacing w:after="0"/>
        <w:tabs>
          <w:tab w:leader="none" w:pos="13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Company Paid Group Term Life Insurance</w:t>
      </w:r>
    </w:p>
    <w:p>
      <w:pPr>
        <w:ind w:left="1300" w:hanging="320"/>
        <w:spacing w:after="0"/>
        <w:tabs>
          <w:tab w:leader="none" w:pos="13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Company Paid Accidental Death and Dismemberment Insurance</w:t>
      </w:r>
    </w:p>
    <w:p>
      <w:pPr>
        <w:ind w:left="1300" w:hanging="320"/>
        <w:spacing w:after="0"/>
        <w:tabs>
          <w:tab w:leader="none" w:pos="13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Dental Benefits Plan</w:t>
      </w:r>
    </w:p>
    <w:p>
      <w:pPr>
        <w:sectPr>
          <w:pgSz w:w="11900" w:h="16838" w:orient="portrait"/>
          <w:cols w:equalWidth="0" w:num="1">
            <w:col w:w="11420"/>
          </w:cols>
          <w:pgMar w:left="240" w:top="121" w:right="239" w:bottom="1440" w:gutter="0" w:footer="0" w:header="0"/>
        </w:sectPr>
      </w:pPr>
    </w:p>
    <w:bookmarkStart w:id="127" w:name="page128"/>
    <w:bookmarkEnd w:id="127"/>
    <w:p>
      <w:pPr>
        <w:ind w:left="1300" w:hanging="320"/>
        <w:spacing w:after="0"/>
        <w:tabs>
          <w:tab w:leader="none" w:pos="13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Vision Benefits Plan</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Non-Qualified Deferred Compensation Plan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As a condition of your employment, please note the following:</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 the Employer may terminate employment at any time, with or without prior notice, for any or no reason, and with or without Cause (as defined on Schedule 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As a further condition of your employment you agree to the following:</w:t>
      </w:r>
    </w:p>
    <w:p>
      <w:pPr>
        <w:spacing w:after="0" w:line="229"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20"/>
          <w:szCs w:val="20"/>
          <w:color w:val="auto"/>
        </w:rPr>
      </w:pPr>
      <w:r>
        <w:rPr>
          <w:rFonts w:ascii="Arial" w:cs="Arial" w:eastAsia="Arial" w:hAnsi="Arial"/>
          <w:sz w:val="20"/>
          <w:szCs w:val="20"/>
          <w:color w:val="auto"/>
        </w:rPr>
        <w:t>Restrictive Covenant - Non-competition</w:t>
      </w:r>
    </w:p>
    <w:p>
      <w:pPr>
        <w:spacing w:after="0" w:line="229" w:lineRule="exact"/>
        <w:rPr>
          <w:rFonts w:ascii="Arial" w:cs="Arial" w:eastAsia="Arial" w:hAnsi="Arial"/>
          <w:sz w:val="20"/>
          <w:szCs w:val="20"/>
          <w:color w:val="auto"/>
        </w:rPr>
      </w:pPr>
    </w:p>
    <w:p>
      <w:pPr>
        <w:jc w:val="both"/>
        <w:ind w:firstLine="332"/>
        <w:spacing w:after="0" w:line="242" w:lineRule="auto"/>
        <w:tabs>
          <w:tab w:leader="none" w:pos="782" w:val="left"/>
        </w:tabs>
        <w:numPr>
          <w:ilvl w:val="1"/>
          <w:numId w:val="90"/>
        </w:numPr>
        <w:rPr>
          <w:rFonts w:ascii="Arial" w:cs="Arial" w:eastAsia="Arial" w:hAnsi="Arial"/>
          <w:sz w:val="20"/>
          <w:szCs w:val="20"/>
          <w:color w:val="auto"/>
        </w:rPr>
      </w:pPr>
      <w:r>
        <w:rPr>
          <w:rFonts w:ascii="Arial" w:cs="Arial" w:eastAsia="Arial" w:hAnsi="Arial"/>
          <w:sz w:val="20"/>
          <w:szCs w:val="20"/>
          <w:u w:val="single" w:color="auto"/>
          <w:color w:val="auto"/>
        </w:rPr>
        <w:t>During Employment</w:t>
      </w:r>
      <w:r>
        <w:rPr>
          <w:rFonts w:ascii="Arial" w:cs="Arial" w:eastAsia="Arial" w:hAnsi="Arial"/>
          <w:sz w:val="20"/>
          <w:szCs w:val="20"/>
          <w:color w:val="auto"/>
        </w:rPr>
        <w:t>. You will devote one hundred percent (100%) of your full business time, attention, energies, and effort to the 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w:t>
      </w:r>
    </w:p>
    <w:p>
      <w:pPr>
        <w:spacing w:after="0" w:line="211" w:lineRule="exact"/>
        <w:rPr>
          <w:rFonts w:ascii="Arial" w:cs="Arial" w:eastAsia="Arial" w:hAnsi="Arial"/>
          <w:sz w:val="20"/>
          <w:szCs w:val="20"/>
          <w:color w:val="auto"/>
        </w:rPr>
      </w:pPr>
    </w:p>
    <w:p>
      <w:pPr>
        <w:jc w:val="both"/>
        <w:ind w:firstLine="332"/>
        <w:spacing w:after="0" w:line="258" w:lineRule="auto"/>
        <w:tabs>
          <w:tab w:leader="none" w:pos="812"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Post Term.</w:t>
      </w:r>
      <w:r>
        <w:rPr>
          <w:rFonts w:ascii="Arial" w:cs="Arial" w:eastAsia="Arial" w:hAnsi="Arial"/>
          <w:sz w:val="19"/>
          <w:szCs w:val="19"/>
          <w:color w:val="auto"/>
        </w:rPr>
        <w:t xml:space="preserve"> Commencing on termination your employment with the Employer, you shall not, individually or jointly with others, 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spacing w:after="0" w:line="206" w:lineRule="exact"/>
        <w:rPr>
          <w:rFonts w:ascii="Arial" w:cs="Arial" w:eastAsia="Arial" w:hAnsi="Arial"/>
          <w:sz w:val="19"/>
          <w:szCs w:val="19"/>
          <w:color w:val="auto"/>
        </w:rPr>
      </w:pPr>
    </w:p>
    <w:p>
      <w:pPr>
        <w:jc w:val="both"/>
        <w:ind w:left="820" w:hanging="2"/>
        <w:spacing w:after="0" w:line="264" w:lineRule="auto"/>
        <w:tabs>
          <w:tab w:leader="none" w:pos="1231" w:val="left"/>
        </w:tabs>
        <w:numPr>
          <w:ilvl w:val="2"/>
          <w:numId w:val="90"/>
        </w:numPr>
        <w:rPr>
          <w:rFonts w:ascii="Arial" w:cs="Arial" w:eastAsia="Arial" w:hAnsi="Arial"/>
          <w:sz w:val="20"/>
          <w:szCs w:val="20"/>
          <w:color w:val="auto"/>
        </w:rPr>
      </w:pPr>
      <w:r>
        <w:rPr>
          <w:rFonts w:ascii="Arial" w:cs="Arial" w:eastAsia="Arial" w:hAnsi="Arial"/>
          <w:sz w:val="20"/>
          <w:szCs w:val="20"/>
          <w:color w:val="auto"/>
        </w:rPr>
        <w:t>If your employment with Employer ends as a result of a termination without Cause (as defined in Schedule 1) by the Employer or your resignation for Good Reason (as defined in Schedule 1), then for a continuous period equal to the period of time used for calculating the amount of severance paid to you upon termination, if any; or</w:t>
      </w:r>
    </w:p>
    <w:p>
      <w:pPr>
        <w:spacing w:after="0" w:line="186" w:lineRule="exact"/>
        <w:rPr>
          <w:rFonts w:ascii="Arial" w:cs="Arial" w:eastAsia="Arial" w:hAnsi="Arial"/>
          <w:sz w:val="20"/>
          <w:szCs w:val="20"/>
          <w:color w:val="auto"/>
        </w:rPr>
      </w:pPr>
    </w:p>
    <w:p>
      <w:pPr>
        <w:ind w:left="820" w:right="20" w:hanging="2"/>
        <w:spacing w:after="0" w:line="260" w:lineRule="auto"/>
        <w:tabs>
          <w:tab w:leader="none" w:pos="1425" w:val="left"/>
        </w:tabs>
        <w:numPr>
          <w:ilvl w:val="2"/>
          <w:numId w:val="90"/>
        </w:numPr>
        <w:rPr>
          <w:rFonts w:ascii="Arial" w:cs="Arial" w:eastAsia="Arial" w:hAnsi="Arial"/>
          <w:sz w:val="20"/>
          <w:szCs w:val="20"/>
          <w:color w:val="auto"/>
        </w:rPr>
      </w:pPr>
      <w:r>
        <w:rPr>
          <w:rFonts w:ascii="Arial" w:cs="Arial" w:eastAsia="Arial" w:hAnsi="Arial"/>
          <w:sz w:val="20"/>
          <w:szCs w:val="20"/>
          <w:color w:val="auto"/>
        </w:rPr>
        <w:t>If your employment with the Employer ends as a result of your voluntary resignation or termination by the Employer for Cause, for a continuous period of one (1) year.</w:t>
      </w:r>
    </w:p>
    <w:p>
      <w:pPr>
        <w:sectPr>
          <w:pgSz w:w="11900" w:h="16838" w:orient="portrait"/>
          <w:cols w:equalWidth="0" w:num="1">
            <w:col w:w="11420"/>
          </w:cols>
          <w:pgMar w:left="240" w:top="555" w:right="239" w:bottom="1440" w:gutter="0" w:footer="0" w:header="0"/>
        </w:sectPr>
      </w:pPr>
    </w:p>
    <w:bookmarkStart w:id="128" w:name="page129"/>
    <w:bookmarkEnd w:id="128"/>
    <w:p>
      <w:pPr>
        <w:jc w:val="both"/>
        <w:spacing w:after="0" w:line="259" w:lineRule="auto"/>
        <w:rPr>
          <w:sz w:val="20"/>
          <w:szCs w:val="20"/>
          <w:color w:val="auto"/>
        </w:rPr>
      </w:pPr>
      <w:r>
        <w:rPr>
          <w:rFonts w:ascii="Arial" w:cs="Arial" w:eastAsia="Arial" w:hAnsi="Arial"/>
          <w:sz w:val="19"/>
          <w:szCs w:val="19"/>
          <w:color w:val="auto"/>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w:t>
      </w:r>
    </w:p>
    <w:p>
      <w:pPr>
        <w:spacing w:after="0" w:line="192" w:lineRule="exact"/>
        <w:rPr>
          <w:sz w:val="20"/>
          <w:szCs w:val="20"/>
          <w:color w:val="auto"/>
        </w:rPr>
      </w:pPr>
    </w:p>
    <w:p>
      <w:pPr>
        <w:jc w:val="both"/>
        <w:ind w:right="20" w:firstLine="332"/>
        <w:spacing w:after="0" w:line="250" w:lineRule="auto"/>
        <w:tabs>
          <w:tab w:leader="none" w:pos="704" w:val="left"/>
        </w:tabs>
        <w:numPr>
          <w:ilvl w:val="1"/>
          <w:numId w:val="91"/>
        </w:numPr>
        <w:rPr>
          <w:rFonts w:ascii="Arial" w:cs="Arial" w:eastAsia="Arial" w:hAnsi="Arial"/>
          <w:sz w:val="20"/>
          <w:szCs w:val="20"/>
          <w:color w:val="auto"/>
        </w:rPr>
      </w:pPr>
      <w:r>
        <w:rPr>
          <w:rFonts w:ascii="Arial" w:cs="Arial" w:eastAsia="Arial" w:hAnsi="Arial"/>
          <w:sz w:val="20"/>
          <w:szCs w:val="20"/>
          <w:u w:val="single" w:color="auto"/>
          <w:color w:val="auto"/>
        </w:rPr>
        <w:t>Limitation</w:t>
      </w:r>
      <w:r>
        <w:rPr>
          <w:rFonts w:ascii="Arial" w:cs="Arial" w:eastAsia="Arial" w:hAnsi="Arial"/>
          <w:sz w:val="20"/>
          <w:szCs w:val="20"/>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126" w:lineRule="exact"/>
        <w:rPr>
          <w:rFonts w:ascii="Arial" w:cs="Arial" w:eastAsia="Arial" w:hAnsi="Arial"/>
          <w:sz w:val="20"/>
          <w:szCs w:val="20"/>
          <w:color w:val="auto"/>
        </w:rPr>
      </w:pPr>
    </w:p>
    <w:p>
      <w:pPr>
        <w:ind w:left="660" w:hanging="652"/>
        <w:spacing w:after="0"/>
        <w:tabs>
          <w:tab w:leader="none" w:pos="660" w:val="left"/>
        </w:tabs>
        <w:numPr>
          <w:ilvl w:val="0"/>
          <w:numId w:val="92"/>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Restrictive Covenant - Non-disclosure; Non-solicitation; Non-piracy</w:t>
      </w:r>
    </w:p>
    <w:p>
      <w:pPr>
        <w:spacing w:after="0" w:line="167" w:lineRule="exact"/>
        <w:rPr>
          <w:rFonts w:ascii="Arial" w:cs="Arial" w:eastAsia="Arial" w:hAnsi="Arial"/>
          <w:sz w:val="20"/>
          <w:szCs w:val="20"/>
          <w:color w:val="auto"/>
        </w:rPr>
      </w:pPr>
    </w:p>
    <w:p>
      <w:pPr>
        <w:jc w:val="both"/>
        <w:ind w:firstLine="656"/>
        <w:spacing w:after="0" w:line="273" w:lineRule="auto"/>
        <w:tabs>
          <w:tab w:leader="none" w:pos="1052" w:val="left"/>
        </w:tabs>
        <w:numPr>
          <w:ilvl w:val="2"/>
          <w:numId w:val="92"/>
        </w:numPr>
        <w:rPr>
          <w:rFonts w:ascii="Arial" w:cs="Arial" w:eastAsia="Arial" w:hAnsi="Arial"/>
          <w:sz w:val="18"/>
          <w:szCs w:val="18"/>
          <w:color w:val="auto"/>
        </w:rPr>
      </w:pPr>
      <w:r>
        <w:rPr>
          <w:rFonts w:ascii="Arial" w:cs="Arial" w:eastAsia="Arial" w:hAnsi="Arial"/>
          <w:sz w:val="18"/>
          <w:szCs w:val="18"/>
          <w:color w:val="auto"/>
        </w:rPr>
        <w:t>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spacing w:after="0" w:line="115" w:lineRule="exact"/>
        <w:rPr>
          <w:rFonts w:ascii="Arial" w:cs="Arial" w:eastAsia="Arial" w:hAnsi="Arial"/>
          <w:sz w:val="18"/>
          <w:szCs w:val="18"/>
          <w:color w:val="auto"/>
        </w:rPr>
      </w:pPr>
    </w:p>
    <w:p>
      <w:pPr>
        <w:jc w:val="both"/>
        <w:ind w:firstLine="656"/>
        <w:spacing w:after="0" w:line="257" w:lineRule="auto"/>
        <w:tabs>
          <w:tab w:leader="none" w:pos="1172" w:val="left"/>
        </w:tabs>
        <w:numPr>
          <w:ilvl w:val="2"/>
          <w:numId w:val="92"/>
        </w:numPr>
        <w:rPr>
          <w:rFonts w:ascii="Arial" w:cs="Arial" w:eastAsia="Arial" w:hAnsi="Arial"/>
          <w:sz w:val="19"/>
          <w:szCs w:val="19"/>
          <w:color w:val="auto"/>
        </w:rPr>
      </w:pPr>
      <w:r>
        <w:rPr>
          <w:rFonts w:ascii="Arial" w:cs="Arial" w:eastAsia="Arial" w:hAnsi="Arial"/>
          <w:sz w:val="19"/>
          <w:szCs w:val="19"/>
          <w:color w:val="auto"/>
        </w:rPr>
        <w:t>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spacing w:after="0" w:line="188" w:lineRule="exact"/>
        <w:rPr>
          <w:rFonts w:ascii="Arial" w:cs="Arial" w:eastAsia="Arial" w:hAnsi="Arial"/>
          <w:sz w:val="19"/>
          <w:szCs w:val="19"/>
          <w:color w:val="auto"/>
        </w:rPr>
      </w:pPr>
    </w:p>
    <w:p>
      <w:pPr>
        <w:jc w:val="both"/>
        <w:ind w:firstLine="8"/>
        <w:spacing w:after="0" w:line="230" w:lineRule="auto"/>
        <w:tabs>
          <w:tab w:leader="none" w:pos="797" w:val="left"/>
        </w:tabs>
        <w:numPr>
          <w:ilvl w:val="0"/>
          <w:numId w:val="92"/>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Restrictive Covenant - Company and Employer Property: Duty to Return.</w:t>
      </w:r>
      <w:r>
        <w:rPr>
          <w:rFonts w:ascii="Arial" w:cs="Arial" w:eastAsia="Arial" w:hAnsi="Arial"/>
          <w:sz w:val="20"/>
          <w:szCs w:val="20"/>
          <w:b w:val="1"/>
          <w:bCs w:val="1"/>
          <w:color w:val="auto"/>
        </w:rPr>
        <w:t xml:space="preserve"> </w:t>
      </w:r>
      <w:r>
        <w:rPr>
          <w:rFonts w:ascii="Arial" w:cs="Arial" w:eastAsia="Arial" w:hAnsi="Arial"/>
          <w:sz w:val="20"/>
          <w:szCs w:val="20"/>
          <w:color w:val="auto"/>
        </w:rPr>
        <w:t>All Employer and Company property and assets,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195" w:lineRule="exact"/>
        <w:rPr>
          <w:rFonts w:ascii="Arial" w:cs="Arial" w:eastAsia="Arial" w:hAnsi="Arial"/>
          <w:sz w:val="20"/>
          <w:szCs w:val="20"/>
          <w:color w:val="auto"/>
        </w:rPr>
      </w:pPr>
    </w:p>
    <w:p>
      <w:pPr>
        <w:jc w:val="both"/>
        <w:ind w:firstLine="8"/>
        <w:spacing w:after="0" w:line="239" w:lineRule="auto"/>
        <w:tabs>
          <w:tab w:leader="none" w:pos="797" w:val="left"/>
        </w:tabs>
        <w:numPr>
          <w:ilvl w:val="0"/>
          <w:numId w:val="92"/>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Restrictive Covenant - Inventions, Ideas, Processes, and Designs.</w:t>
      </w:r>
      <w:r>
        <w:rPr>
          <w:rFonts w:ascii="Arial" w:cs="Arial" w:eastAsia="Arial" w:hAnsi="Arial"/>
          <w:sz w:val="20"/>
          <w:szCs w:val="20"/>
          <w:b w:val="1"/>
          <w:bCs w:val="1"/>
          <w:color w:val="auto"/>
        </w:rPr>
        <w:t xml:space="preserve"> </w:t>
      </w:r>
      <w:r>
        <w:rPr>
          <w:rFonts w:ascii="Arial" w:cs="Arial" w:eastAsia="Arial" w:hAnsi="Arial"/>
          <w:sz w:val="20"/>
          <w:szCs w:val="20"/>
          <w:color w:val="auto"/>
        </w:rPr>
        <w:t>All inventions, ideas, recipes, processes, programs, software and</w:t>
      </w:r>
      <w:r>
        <w:rPr>
          <w:rFonts w:ascii="Arial" w:cs="Arial" w:eastAsia="Arial" w:hAnsi="Arial"/>
          <w:sz w:val="20"/>
          <w:szCs w:val="20"/>
          <w:b w:val="1"/>
          <w:bCs w:val="1"/>
          <w:color w:val="auto"/>
        </w:rPr>
        <w:t xml:space="preserve"> </w:t>
      </w:r>
      <w:r>
        <w:rPr>
          <w:rFonts w:ascii="Arial" w:cs="Arial" w:eastAsia="Arial" w:hAnsi="Arial"/>
          <w:sz w:val="20"/>
          <w:szCs w:val="20"/>
          <w:color w:val="auto"/>
        </w:rPr>
        <w:t>designs (including all improvements) related to the business of the Employer or the Company shall be disclosed in writing promptly to the Employer, and shall be the sole and</w:t>
      </w:r>
    </w:p>
    <w:p>
      <w:pPr>
        <w:sectPr>
          <w:pgSz w:w="11900" w:h="16838" w:orient="portrait"/>
          <w:cols w:equalWidth="0" w:num="1">
            <w:col w:w="11420"/>
          </w:cols>
          <w:pgMar w:left="240" w:top="555" w:right="239" w:bottom="1440" w:gutter="0" w:footer="0" w:header="0"/>
        </w:sectPr>
      </w:pPr>
    </w:p>
    <w:bookmarkStart w:id="129" w:name="page130"/>
    <w:bookmarkEnd w:id="129"/>
    <w:p>
      <w:pPr>
        <w:jc w:val="both"/>
        <w:spacing w:after="0" w:line="270" w:lineRule="auto"/>
        <w:rPr>
          <w:sz w:val="20"/>
          <w:szCs w:val="20"/>
          <w:color w:val="auto"/>
        </w:rPr>
      </w:pPr>
      <w:r>
        <w:rPr>
          <w:rFonts w:ascii="Arial" w:cs="Arial" w:eastAsia="Arial" w:hAnsi="Arial"/>
          <w:sz w:val="18"/>
          <w:szCs w:val="18"/>
          <w:color w:val="auto"/>
        </w:rPr>
        <w:t>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to your employment with the Employer, and that, therefore, are excluded from the scope of the employment with the Employer.</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restrictive covenants contained in this agreement are given and made by you to induce the Employer to employ you and to enter into this Agreement with you, and you hereby acknowledge that employment with the Employer is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avoidance of doubt, the termination of this agreement for any reason, shall not extinguish your obligations specified in these restrictive covenants.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ALL PARTIES TO THIS AGREEMENT KNOW AND UNDERSTAND THAT THEY HAVE A CONSTITUTIONAL RIGHT TO A JURY TRIAL. THE PARTIES ACKNOWLEDGE THAT ANY DISPUTE OR CONTROVERSY THAT MAY ARISE OUT OF THIS AGREEMENT WILL INVOLVE COMPLICATED AND DIFFICULT FACTUAL AND LEGAL ISSUES.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PARTIES HEREBY WAIVE ANY RIGHT TO TRIAL BY JURY IN ANY PROCEEDING ARISING OUT OF OR RELATING TO THIS AGREEMENT OR ANY OF THE CONTEMPLATED TRANSACTIONS, WHETHER NOW EXISTING OR HEREAFTER ARISING, AND WHETHER SOUNDING IN CONTRACT, TORT OR OTHERWISE. THE PARTIES AGREE THAT ANY OF THEM MAY FILE A COPY OF THIS PARAGRAPH WITH ANY COURT AS WRITTEN EVIDENCE OF THE</w:t>
      </w:r>
    </w:p>
    <w:p>
      <w:pPr>
        <w:sectPr>
          <w:pgSz w:w="11900" w:h="16838" w:orient="portrait"/>
          <w:cols w:equalWidth="0" w:num="1">
            <w:col w:w="11420"/>
          </w:cols>
          <w:pgMar w:left="240" w:top="555" w:right="239" w:bottom="1440" w:gutter="0" w:footer="0" w:header="0"/>
        </w:sectPr>
      </w:pPr>
    </w:p>
    <w:bookmarkStart w:id="130" w:name="page131"/>
    <w:bookmarkEnd w:id="130"/>
    <w:p>
      <w:pPr>
        <w:jc w:val="both"/>
        <w:spacing w:after="0" w:line="246" w:lineRule="auto"/>
        <w:rPr>
          <w:sz w:val="20"/>
          <w:szCs w:val="20"/>
          <w:color w:val="auto"/>
        </w:rPr>
      </w:pPr>
      <w:r>
        <w:rPr>
          <w:rFonts w:ascii="Arial" w:cs="Arial" w:eastAsia="Arial" w:hAnsi="Arial"/>
          <w:sz w:val="20"/>
          <w:szCs w:val="20"/>
          <w:color w:val="auto"/>
        </w:rPr>
        <w:t>KNOWING, VOLUNTARY AND BARGAINED-FOR AGREEMENT AMONG THE PARTIES IRREVOCABLY TO WAIVE TRIAL BY JURY AND THAT ANY PROCEEDING WHATSOEVER BETWEEN THEM RELATING TO THIS AGREEMENT OR ANY OF THE CONTEMPLATED TRANSACTIONS SHALL INSTEAD BE TRIED IN A COURT OF COMPETENT JURISDICTION BY A JUDGE SITTING WITHOUT A JURY.</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 Company be interpreted to comply in all respects with Internal Revenue Code Section 409A, however, the Employer and the Company shall have no liability to you, or any of your successors or beneficiaries, in the event taxes, penalties or excise taxes may ultimately be determined to be applicable to any payment or benefit received by you or your successors or beneficiaries.</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Bloomin’ Brands policies and procedures, please let me know immediately.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By signing this offer, you indicate your acceptance of our offer. Please keep one original copy of this offer letter for your personal files.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having you join us as a member of our team.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Pablo Brizi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Pablo Brizi</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Chief Human Resources Officer</w:t>
      </w:r>
    </w:p>
    <w:p>
      <w:pPr>
        <w:spacing w:after="0"/>
        <w:rPr>
          <w:sz w:val="20"/>
          <w:szCs w:val="20"/>
          <w:color w:val="auto"/>
        </w:rPr>
      </w:pPr>
      <w:r>
        <w:rPr>
          <w:rFonts w:ascii="Arial" w:cs="Arial" w:eastAsia="Arial" w:hAnsi="Arial"/>
          <w:sz w:val="20"/>
          <w:szCs w:val="20"/>
          <w:color w:val="auto"/>
        </w:rPr>
        <w:t>Bloomin’ Brands, Inc.</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 accept the above offer of employment and I understand the terms as set forth above.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ind w:left="40"/>
              <w:spacing w:after="0"/>
              <w:rPr>
                <w:sz w:val="20"/>
                <w:szCs w:val="20"/>
                <w:color w:val="auto"/>
              </w:rPr>
            </w:pPr>
            <w:r>
              <w:rPr>
                <w:rFonts w:ascii="Arial" w:cs="Arial" w:eastAsia="Arial" w:hAnsi="Arial"/>
                <w:sz w:val="18"/>
                <w:szCs w:val="18"/>
                <w:b w:val="1"/>
                <w:bCs w:val="1"/>
                <w:color w:val="auto"/>
              </w:rPr>
              <w:t>/s/ Gregg Scarlett</w:t>
            </w:r>
          </w:p>
        </w:tc>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2/14/20</w:t>
            </w:r>
          </w:p>
        </w:tc>
      </w:tr>
      <w:tr>
        <w:trPr>
          <w:trHeight w:val="27"/>
        </w:trPr>
        <w:tc>
          <w:tcPr>
            <w:tcW w:w="54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54"/>
        </w:trPr>
        <w:tc>
          <w:tcPr>
            <w:tcW w:w="6480" w:type="dxa"/>
            <w:vAlign w:val="bottom"/>
            <w:gridSpan w:val="2"/>
          </w:tcPr>
          <w:p>
            <w:pPr>
              <w:ind w:left="40"/>
              <w:spacing w:after="0"/>
              <w:rPr>
                <w:sz w:val="20"/>
                <w:szCs w:val="20"/>
                <w:color w:val="auto"/>
              </w:rPr>
            </w:pPr>
            <w:r>
              <w:rPr>
                <w:rFonts w:ascii="Arial" w:cs="Arial" w:eastAsia="Arial" w:hAnsi="Arial"/>
                <w:sz w:val="20"/>
                <w:szCs w:val="20"/>
                <w:b w:val="1"/>
                <w:bCs w:val="1"/>
                <w:color w:val="auto"/>
              </w:rPr>
              <w:t>Gregg Scarlett</w:t>
            </w:r>
          </w:p>
        </w:tc>
        <w:tc>
          <w:tcPr>
            <w:tcW w:w="3320" w:type="dxa"/>
            <w:vAlign w:val="bottom"/>
          </w:tcPr>
          <w:p>
            <w:pPr>
              <w:ind w:left="20"/>
              <w:spacing w:after="0"/>
              <w:rPr>
                <w:sz w:val="20"/>
                <w:szCs w:val="20"/>
                <w:color w:val="auto"/>
              </w:rPr>
            </w:pPr>
            <w:r>
              <w:rPr>
                <w:rFonts w:ascii="Arial" w:cs="Arial" w:eastAsia="Arial" w:hAnsi="Arial"/>
                <w:sz w:val="20"/>
                <w:szCs w:val="20"/>
                <w:b w:val="1"/>
                <w:bCs w:val="1"/>
                <w:color w:val="auto"/>
              </w:rPr>
              <w:t>Date</w:t>
            </w:r>
          </w:p>
        </w:tc>
      </w:tr>
    </w:tbl>
    <w:p>
      <w:pPr>
        <w:sectPr>
          <w:pgSz w:w="11900" w:h="16838" w:orient="portrait"/>
          <w:cols w:equalWidth="0" w:num="1">
            <w:col w:w="11420"/>
          </w:cols>
          <w:pgMar w:left="240" w:top="55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0"/>
          <w:szCs w:val="20"/>
          <w:u w:val="single" w:color="auto"/>
          <w:color w:val="auto"/>
        </w:rPr>
        <w:t>Schedule 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"Cause" shall be defined as:</w:t>
      </w:r>
    </w:p>
    <w:p>
      <w:pPr>
        <w:spacing w:after="0" w:line="189" w:lineRule="exact"/>
        <w:rPr>
          <w:sz w:val="20"/>
          <w:szCs w:val="20"/>
          <w:color w:val="auto"/>
        </w:rPr>
      </w:pPr>
    </w:p>
    <w:p>
      <w:pPr>
        <w:jc w:val="both"/>
        <w:ind w:left="660" w:hanging="328"/>
        <w:spacing w:after="0" w:line="26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Your failure to perform the material duties required of you in a manner satisfactory to the Employer, in its reasonable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reasonable discretion, within such thirty (30) day period (or if during such thirty</w:t>
      </w:r>
    </w:p>
    <w:p>
      <w:pPr>
        <w:spacing w:after="0" w:line="3" w:lineRule="exact"/>
        <w:rPr>
          <w:rFonts w:ascii="Arial" w:cs="Arial" w:eastAsia="Arial" w:hAnsi="Arial"/>
          <w:sz w:val="18"/>
          <w:szCs w:val="18"/>
          <w:color w:val="auto"/>
        </w:rPr>
      </w:pPr>
    </w:p>
    <w:p>
      <w:pPr>
        <w:jc w:val="both"/>
        <w:ind w:left="660" w:hanging="4"/>
        <w:spacing w:after="0"/>
        <w:tabs>
          <w:tab w:leader="none" w:pos="1081" w:val="left"/>
        </w:tabs>
        <w:numPr>
          <w:ilvl w:val="1"/>
          <w:numId w:val="93"/>
        </w:numPr>
        <w:rPr>
          <w:rFonts w:ascii="Arial" w:cs="Arial" w:eastAsia="Arial" w:hAnsi="Arial"/>
          <w:sz w:val="20"/>
          <w:szCs w:val="20"/>
          <w:color w:val="auto"/>
        </w:rPr>
      </w:pPr>
      <w:r>
        <w:rPr>
          <w:rFonts w:ascii="Arial" w:cs="Arial" w:eastAsia="Arial" w:hAnsi="Arial"/>
          <w:sz w:val="20"/>
          <w:szCs w:val="20"/>
          <w:color w:val="auto"/>
        </w:rPr>
        <w:t>day period the Employer determines that you are not making reasonable, good faith efforts to cure the deficiencies to the reasonable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spacing w:after="0" w:line="211" w:lineRule="exact"/>
        <w:rPr>
          <w:rFonts w:ascii="Arial" w:cs="Arial" w:eastAsia="Arial" w:hAnsi="Arial"/>
          <w:sz w:val="20"/>
          <w:szCs w:val="20"/>
          <w:color w:val="auto"/>
        </w:rPr>
      </w:pPr>
    </w:p>
    <w:p>
      <w:pPr>
        <w:jc w:val="both"/>
        <w:ind w:left="660" w:hanging="328"/>
        <w:spacing w:after="0" w:line="269" w:lineRule="auto"/>
        <w:tabs>
          <w:tab w:leader="none" w:pos="6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willful dishonesty by you in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spacing w:after="0" w:line="183" w:lineRule="exact"/>
        <w:rPr>
          <w:rFonts w:ascii="Arial" w:cs="Arial" w:eastAsia="Arial" w:hAnsi="Arial"/>
          <w:sz w:val="19"/>
          <w:szCs w:val="19"/>
          <w:color w:val="auto"/>
        </w:rPr>
      </w:pPr>
    </w:p>
    <w:p>
      <w:pPr>
        <w:ind w:left="660" w:hanging="328"/>
        <w:spacing w:after="0"/>
        <w:tabs>
          <w:tab w:leader="none" w:pos="66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material violation of the restrictive covenants of this agreement or</w:t>
      </w:r>
    </w:p>
    <w:p>
      <w:pPr>
        <w:spacing w:after="0" w:line="229"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material violation of any current or future material published policy of the Employer or its Affiliates (material published policies include, but are not limited to, the Employer's discrimination and harassment policy, management dating policy, responsible alcohol policy, insider trading policy, ethics policy and security policy).</w:t>
      </w:r>
    </w:p>
    <w:p>
      <w:pPr>
        <w:spacing w:after="0" w:line="199" w:lineRule="exact"/>
        <w:rPr>
          <w:rFonts w:ascii="Arial" w:cs="Arial" w:eastAsia="Arial" w:hAnsi="Arial"/>
          <w:sz w:val="20"/>
          <w:szCs w:val="20"/>
          <w:color w:val="auto"/>
        </w:rPr>
      </w:pPr>
    </w:p>
    <w:p>
      <w:pPr>
        <w:ind w:left="660" w:right="20" w:hanging="328"/>
        <w:spacing w:after="0" w:line="287" w:lineRule="auto"/>
        <w:tabs>
          <w:tab w:leader="none" w:pos="6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For all purposes of this Agreement, termination for Cause shall be deemed to have occurred in the event of the Employee's resignation when, because of existing facts and circumstances, subsequent termination for Cause can be reasonably foreseen.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Good Reason” shall be defined as any one or more of the following</w:t>
      </w:r>
    </w:p>
    <w:p>
      <w:pPr>
        <w:spacing w:after="0" w:line="238" w:lineRule="exact"/>
        <w:rPr>
          <w:sz w:val="20"/>
          <w:szCs w:val="20"/>
          <w:color w:val="auto"/>
        </w:rPr>
      </w:pPr>
    </w:p>
    <w:p>
      <w:pPr>
        <w:ind w:left="660" w:hanging="328"/>
        <w:spacing w:after="0" w:line="247" w:lineRule="auto"/>
        <w:tabs>
          <w:tab w:leader="none" w:pos="6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material diminution in the nature and scope of your responsibilities, duties or authority (any diminution of the business of the Company shall not constitute Good Reason);</w:t>
      </w:r>
    </w:p>
    <w:p>
      <w:pPr>
        <w:spacing w:after="0" w:line="1" w:lineRule="exact"/>
        <w:rPr>
          <w:rFonts w:ascii="Arial" w:cs="Arial" w:eastAsia="Arial" w:hAnsi="Arial"/>
          <w:sz w:val="20"/>
          <w:szCs w:val="20"/>
          <w:color w:val="auto"/>
        </w:rPr>
      </w:pPr>
    </w:p>
    <w:p>
      <w:pPr>
        <w:jc w:val="both"/>
        <w:ind w:left="660" w:hanging="328"/>
        <w:spacing w:after="0" w:line="239" w:lineRule="auto"/>
        <w:tabs>
          <w:tab w:leader="none" w:pos="6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material diminution by the Company in your current base salary and/or your annual bonus potential other than as part of an across-the-board reduction that results in a proportional reduction to you substantially equivalent to that of other employees that are designated at the same level as you;</w:t>
      </w:r>
    </w:p>
    <w:p>
      <w:pPr>
        <w:spacing w:after="0" w:line="1" w:lineRule="exact"/>
        <w:rPr>
          <w:rFonts w:ascii="Arial" w:cs="Arial" w:eastAsia="Arial" w:hAnsi="Arial"/>
          <w:sz w:val="20"/>
          <w:szCs w:val="20"/>
          <w:color w:val="auto"/>
        </w:rPr>
      </w:pPr>
    </w:p>
    <w:p>
      <w:pPr>
        <w:jc w:val="both"/>
        <w:ind w:left="660" w:hanging="328"/>
        <w:spacing w:after="0" w:line="239" w:lineRule="auto"/>
        <w:tabs>
          <w:tab w:leader="none" w:pos="6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removal from, or failure to continue in, the your current position, unless you are offered another position that is no less favorable than your current position in terms of compensation (compensation for these purposes meaning base salary and participation in annual bonus and long-term incentive programs); or</w:t>
      </w:r>
    </w:p>
    <w:p>
      <w:pPr>
        <w:spacing w:after="0" w:line="1" w:lineRule="exact"/>
        <w:rPr>
          <w:rFonts w:ascii="Arial" w:cs="Arial" w:eastAsia="Arial" w:hAnsi="Arial"/>
          <w:sz w:val="20"/>
          <w:szCs w:val="20"/>
          <w:color w:val="auto"/>
        </w:rPr>
      </w:pPr>
    </w:p>
    <w:p>
      <w:pPr>
        <w:jc w:val="both"/>
        <w:ind w:left="660" w:hanging="328"/>
        <w:spacing w:after="0" w:line="282"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actual relocation of your principal office to another location more than fifty (50) miles from your current office location and such office relocation results in a material increase in your length of commute; provided that no finding of Good Reason shall be effective unless and until you have provided the Company, within sixty (60) calendar days of the date when the you became aware, or</w:t>
      </w:r>
    </w:p>
    <w:p>
      <w:pPr>
        <w:sectPr>
          <w:pgSz w:w="11900" w:h="16838" w:orient="portrait"/>
          <w:cols w:equalWidth="0" w:num="1">
            <w:col w:w="11420"/>
          </w:cols>
          <w:pgMar w:left="240" w:top="1000" w:right="239" w:bottom="1440" w:gutter="0" w:footer="0" w:header="0"/>
        </w:sectPr>
      </w:pPr>
    </w:p>
    <w:bookmarkStart w:id="132" w:name="page133"/>
    <w:bookmarkEnd w:id="132"/>
    <w:p>
      <w:pPr>
        <w:jc w:val="both"/>
        <w:spacing w:after="0" w:line="230" w:lineRule="auto"/>
        <w:rPr>
          <w:sz w:val="20"/>
          <w:szCs w:val="20"/>
          <w:color w:val="auto"/>
        </w:rPr>
      </w:pPr>
      <w:r>
        <w:rPr>
          <w:rFonts w:ascii="Arial" w:cs="Arial" w:eastAsia="Arial" w:hAnsi="Arial"/>
          <w:sz w:val="20"/>
          <w:szCs w:val="20"/>
          <w:color w:val="auto"/>
        </w:rPr>
        <w:t>should have become aware, of the facts and circumstances underlying the finding of Good Reason, with written notice thereof stating with specificity all of the facts and circumstances underlying the finding of Good Reason and that the you intends to terminate your employment for Good Reason no later than the sixtieth (60th) day following the delivery of such notice to the Employer and, if the basis for such finding of Good Reason is capable of being cured by the Employer, providing the Employer with an opportunity to cure the same within thirty (30) calendar days after receipt of such notice. If the Company does not cure the same within such thirty (30) calendar day cure period, no finding of Good Reason shall be effective unless you terminate employment within thirty (30) calendar days of the expiration of such cure period.</w:t>
      </w:r>
    </w:p>
    <w:p>
      <w:pPr>
        <w:sectPr>
          <w:pgSz w:w="11900" w:h="16838" w:orient="portrait"/>
          <w:cols w:equalWidth="0" w:num="1">
            <w:col w:w="10760"/>
          </w:cols>
          <w:pgMar w:left="900" w:top="555"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57"/>
        </w:trPr>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740" w:type="dxa"/>
            <w:vAlign w:val="bottom"/>
            <w:gridSpan w:val="2"/>
          </w:tcPr>
          <w:p>
            <w:pPr>
              <w:ind w:left="5720"/>
              <w:spacing w:after="0"/>
              <w:rPr>
                <w:sz w:val="20"/>
                <w:szCs w:val="20"/>
                <w:color w:val="auto"/>
              </w:rPr>
            </w:pPr>
            <w:r>
              <w:rPr>
                <w:rFonts w:ascii="Arial" w:cs="Arial" w:eastAsia="Arial" w:hAnsi="Arial"/>
                <w:sz w:val="20"/>
                <w:szCs w:val="20"/>
                <w:b w:val="1"/>
                <w:bCs w:val="1"/>
                <w:color w:val="auto"/>
                <w:w w:val="89"/>
              </w:rPr>
              <w:t>Exhibit 21.1</w:t>
            </w:r>
          </w:p>
        </w:tc>
      </w:tr>
      <w:tr>
        <w:trPr>
          <w:trHeight w:val="61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 NAME</w:t>
            </w:r>
          </w:p>
        </w:tc>
        <w:tc>
          <w:tcPr>
            <w:tcW w:w="100" w:type="dxa"/>
            <w:vAlign w:val="bottom"/>
            <w:tcBorders>
              <w:bottom w:val="single" w:sz="8" w:color="CCEEFF"/>
            </w:tcBorders>
          </w:tcPr>
          <w:p>
            <w:pPr>
              <w:spacing w:after="0"/>
              <w:rPr>
                <w:sz w:val="24"/>
                <w:szCs w:val="24"/>
                <w:color w:val="auto"/>
              </w:rPr>
            </w:pPr>
          </w:p>
        </w:tc>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20" w:type="dxa"/>
            <w:vAlign w:val="bottom"/>
          </w:tcPr>
          <w:p>
            <w:pPr>
              <w:spacing w:after="0"/>
              <w:rPr>
                <w:sz w:val="24"/>
                <w:szCs w:val="24"/>
                <w:color w:val="auto"/>
              </w:rPr>
            </w:pPr>
          </w:p>
        </w:tc>
      </w:tr>
      <w:tr>
        <w:trPr>
          <w:trHeight w:val="25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Annapolis Outback,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22"/>
                <w:szCs w:val="22"/>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BBI International Holdings, Inc.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BBI Ristorante Italiano,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Bel Air Outback, Inc.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BFG Nebraska,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BFG New Jersey Services,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BFG Oklahoma,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BFG Pennsylvania Services, Ltd</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BFG/FPS of Marlton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Brands Holdings I C.V.</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NL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Brands Holdings II C.V.</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Group Holdings B.V.</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NL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Group Holdings II, B.V.</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Group Holdings III C.V.</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NL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Group Restaurants, B.V.</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Group Restaurants,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No.1 Limited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HK</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No.2 Limited</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HK</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Participações, Ltda.</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BR</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Restaurantes Brasil S.A.</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BR</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Bloomin’ Brands Gift Card Services,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Bloomin’ Brands International,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Bloomin Hong Kong Limited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HK</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Bloomin Puerto Rico L.P.</w:t>
            </w:r>
          </w:p>
        </w:tc>
        <w:tc>
          <w:tcPr>
            <w:tcW w:w="67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CI</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Baltimore County,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Beverages,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Brandywine,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Designated Partner,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Grill International,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Grill,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Holdings,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Kansas LLC</w:t>
            </w:r>
          </w:p>
        </w:tc>
        <w:tc>
          <w:tcPr>
            <w:tcW w:w="674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KS</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of Bel Air,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of Gaithersburg, Inc.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Bonefish/Anne Arundel,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Bonefish/Asheville,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Bonefish/Carolinas,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Bonefish/Centreville,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Bonefish/Columbus-I,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Bonefish/Crescent Springs,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Bonefish/Fredericksburg,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Bonefish/Glen Burnie,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Bonefish/Greensboro,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Bonefish/Hyde Park,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Bonefish/Newport News,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Bonefish/Richmond,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Bonefish/Southern Virginia,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Bonefish/Virginia,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Designated Partner,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c>
          <w:tcPr>
            <w:tcW w:w="20" w:type="dxa"/>
            <w:vAlign w:val="bottom"/>
          </w:tcPr>
          <w:p>
            <w:pPr>
              <w:spacing w:after="0"/>
              <w:rPr>
                <w:sz w:val="24"/>
                <w:szCs w:val="24"/>
                <w:color w:val="auto"/>
              </w:rPr>
            </w:pPr>
          </w:p>
        </w:tc>
      </w:tr>
    </w:tbl>
    <w:p>
      <w:pPr>
        <w:sectPr>
          <w:pgSz w:w="11900" w:h="16838" w:orient="portrait"/>
          <w:cols w:equalWidth="0" w:num="1">
            <w:col w:w="11420"/>
          </w:cols>
          <w:pgMar w:left="240" w:top="115" w:right="2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 NAME</w:t>
            </w:r>
          </w:p>
        </w:tc>
        <w:tc>
          <w:tcPr>
            <w:tcW w:w="100" w:type="dxa"/>
            <w:vAlign w:val="bottom"/>
          </w:tcPr>
          <w:p>
            <w:pPr>
              <w:spacing w:after="0"/>
              <w:rPr>
                <w:sz w:val="17"/>
                <w:szCs w:val="17"/>
                <w:color w:val="auto"/>
              </w:rPr>
            </w:pPr>
          </w:p>
        </w:tc>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51"/>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Italian Grill of Howard County,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Italian Grill of Overlea,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Italian Grill,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Kansas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KS</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of Bowie, LLC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of Germantown,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of Ocean City,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of Pasadena,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of Waldorf,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Carrabba’s/Birmingham 280,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Carrabba’s/DC-I, Limited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CIGI Beverages of Texas,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CIGI Florida Services, Ltd</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CIGI Holdings,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CIGI Nebraska,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CIGI Oklahoma,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CIGI/BFG of East Brunswick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DoorSide,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Dutch Holdings I,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Dutch Holdings II,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Fleming’s Beverages,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Fleming’s International,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Fleming’s of Baltimore, LLC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Flemings Restaurantes do Brasil Ltda.</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BR</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Fleming’s/Outback Holdings,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FPS NEBRASKA,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FPS Oklahoma,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Frederick Outback,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Hagerstown Outback,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Private Restaurant Properties,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OBTex Holdings,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Ocean City Outback,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 Management,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 Niagara Falls,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 Prime,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 Realty,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 Restaurant Services,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 Southern,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 Tropical,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Florida Services,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Nebraska,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New Jersey Services,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New York Services, Limited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North Carolina Services,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Oklahoma,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Pennsylvania Services,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South Carolina Services, Ltd</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Virginia Services,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58"/>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OSF/BFG of Deptford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bl>
    <w:p>
      <w:pPr>
        <w:sectPr>
          <w:pgSz w:w="11900" w:h="16838" w:orient="portrait"/>
          <w:cols w:equalWidth="0" w:num="1">
            <w:col w:w="11400"/>
          </w:cols>
          <w:pgMar w:left="240" w:top="549" w:right="25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 NAME</w:t>
            </w:r>
          </w:p>
        </w:tc>
        <w:tc>
          <w:tcPr>
            <w:tcW w:w="100" w:type="dxa"/>
            <w:vAlign w:val="bottom"/>
            <w:tcBorders>
              <w:bottom w:val="single" w:sz="8" w:color="CCEEFF"/>
            </w:tcBorders>
          </w:tcPr>
          <w:p>
            <w:pPr>
              <w:spacing w:after="0"/>
              <w:rPr>
                <w:sz w:val="17"/>
                <w:szCs w:val="17"/>
                <w:color w:val="auto"/>
              </w:rPr>
            </w:pPr>
          </w:p>
        </w:tc>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5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OSF/BFG of Lawrenceville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OSF/CIGI of Evesham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OSI China Venture</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CI</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OSI HoldCo, Inc.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OSI HoldCo I,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OSI HoldCo II, Inc.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OSI International,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OSI Restaurant Partners,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OSI/Fleming’s,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&amp; Carrabba’s of New Mexico, Inc.</w:t>
            </w:r>
          </w:p>
        </w:tc>
        <w:tc>
          <w:tcPr>
            <w:tcW w:w="672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Alabama,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Beverages of Texas,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Designated Partner,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Kansas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6"/>
              </w:rPr>
              <w:t>KS</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of Aspen Hill,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of Calvert County,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of Conway,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AR</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of Germantown,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of La Plata,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of Laurel, LLC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of Waldorf,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Philippines Development Holdings Corporation</w:t>
            </w:r>
          </w:p>
        </w:tc>
        <w:tc>
          <w:tcPr>
            <w:tcW w:w="6720" w:type="dxa"/>
            <w:vAlign w:val="bottom"/>
          </w:tcPr>
          <w:p>
            <w:pPr>
              <w:jc w:val="center"/>
              <w:spacing w:after="0"/>
              <w:rPr>
                <w:sz w:val="20"/>
                <w:szCs w:val="20"/>
                <w:color w:val="auto"/>
              </w:rPr>
            </w:pPr>
            <w:r>
              <w:rPr>
                <w:rFonts w:ascii="Arial" w:cs="Arial" w:eastAsia="Arial" w:hAnsi="Arial"/>
                <w:sz w:val="14"/>
                <w:szCs w:val="14"/>
                <w:color w:val="auto"/>
                <w:w w:val="90"/>
              </w:rPr>
              <w:t>PI</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Puerto Rico Designated Partner,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International Investments, Co.</w:t>
            </w:r>
          </w:p>
        </w:tc>
        <w:tc>
          <w:tcPr>
            <w:tcW w:w="6720" w:type="dxa"/>
            <w:vAlign w:val="bottom"/>
          </w:tcPr>
          <w:p>
            <w:pPr>
              <w:jc w:val="center"/>
              <w:spacing w:after="0"/>
              <w:rPr>
                <w:sz w:val="20"/>
                <w:szCs w:val="20"/>
                <w:color w:val="auto"/>
              </w:rPr>
            </w:pPr>
            <w:r>
              <w:rPr>
                <w:rFonts w:ascii="Arial" w:cs="Arial" w:eastAsia="Arial" w:hAnsi="Arial"/>
                <w:sz w:val="14"/>
                <w:szCs w:val="14"/>
                <w:color w:val="auto"/>
                <w:w w:val="99"/>
              </w:rPr>
              <w:t>CI</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International, L.P.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GA</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International,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of Bowie,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of Canton,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of Florida,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of Howard County,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of Jonesboro,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AR</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of Salisbury,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of St. Mary’s County,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Restaurantes Brasil, S.A. (f/k/a Bloom Holdco)</w:t>
            </w:r>
          </w:p>
        </w:tc>
        <w:tc>
          <w:tcPr>
            <w:tcW w:w="6720" w:type="dxa"/>
            <w:vAlign w:val="bottom"/>
          </w:tcPr>
          <w:p>
            <w:pPr>
              <w:jc w:val="center"/>
              <w:spacing w:after="0"/>
              <w:rPr>
                <w:sz w:val="20"/>
                <w:szCs w:val="20"/>
                <w:color w:val="auto"/>
              </w:rPr>
            </w:pPr>
            <w:r>
              <w:rPr>
                <w:rFonts w:ascii="Arial" w:cs="Arial" w:eastAsia="Arial" w:hAnsi="Arial"/>
                <w:sz w:val="14"/>
                <w:szCs w:val="14"/>
                <w:color w:val="auto"/>
              </w:rPr>
              <w:t>BR</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West Virginia,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WV</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Outback/Carrabba’s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Outback/Fleming’s Designated Partner,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Outback/Hampton, Limited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Outback/Stone-II,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Outback-Carrabba’s of Hunt Valley,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Owings Mills Incorporated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Perry Hall Outback,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Prince George’s County Outback,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Private Restaurant Master Lessee, LLC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Snyderman Restaurant Group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NJ</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Williamsburg Square Joint Venture</w:t>
            </w:r>
          </w:p>
        </w:tc>
        <w:tc>
          <w:tcPr>
            <w:tcW w:w="6720" w:type="dxa"/>
            <w:vAlign w:val="bottom"/>
          </w:tcPr>
          <w:p>
            <w:pPr>
              <w:jc w:val="center"/>
              <w:spacing w:after="0"/>
              <w:rPr>
                <w:sz w:val="20"/>
                <w:szCs w:val="20"/>
                <w:color w:val="auto"/>
              </w:rPr>
            </w:pPr>
            <w:r>
              <w:rPr>
                <w:rFonts w:ascii="Arial" w:cs="Arial" w:eastAsia="Arial" w:hAnsi="Arial"/>
                <w:sz w:val="14"/>
                <w:szCs w:val="14"/>
                <w:color w:val="auto"/>
                <w:w w:val="85"/>
              </w:rPr>
              <w:t>PA</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Xuanmei Food and Beverage (Shanghai) Co.,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CN</w:t>
            </w:r>
          </w:p>
        </w:tc>
      </w:tr>
    </w:tbl>
    <w:p>
      <w:pPr>
        <w:sectPr>
          <w:pgSz w:w="11900" w:h="16838" w:orient="portrait"/>
          <w:cols w:equalWidth="0" w:num="1">
            <w:col w:w="11400"/>
          </w:cols>
          <w:pgMar w:left="240" w:top="549" w:right="25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hereby consent to the incorporation by reference in the Registration Statements on Form S-8 (Nos. 333-183270, 333-187035, 333-194261, 333-202259, 333-209691 and 333-210868) of Bloomin’ Brands, Inc. of our report dated February 26, 2020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2020</w:t>
      </w:r>
    </w:p>
    <w:p>
      <w:pPr>
        <w:sectPr>
          <w:pgSz w:w="11900" w:h="16838" w:orient="portrait"/>
          <w:cols w:equalWidth="0" w:num="1">
            <w:col w:w="11420"/>
          </w:cols>
          <w:pgMar w:left="240" w:top="34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29" w:lineRule="exact"/>
        <w:rPr>
          <w:sz w:val="20"/>
          <w:szCs w:val="20"/>
          <w:color w:val="auto"/>
        </w:rPr>
      </w:pPr>
    </w:p>
    <w:p>
      <w:pPr>
        <w:ind w:left="580" w:hanging="572"/>
        <w:spacing w:after="0"/>
        <w:tabs>
          <w:tab w:leader="none" w:pos="5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9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9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9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9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9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February 26, 2020</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346"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Christopher Meyer, certify that:</w:t>
      </w:r>
    </w:p>
    <w:p>
      <w:pPr>
        <w:spacing w:after="0" w:line="216" w:lineRule="exact"/>
        <w:rPr>
          <w:sz w:val="20"/>
          <w:szCs w:val="20"/>
          <w:color w:val="auto"/>
        </w:rPr>
      </w:pPr>
    </w:p>
    <w:p>
      <w:pPr>
        <w:ind w:left="580" w:hanging="572"/>
        <w:spacing w:after="0"/>
        <w:tabs>
          <w:tab w:leader="none" w:pos="5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9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9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9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February 26, 2020</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Christopher Meyer</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Executive Vice President and Chief Financial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Financial and Accounting Officer)</w:t>
      </w:r>
    </w:p>
    <w:p>
      <w:pPr>
        <w:sectPr>
          <w:pgSz w:w="11900" w:h="16838" w:orient="portrait"/>
          <w:cols w:equalWidth="0" w:num="1">
            <w:col w:w="11420"/>
          </w:cols>
          <w:pgMar w:left="240" w:top="346"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29, 2019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February 26, 2020</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Executive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420"/>
          </w:cols>
          <w:pgMar w:left="240" w:top="549"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29, 2019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February 26, 2020</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Christopher Meyer</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Executive Vice President and Chief Financial Officer</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Financial and Accounting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lowerRoman"/>
      <w:start w:val="1"/>
    </w:lvl>
  </w:abstractNum>
  <w:abstractNum w:abstractNumId="3">
    <w:nsid w:val="1BA026FA"/>
    <w:multiLevelType w:val="hybridMultilevel"/>
    <w:lvl w:ilvl="0">
      <w:lvlJc w:val="left"/>
      <w:lvlText w:val="(%1)"/>
      <w:numFmt w:val="lowerRoman"/>
      <w:start w:val="11"/>
    </w:lvl>
  </w:abstractNum>
  <w:abstractNum w:abstractNumId="4">
    <w:nsid w:val="79A1DEAA"/>
    <w:multiLevelType w:val="hybridMultilevel"/>
    <w:lvl w:ilvl="0">
      <w:lvlJc w:val="left"/>
      <w:lvlText w:val="(%1)"/>
      <w:numFmt w:val="decimal"/>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1)"/>
      <w:numFmt w:val="decimal"/>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1)"/>
      <w:numFmt w:val="decimal"/>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lvl w:ilvl="1">
      <w:lvlJc w:val="left"/>
      <w:lvlText w:val="(%2)"/>
      <w:numFmt w:val="lowerRoman"/>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1)"/>
      <w:numFmt w:val="decimal"/>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1)"/>
      <w:numFmt w:val="decimal"/>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decimal"/>
      <w:start w:val="1"/>
    </w:lvl>
  </w:abstractNum>
  <w:abstractNum w:abstractNumId="26">
    <w:nsid w:val="7E0C57B1"/>
    <w:multiLevelType w:val="hybridMultilevel"/>
    <w:lvl w:ilvl="0">
      <w:lvlJc w:val="left"/>
      <w:lvlText w:val="(%1)"/>
      <w:numFmt w:val="decimal"/>
      <w:start w:val="1"/>
    </w:lvl>
  </w:abstractNum>
  <w:abstractNum w:abstractNumId="27">
    <w:nsid w:val="77AE35EB"/>
    <w:multiLevelType w:val="hybridMultilevel"/>
    <w:lvl w:ilvl="0">
      <w:lvlJc w:val="left"/>
      <w:lvlText w:val="(%1)"/>
      <w:numFmt w:val="decimal"/>
      <w:start w:val="1"/>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1)"/>
      <w:numFmt w:val="decimal"/>
      <w:start w:val="1"/>
    </w:lvl>
  </w:abstractNum>
  <w:abstractNum w:abstractNumId="32">
    <w:nsid w:val="25A70BF7"/>
    <w:multiLevelType w:val="hybridMultilevel"/>
    <w:lvl w:ilvl="0">
      <w:lvlJc w:val="left"/>
      <w:lvlText w:val="(%1)"/>
      <w:numFmt w:val="decimal"/>
      <w:start w:val="1"/>
    </w:lvl>
  </w:abstractNum>
  <w:abstractNum w:abstractNumId="33">
    <w:nsid w:val="1DBABF00"/>
    <w:multiLevelType w:val="hybridMultilevel"/>
    <w:lvl w:ilvl="0">
      <w:lvlJc w:val="left"/>
      <w:lvlText w:val="(%1)"/>
      <w:numFmt w:val="decimal"/>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lowerRoman"/>
      <w:start w:val="2"/>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2"/>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1:"/>
      <w:numFmt w:val="decimal"/>
      <w:start w:val="11"/>
    </w:lvl>
  </w:abstractNum>
  <w:abstractNum w:abstractNumId="41">
    <w:nsid w:val="5F5E7FD0"/>
    <w:multiLevelType w:val="hybridMultilevel"/>
    <w:lvl w:ilvl="0">
      <w:lvlJc w:val="left"/>
      <w:lvlText w:val="(%1)"/>
      <w:numFmt w:val="lowerRoman"/>
      <w:start w:val="1"/>
    </w:lvl>
  </w:abstractNum>
  <w:abstractNum w:abstractNumId="42">
    <w:nsid w:val="98A3148"/>
    <w:multiLevelType w:val="hybridMultilevel"/>
    <w:lvl w:ilvl="0">
      <w:lvlJc w:val="left"/>
      <w:lvlText w:val="(%1)"/>
      <w:numFmt w:val="decimal"/>
      <w:start w:val="1"/>
    </w:lvl>
  </w:abstractNum>
  <w:abstractNum w:abstractNumId="43">
    <w:nsid w:val="799D0247"/>
    <w:multiLevelType w:val="hybridMultilevel"/>
    <w:lvl w:ilvl="0">
      <w:lvlJc w:val="left"/>
      <w:lvlText w:val="%1."/>
      <w:numFmt w:val="decimal"/>
      <w:start w:val="4"/>
    </w:lvl>
  </w:abstractNum>
  <w:abstractNum w:abstractNumId="44">
    <w:nsid w:val="6B94764"/>
    <w:multiLevelType w:val="hybridMultilevel"/>
    <w:lvl w:ilvl="0">
      <w:lvlJc w:val="left"/>
      <w:lvlText w:val="%1."/>
      <w:numFmt w:val="decimal"/>
      <w:start w:val="5"/>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1)"/>
      <w:numFmt w:val="decimal"/>
      <w:start w:val="1"/>
    </w:lvl>
  </w:abstractNum>
  <w:abstractNum w:abstractNumId="48">
    <w:nsid w:val="661E3F1E"/>
    <w:multiLevelType w:val="hybridMultilevel"/>
    <w:lvl w:ilvl="0">
      <w:lvlJc w:val="left"/>
      <w:lvlText w:val="%1."/>
      <w:numFmt w:val="decimal"/>
      <w:start w:val="6"/>
    </w:lvl>
  </w:abstractNum>
  <w:abstractNum w:abstractNumId="49">
    <w:nsid w:val="5DC79EA8"/>
    <w:multiLevelType w:val="hybridMultilevel"/>
    <w:lvl w:ilvl="0">
      <w:lvlJc w:val="left"/>
      <w:lvlText w:val="%1."/>
      <w:numFmt w:val="decimal"/>
      <w:start w:val="7"/>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1)"/>
      <w:numFmt w:val="decimal"/>
      <w:start w:val="1"/>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1."/>
      <w:numFmt w:val="decimal"/>
      <w:start w:val="8"/>
    </w:lvl>
  </w:abstractNum>
  <w:abstractNum w:abstractNumId="54">
    <w:nsid w:val="BF72B14"/>
    <w:multiLevelType w:val="hybridMultilevel"/>
    <w:lvl w:ilvl="0">
      <w:lvlJc w:val="left"/>
      <w:lvlText w:val="%1."/>
      <w:numFmt w:val="decimal"/>
      <w:start w:val="9"/>
    </w:lvl>
  </w:abstractNum>
  <w:abstractNum w:abstractNumId="55">
    <w:nsid w:val="11447B73"/>
    <w:multiLevelType w:val="hybridMultilevel"/>
    <w:lvl w:ilvl="0">
      <w:lvlJc w:val="left"/>
      <w:lvlText w:val="(%1)"/>
      <w:numFmt w:val="decimal"/>
      <w:start w:val="1"/>
    </w:lvl>
  </w:abstractNum>
  <w:abstractNum w:abstractNumId="56">
    <w:nsid w:val="42963E5A"/>
    <w:multiLevelType w:val="hybridMultilevel"/>
    <w:lvl w:ilvl="0">
      <w:lvlJc w:val="left"/>
      <w:lvlText w:val="(%1)"/>
      <w:numFmt w:val="decimal"/>
      <w:start w:val="1"/>
    </w:lvl>
  </w:abstractNum>
  <w:abstractNum w:abstractNumId="57">
    <w:nsid w:val="A0382C5"/>
    <w:multiLevelType w:val="hybridMultilevel"/>
    <w:lvl w:ilvl="0">
      <w:lvlJc w:val="left"/>
      <w:lvlText w:val="%1."/>
      <w:numFmt w:val="decimal"/>
      <w:start w:val="13"/>
    </w:lvl>
  </w:abstractNum>
  <w:abstractNum w:abstractNumId="58">
    <w:nsid w:val="8F2B15E"/>
    <w:multiLevelType w:val="hybridMultilevel"/>
    <w:lvl w:ilvl="0">
      <w:lvlJc w:val="left"/>
      <w:lvlText w:val="(%1)"/>
      <w:numFmt w:val="decimal"/>
      <w:start w:val="1"/>
    </w:lvl>
  </w:abstractNum>
  <w:abstractNum w:abstractNumId="59">
    <w:nsid w:val="1A32234B"/>
    <w:multiLevelType w:val="hybridMultilevel"/>
    <w:lvl w:ilvl="0">
      <w:lvlJc w:val="left"/>
      <w:lvlText w:val="%1."/>
      <w:numFmt w:val="decimal"/>
      <w:start w:val="14"/>
    </w:lvl>
  </w:abstractNum>
  <w:abstractNum w:abstractNumId="60">
    <w:nsid w:val="3B0FD379"/>
    <w:multiLevelType w:val="hybridMultilevel"/>
    <w:lvl w:ilvl="0">
      <w:lvlJc w:val="left"/>
      <w:lvlText w:val="(%1)"/>
      <w:numFmt w:val="decimal"/>
      <w:start w:val="1"/>
    </w:lvl>
  </w:abstractNum>
  <w:abstractNum w:abstractNumId="61">
    <w:nsid w:val="68EB2F63"/>
    <w:multiLevelType w:val="hybridMultilevel"/>
    <w:lvl w:ilvl="0">
      <w:lvlJc w:val="left"/>
      <w:lvlText w:val="%1."/>
      <w:numFmt w:val="decimal"/>
      <w:start w:val="15"/>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decimal"/>
      <w:start w:val="16"/>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17"/>
    </w:lvl>
  </w:abstractNum>
  <w:abstractNum w:abstractNumId="66">
    <w:nsid w:val="7FFFCA11"/>
    <w:multiLevelType w:val="hybridMultilevel"/>
    <w:lvl w:ilvl="0">
      <w:lvlJc w:val="left"/>
      <w:lvlText w:val="(%1)"/>
      <w:numFmt w:val="decimal"/>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18"/>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1."/>
      <w:numFmt w:val="decimal"/>
      <w:start w:val="19"/>
    </w:lvl>
  </w:abstractNum>
  <w:abstractNum w:abstractNumId="73">
    <w:nsid w:val="94211F2"/>
    <w:multiLevelType w:val="hybridMultilevel"/>
    <w:lvl w:ilvl="0">
      <w:lvlJc w:val="left"/>
      <w:lvlText w:val="%1."/>
      <w:numFmt w:val="decimal"/>
      <w:start w:val="20"/>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1."/>
      <w:numFmt w:val="decimal"/>
      <w:start w:val="1"/>
    </w:lvl>
  </w:abstractNum>
  <w:abstractNum w:abstractNumId="79">
    <w:nsid w:val="3222E7CD"/>
    <w:multiLevelType w:val="hybridMultilevel"/>
    <w:lvl w:ilvl="0">
      <w:lvlJc w:val="left"/>
      <w:lvlText w:val="%1."/>
      <w:numFmt w:val="decimal"/>
      <w:start w:val="4"/>
    </w:lvl>
  </w:abstractNum>
  <w:abstractNum w:abstractNumId="80">
    <w:nsid w:val="74DE0EE3"/>
    <w:multiLevelType w:val="hybridMultilevel"/>
    <w:lvl w:ilvl="0">
      <w:lvlJc w:val="left"/>
      <w:lvlText w:val="%1."/>
      <w:numFmt w:val="decimal"/>
      <w:start w:val="5"/>
    </w:lvl>
  </w:abstractNum>
  <w:abstractNum w:abstractNumId="81">
    <w:nsid w:val="68EBC550"/>
    <w:multiLevelType w:val="hybridMultilevel"/>
    <w:lvl w:ilvl="0">
      <w:lvlJc w:val="left"/>
      <w:lvlText w:val="%1."/>
      <w:numFmt w:val="decimal"/>
      <w:start w:val="8"/>
    </w:lvl>
  </w:abstractNum>
  <w:abstractNum w:abstractNumId="82">
    <w:nsid w:val="2DF6D648"/>
    <w:multiLevelType w:val="hybridMultilevel"/>
    <w:lvl w:ilvl="0">
      <w:lvlJc w:val="left"/>
      <w:lvlText w:val="%1."/>
      <w:numFmt w:val="decimal"/>
      <w:start w:val="11"/>
    </w:lvl>
  </w:abstractNum>
  <w:abstractNum w:abstractNumId="83">
    <w:nsid w:val="46B7D447"/>
    <w:multiLevelType w:val="hybridMultilevel"/>
    <w:lvl w:ilvl="0">
      <w:lvlJc w:val="left"/>
      <w:lvlText w:val="%1."/>
      <w:numFmt w:val="decimal"/>
      <w:start w:val="17"/>
    </w:lvl>
  </w:abstractNum>
  <w:abstractNum w:abstractNumId="84">
    <w:nsid w:val="4A2AC315"/>
    <w:multiLevelType w:val="hybridMultilevel"/>
    <w:lvl w:ilvl="0">
      <w:lvlJc w:val="left"/>
      <w:lvlText w:val="%1."/>
      <w:numFmt w:val="decimal"/>
      <w:start w:val="1"/>
    </w:lvl>
    <w:lvl w:ilvl="1">
      <w:lvlJc w:val="left"/>
      <w:lvlText w:val="(%2)"/>
      <w:numFmt w:val="lowerLetter"/>
      <w:start w:val="1"/>
    </w:lvl>
  </w:abstractNum>
  <w:abstractNum w:abstractNumId="85">
    <w:nsid w:val="39EE015C"/>
    <w:multiLevelType w:val="hybridMultilevel"/>
    <w:lvl w:ilvl="0">
      <w:lvlJc w:val="left"/>
      <w:lvlText w:val="%1."/>
      <w:numFmt w:val="decimal"/>
      <w:start w:val="4"/>
    </w:lvl>
    <w:lvl w:ilvl="1">
      <w:lvlJc w:val="left"/>
      <w:lvlText w:val="(%2)"/>
      <w:numFmt w:val="lowerLetter"/>
      <w:start w:val="1"/>
    </w:lvl>
  </w:abstractNum>
  <w:abstractNum w:abstractNumId="86">
    <w:nsid w:val="57FC4FBB"/>
    <w:multiLevelType w:val="hybridMultilevel"/>
    <w:lvl w:ilvl="0">
      <w:lvlJc w:val="left"/>
      <w:lvlText w:val="%1."/>
      <w:numFmt w:val="decimal"/>
      <w:start w:val="8"/>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
      <w:numFmt w:val="bullet"/>
      <w:start w:val="1"/>
    </w:lvl>
  </w:abstractNum>
  <w:abstractNum w:abstractNumId="89">
    <w:nsid w:val="60EF011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0">
    <w:nsid w:val="26F324BA"/>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1"/>
    </w:lvl>
  </w:abstractNum>
  <w:abstractNum w:abstractNumId="91">
    <w:nsid w:val="7F01579B"/>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92">
    <w:nsid w:val="49DA307D"/>
    <w:multiLevelType w:val="hybridMultilevel"/>
    <w:lvl w:ilvl="0">
      <w:lvlJc w:val="left"/>
      <w:lvlText w:val="%1."/>
      <w:numFmt w:val="decimal"/>
      <w:start w:val="1"/>
    </w:lvl>
    <w:lvl w:ilvl="1">
      <w:lvlJc w:val="left"/>
      <w:lvlText w:val="(%2)"/>
      <w:numFmt w:val="decimal"/>
      <w:start w:val="30"/>
    </w:lvl>
  </w:abstractNum>
  <w:abstractNum w:abstractNumId="93">
    <w:nsid w:val="7055A5F5"/>
    <w:multiLevelType w:val="hybridMultilevel"/>
    <w:lvl w:ilvl="0">
      <w:lvlJc w:val="left"/>
      <w:lvlText w:val="(%1)"/>
      <w:numFmt w:val="lowerRoman"/>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jpe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63" Type="http://schemas.openxmlformats.org/officeDocument/2006/relationships/hyperlink" Target="http://www.sec.gov/Archives/edgar/data/1546417/000119312512352193/d394531dex41.htm" TargetMode="External"/><Relationship Id="rId64" Type="http://schemas.openxmlformats.org/officeDocument/2006/relationships/hyperlink" Target="http://www.sec.gov/Archives/edgar/data/1546417/000154641718000142/ex31-thirdamendedandrestat.htm" TargetMode="External"/><Relationship Id="rId65" Type="http://schemas.openxmlformats.org/officeDocument/2006/relationships/hyperlink" Target="http://www.sec.gov/Archives/edgar/data/1546417/000119312512306157/d319863dex41.htm" TargetMode="External"/><Relationship Id="rId66" Type="http://schemas.openxmlformats.org/officeDocument/2006/relationships/hyperlink" Target="http://www.sec.gov/Archives/edgar/data/1546417/000154641718000042/blmn-123117_ex1038.htm" TargetMode="External"/><Relationship Id="rId67" Type="http://schemas.openxmlformats.org/officeDocument/2006/relationships/hyperlink" Target="http://www.sec.gov/Archives/edgar/data/1546417/000119312512153440/d319863dex106.htm" TargetMode="External"/><Relationship Id="rId68" Type="http://schemas.openxmlformats.org/officeDocument/2006/relationships/hyperlink" Target="http://www.sec.gov/Archives/edgar/data/1546417/000154641714000131/blmn-62914_ex106.htm" TargetMode="External"/><Relationship Id="rId69" Type="http://schemas.openxmlformats.org/officeDocument/2006/relationships/hyperlink" Target="http://www.sec.gov/Archives/edgar/data/1546417/000154641717000069/blmn-062517_ex101.htm" TargetMode="External"/><Relationship Id="rId70" Type="http://schemas.openxmlformats.org/officeDocument/2006/relationships/hyperlink" Target="http://www.sec.gov/Archives/edgar/data/1546417/000119312512153440/d319863dex108.htm" TargetMode="External"/><Relationship Id="rId71" Type="http://schemas.openxmlformats.org/officeDocument/2006/relationships/hyperlink" Target="http://www.sec.gov/Archives/edgar/data/1546417/000154641714000056/blmn-123113_ex1028.htm" TargetMode="External"/><Relationship Id="rId72" Type="http://schemas.openxmlformats.org/officeDocument/2006/relationships/hyperlink" Target="http://www.sec.gov/Archives/edgar/data/1546417/000119312512153440/d319863dex1046.htm" TargetMode="External"/><Relationship Id="rId73" Type="http://schemas.openxmlformats.org/officeDocument/2006/relationships/hyperlink" Target="http://www.sec.gov/Archives/edgar/data/1546417/000119312512153440/d319863dex101.htm" TargetMode="External"/><Relationship Id="rId74" Type="http://schemas.openxmlformats.org/officeDocument/2006/relationships/hyperlink" Target="http://www.sec.gov/Archives/edgar/data/1546417/000119312512153440/d319863dex1042.htm" TargetMode="External"/><Relationship Id="rId75" Type="http://schemas.openxmlformats.org/officeDocument/2006/relationships/hyperlink" Target="http://www.sec.gov/Archives/edgar/data/1546417/000119312512306157/d319863dex102.htm" TargetMode="External"/><Relationship Id="rId76" Type="http://schemas.openxmlformats.org/officeDocument/2006/relationships/hyperlink" Target="http://www.sec.gov/Archives/edgar/data/1546417/000154641712000034/exhibit102-formofnonqualif.htm" TargetMode="External"/><Relationship Id="rId77" Type="http://schemas.openxmlformats.org/officeDocument/2006/relationships/hyperlink" Target="http://www.sec.gov/Archives/edgar/data/1546417/000154641712000034/exhibit103-formofrestricte.htm" TargetMode="External"/><Relationship Id="rId78" Type="http://schemas.openxmlformats.org/officeDocument/2006/relationships/hyperlink" Target="http://www.sec.gov/Archives/edgar/data/1546417/000154641712000034/exhibit104-formofrestricte.htm" TargetMode="External"/><Relationship Id="rId79" Type="http://schemas.openxmlformats.org/officeDocument/2006/relationships/hyperlink" Target="http://www.sec.gov/Archives/edgar/data/1546417/000154641713000118/blmn-93013_ex101.htm" TargetMode="External"/><Relationship Id="rId80" Type="http://schemas.openxmlformats.org/officeDocument/2006/relationships/hyperlink" Target="http://www.sec.gov/Archives/edgar/data/1546417/000154641713000118/blmn-93013_ex102.htm" TargetMode="External"/><Relationship Id="rId81" Type="http://schemas.openxmlformats.org/officeDocument/2006/relationships/hyperlink" Target="http://www.sec.gov/Archives/edgar/data/1546417/000154641712000034/exhibit105-formofperforman.htm" TargetMode="External"/><Relationship Id="rId82" Type="http://schemas.openxmlformats.org/officeDocument/2006/relationships/hyperlink" Target="http://www.sec.gov/Archives/edgar/data/1546417/000119312512306157/d319863dex1039.htm" TargetMode="External"/><Relationship Id="rId83" Type="http://schemas.openxmlformats.org/officeDocument/2006/relationships/hyperlink" Target="http://www.sec.gov/Archives/edgar/data/1546417/000119312516500868/d94759ddef14a.htm" TargetMode="External"/><Relationship Id="rId84" Type="http://schemas.openxmlformats.org/officeDocument/2006/relationships/hyperlink" Target="http://www.sec.gov/Archives/edgar/data/1546417/000154641716000179/blmn-62616_ex102.htm" TargetMode="External"/><Relationship Id="rId85" Type="http://schemas.openxmlformats.org/officeDocument/2006/relationships/hyperlink" Target="http://www.sec.gov/Archives/edgar/data/1546417/000154641716000179/blmn-62616_ex103.htm" TargetMode="External"/><Relationship Id="rId86" Type="http://schemas.openxmlformats.org/officeDocument/2006/relationships/hyperlink" Target="http://www.sec.gov/Archives/edgar/data/1546417/000154641716000179/blmn-62616_ex104.htm" TargetMode="External"/><Relationship Id="rId87" Type="http://schemas.openxmlformats.org/officeDocument/2006/relationships/hyperlink" Target="http://www.sec.gov/Archives/edgar/data/1546417/000154641716000179/blmn-62616_ex105.htm" TargetMode="External"/><Relationship Id="rId88" Type="http://schemas.openxmlformats.org/officeDocument/2006/relationships/hyperlink" Target="http://www.sec.gov/Archives/edgar/data/1546417/000154641717000056/blmn-032617_ex101.htm" TargetMode="External"/><Relationship Id="rId89" Type="http://schemas.openxmlformats.org/officeDocument/2006/relationships/hyperlink" Target="http://www.sec.gov/Archives/edgar/data/1546417/000154641712000034/exhibit101-executivechange.htm" TargetMode="External"/><Relationship Id="rId90" Type="http://schemas.openxmlformats.org/officeDocument/2006/relationships/hyperlink" Target="http://www.sec.gov/Archives/edgar/data/1546417/000119312512153440/d319863dex1041.htm" TargetMode="External"/><Relationship Id="rId91" Type="http://schemas.openxmlformats.org/officeDocument/2006/relationships/hyperlink" Target="http://www.sec.gov/Archives/edgar/data/1546417/000154641719000068/blmn-33119_ex102.htm" TargetMode="External"/><Relationship Id="rId92" Type="http://schemas.openxmlformats.org/officeDocument/2006/relationships/hyperlink" Target="http://www.sec.gov/Archives/edgar/data/1546417/000154641719000068/blmn-33119_ex103.htm" TargetMode="External"/><Relationship Id="rId93" Type="http://schemas.openxmlformats.org/officeDocument/2006/relationships/hyperlink" Target="http://www.sec.gov/Archives/edgar/data/1546417/000119312512153440/d319863dex1029.htm" TargetMode="External"/><Relationship Id="rId94" Type="http://schemas.openxmlformats.org/officeDocument/2006/relationships/hyperlink" Target="http://www.sec.gov/Archives/edgar/data/1546417/000119312512153440/d319863dex1048.htm" TargetMode="External"/><Relationship Id="rId95" Type="http://schemas.openxmlformats.org/officeDocument/2006/relationships/hyperlink" Target="http://www.sec.gov/Archives/edgar/data/1546417/000154641719000084/blmn-63019ex105.htm" TargetMode="External"/><Relationship Id="rId96" Type="http://schemas.openxmlformats.org/officeDocument/2006/relationships/hyperlink" Target="http://www.sec.gov/Archives/edgar/data/1546417/000154641715000027/blmn-122814_ex1058.htm" TargetMode="External"/><Relationship Id="rId97" Type="http://schemas.openxmlformats.org/officeDocument/2006/relationships/hyperlink" Target="http://www.sec.gov/Archives/edgar/data/1546417/000154641716000154/blmn-32716_ex103.htm" TargetMode="External"/><Relationship Id="rId98" Type="http://schemas.openxmlformats.org/officeDocument/2006/relationships/hyperlink" Target="http://www.sec.gov/Archives/edgar/data/1546417/000154641716000209/blmn-92516_ex102.htm" TargetMode="External"/><Relationship Id="rId99" Type="http://schemas.openxmlformats.org/officeDocument/2006/relationships/hyperlink" Target="http://www.sec.gov/Archives/edgar/data/1546417/000154641719000068/blmn-33119_ex101.htm" TargetMode="External"/><Relationship Id="rId100" Type="http://schemas.openxmlformats.org/officeDocument/2006/relationships/hyperlink" Target="http://www.sec.gov/Archives/edgar/data/1546417/000154641719000068/blmn-33119_ex104.htm" TargetMode="External"/><Relationship Id="rId101" Type="http://schemas.openxmlformats.org/officeDocument/2006/relationships/hyperlink" Target="http://www.sec.gov/Archives/edgar/data/1546417/000154641719000084/blmn-63019ex103.htm" TargetMode="External"/><Relationship Id="rId102" Type="http://schemas.openxmlformats.org/officeDocument/2006/relationships/hyperlink" Target="http://www.sec.gov/Archives/edgar/data/1546417/000154641719000084/blmn-63019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2020-02-26T15:21:44Z</dcterms:created>
  <dcterms:modified xsi:type="dcterms:W3CDTF">2020-02-26T15:21:44Z</dcterms:modified>
</cp:coreProperties>
</file>