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quarterly period ended June 25,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2202 North West Shore Boulevard, Suite 500, Tampa, FL 33607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(813) 282-1225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w:t>
      </w:r>
      <w:r>
        <w:rPr>
          <w:color w:val="000000"/>
        </w:rPr>
        <w:t xml:space="preserve"> ☐ </w:t>
      </w:r>
      <w:r>
        <w:rPr>
          <w:rFonts w:ascii="Times New Roman;sans-serif" w:hAnsi="Times New Roman;sans-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27, 2023, 87,097,283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INDEX TO QUARTERLY REPORT ON FORM 10-Q</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Quarterly Period Ended June 25, 2023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10">
              <w:r>
                <w:rPr>
                  <w:rStyle w:val="InternetLink"/>
                  <w:rFonts w:ascii="Times New Roman;sans-serif" w:hAnsi="Times New Roman;sans-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13">
              <w:r>
                <w:rPr>
                  <w:rStyle w:val="InternetLink"/>
                  <w:rFonts w:ascii="Times New Roman;sans-serif" w:hAnsi="Times New Roman;sans-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13">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13">
              <w:r>
                <w:rPr>
                  <w:rStyle w:val="InternetLink"/>
                  <w:rFonts w:ascii="Times New Roman;sans-serif" w:hAnsi="Times New Roman;sans-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16">
              <w:r>
                <w:rPr>
                  <w:rStyle w:val="InternetLink"/>
                  <w:rFonts w:ascii="Times New Roman;sans-serif" w:hAnsi="Times New Roman;sans-serif"/>
                  <w:b w:val="false"/>
                  <w:color w:val="000080"/>
                  <w:sz w:val="22"/>
                  <w:u w:val="single"/>
                </w:rPr>
                <w:t xml:space="preserve">Consolidated Balance Sheets — </w:t>
              </w:r>
            </w:hyperlink>
            <w:hyperlink w:anchor="i2a2b62b407a34898ad888fbef9b79bc1_16">
              <w:r>
                <w:rPr>
                  <w:rStyle w:val="InternetLink"/>
                  <w:rFonts w:ascii="Times New Roman;sans-serif" w:hAnsi="Times New Roman;sans-serif"/>
                  <w:b w:val="false"/>
                  <w:color w:val="000080"/>
                  <w:sz w:val="22"/>
                  <w:u w:val="single"/>
                </w:rPr>
                <w:t>June 25</w:t>
              </w:r>
            </w:hyperlink>
            <w:hyperlink w:anchor="i2a2b62b407a34898ad888fbef9b79bc1_16">
              <w:r>
                <w:rPr>
                  <w:rStyle w:val="InternetLink"/>
                  <w:rFonts w:ascii="Times New Roman;sans-serif" w:hAnsi="Times New Roman;sans-serif"/>
                  <w:b w:val="false"/>
                  <w:color w:val="000080"/>
                  <w:sz w:val="22"/>
                  <w:u w:val="single"/>
                </w:rPr>
                <w:t>, 2023 and December 25, 2022</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16">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19">
              <w:r>
                <w:rPr>
                  <w:rStyle w:val="InternetLink"/>
                  <w:rFonts w:ascii="Times New Roman;sans-serif" w:hAnsi="Times New Roman;sans-serif"/>
                  <w:b w:val="false"/>
                  <w:color w:val="000080"/>
                  <w:sz w:val="22"/>
                  <w:u w:val="single"/>
                </w:rPr>
                <w:t>Consolidated Statements of Operations and Comprehensive Income</w:t>
              </w:r>
            </w:hyperlink>
            <w:hyperlink w:anchor="i2a2b62b407a34898ad888fbef9b79bc1_19">
              <w:r>
                <w:rPr>
                  <w:rStyle w:val="InternetLink"/>
                  <w:rFonts w:ascii="Times New Roman;sans-serif" w:hAnsi="Times New Roman;sans-serif"/>
                  <w:b w:val="false"/>
                  <w:color w:val="000080"/>
                  <w:sz w:val="22"/>
                  <w:u w:val="single"/>
                </w:rPr>
                <w:t xml:space="preserve"> (Loss)</w:t>
              </w:r>
            </w:hyperlink>
            <w:hyperlink w:anchor="i2a2b62b407a34898ad888fbef9b79bc1_19">
              <w:r>
                <w:rPr>
                  <w:rStyle w:val="InternetLink"/>
                  <w:rFonts w:ascii="Times New Roman;sans-serif" w:hAnsi="Times New Roman;sans-serif"/>
                  <w:b w:val="false"/>
                  <w:color w:val="000080"/>
                  <w:sz w:val="22"/>
                  <w:u w:val="single"/>
                </w:rPr>
                <w:t xml:space="preserve"> —</w:t>
              </w:r>
            </w:hyperlink>
          </w:p>
          <w:p>
            <w:pPr>
              <w:pStyle w:val="TableContents"/>
              <w:bidi w:val="0"/>
              <w:spacing w:lineRule="auto" w:line="240" w:before="0" w:after="0"/>
              <w:jc w:val="left"/>
              <w:rPr/>
            </w:pPr>
            <w:hyperlink w:anchor="i2a2b62b407a34898ad888fbef9b79bc1_19">
              <w:r>
                <w:rPr>
                  <w:rStyle w:val="InternetLink"/>
                  <w:rFonts w:ascii="Times New Roman;sans-serif" w:hAnsi="Times New Roman;sans-serif"/>
                  <w:b w:val="false"/>
                  <w:color w:val="000080"/>
                  <w:sz w:val="22"/>
                  <w:u w:val="single"/>
                </w:rPr>
                <w:t xml:space="preserve">For the Thirteen </w:t>
              </w:r>
            </w:hyperlink>
            <w:hyperlink w:anchor="i2a2b62b407a34898ad888fbef9b79bc1_19">
              <w:r>
                <w:rPr>
                  <w:rStyle w:val="InternetLink"/>
                  <w:rFonts w:ascii="Times New Roman;sans-serif" w:hAnsi="Times New Roman;sans-serif"/>
                  <w:b w:val="false"/>
                  <w:color w:val="000080"/>
                  <w:sz w:val="22"/>
                  <w:u w:val="single"/>
                </w:rPr>
                <w:t xml:space="preserve">and Twenty-Six </w:t>
              </w:r>
            </w:hyperlink>
            <w:hyperlink w:anchor="i2a2b62b407a34898ad888fbef9b79bc1_19">
              <w:r>
                <w:rPr>
                  <w:rStyle w:val="InternetLink"/>
                  <w:rFonts w:ascii="Times New Roman;sans-serif" w:hAnsi="Times New Roman;sans-serif"/>
                  <w:b w:val="false"/>
                  <w:color w:val="000080"/>
                  <w:sz w:val="22"/>
                  <w:u w:val="single"/>
                </w:rPr>
                <w:t xml:space="preserve">Weeks Ended </w:t>
              </w:r>
            </w:hyperlink>
            <w:hyperlink w:anchor="i2a2b62b407a34898ad888fbef9b79bc1_19">
              <w:r>
                <w:rPr>
                  <w:rStyle w:val="InternetLink"/>
                  <w:rFonts w:ascii="Times New Roman;sans-serif" w:hAnsi="Times New Roman;sans-serif"/>
                  <w:b w:val="false"/>
                  <w:color w:val="000080"/>
                  <w:sz w:val="22"/>
                  <w:u w:val="single"/>
                </w:rPr>
                <w:t>June 25</w:t>
              </w:r>
            </w:hyperlink>
            <w:hyperlink w:anchor="i2a2b62b407a34898ad888fbef9b79bc1_19">
              <w:r>
                <w:rPr>
                  <w:rStyle w:val="InternetLink"/>
                  <w:rFonts w:ascii="Times New Roman;sans-serif" w:hAnsi="Times New Roman;sans-serif"/>
                  <w:b w:val="false"/>
                  <w:color w:val="000080"/>
                  <w:sz w:val="22"/>
                  <w:u w:val="single"/>
                </w:rPr>
                <w:t xml:space="preserve">, 2023 and </w:t>
              </w:r>
            </w:hyperlink>
            <w:hyperlink w:anchor="i2a2b62b407a34898ad888fbef9b79bc1_19">
              <w:r>
                <w:rPr>
                  <w:rStyle w:val="InternetLink"/>
                  <w:rFonts w:ascii="Times New Roman;sans-serif" w:hAnsi="Times New Roman;sans-serif"/>
                  <w:b w:val="false"/>
                  <w:color w:val="000080"/>
                  <w:sz w:val="22"/>
                  <w:u w:val="single"/>
                </w:rPr>
                <w:t>June 26</w:t>
              </w:r>
            </w:hyperlink>
            <w:hyperlink w:anchor="i2a2b62b407a34898ad888fbef9b79bc1_19">
              <w:r>
                <w:rPr>
                  <w:rStyle w:val="InternetLink"/>
                  <w:rFonts w:ascii="Times New Roman;sans-serif" w:hAnsi="Times New Roman;sans-serif"/>
                  <w:b w:val="false"/>
                  <w:color w:val="000080"/>
                  <w:sz w:val="22"/>
                  <w:u w:val="single"/>
                </w:rPr>
                <w:t>, 2022</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19">
              <w:r>
                <w:rPr>
                  <w:rStyle w:val="InternetLink"/>
                  <w:rFonts w:ascii="Times New Roman;sans-serif" w:hAnsi="Times New Roman;sans-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22">
              <w:r>
                <w:rPr>
                  <w:rStyle w:val="InternetLink"/>
                  <w:rFonts w:ascii="Times New Roman;sans-serif" w:hAnsi="Times New Roman;sans-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2a2b62b407a34898ad888fbef9b79bc1_22">
              <w:r>
                <w:rPr>
                  <w:rStyle w:val="InternetLink"/>
                  <w:rFonts w:ascii="Times New Roman;sans-serif" w:hAnsi="Times New Roman;sans-serif"/>
                  <w:b w:val="false"/>
                  <w:color w:val="000080"/>
                  <w:sz w:val="22"/>
                  <w:u w:val="single"/>
                </w:rPr>
                <w:t xml:space="preserve">For the Thirteen </w:t>
              </w:r>
            </w:hyperlink>
            <w:hyperlink w:anchor="i2a2b62b407a34898ad888fbef9b79bc1_22">
              <w:r>
                <w:rPr>
                  <w:rStyle w:val="InternetLink"/>
                  <w:rFonts w:ascii="Times New Roman;sans-serif" w:hAnsi="Times New Roman;sans-serif"/>
                  <w:b w:val="false"/>
                  <w:color w:val="000080"/>
                  <w:sz w:val="22"/>
                  <w:u w:val="single"/>
                </w:rPr>
                <w:t xml:space="preserve">and Twenty-Six </w:t>
              </w:r>
            </w:hyperlink>
            <w:hyperlink w:anchor="i2a2b62b407a34898ad888fbef9b79bc1_22">
              <w:r>
                <w:rPr>
                  <w:rStyle w:val="InternetLink"/>
                  <w:rFonts w:ascii="Times New Roman;sans-serif" w:hAnsi="Times New Roman;sans-serif"/>
                  <w:b w:val="false"/>
                  <w:color w:val="000080"/>
                  <w:sz w:val="22"/>
                  <w:u w:val="single"/>
                </w:rPr>
                <w:t xml:space="preserve">Weeks Ended </w:t>
              </w:r>
            </w:hyperlink>
            <w:hyperlink w:anchor="i2a2b62b407a34898ad888fbef9b79bc1_22">
              <w:r>
                <w:rPr>
                  <w:rStyle w:val="InternetLink"/>
                  <w:rFonts w:ascii="Times New Roman;sans-serif" w:hAnsi="Times New Roman;sans-serif"/>
                  <w:b w:val="false"/>
                  <w:color w:val="000080"/>
                  <w:sz w:val="22"/>
                  <w:u w:val="single"/>
                </w:rPr>
                <w:t>June 25</w:t>
              </w:r>
            </w:hyperlink>
            <w:hyperlink w:anchor="i2a2b62b407a34898ad888fbef9b79bc1_22">
              <w:r>
                <w:rPr>
                  <w:rStyle w:val="InternetLink"/>
                  <w:rFonts w:ascii="Times New Roman;sans-serif" w:hAnsi="Times New Roman;sans-serif"/>
                  <w:b w:val="false"/>
                  <w:color w:val="000080"/>
                  <w:sz w:val="22"/>
                  <w:u w:val="single"/>
                </w:rPr>
                <w:t xml:space="preserve">, 2023 and </w:t>
              </w:r>
            </w:hyperlink>
            <w:hyperlink w:anchor="i2a2b62b407a34898ad888fbef9b79bc1_22">
              <w:r>
                <w:rPr>
                  <w:rStyle w:val="InternetLink"/>
                  <w:rFonts w:ascii="Times New Roman;sans-serif" w:hAnsi="Times New Roman;sans-serif"/>
                  <w:b w:val="false"/>
                  <w:color w:val="000080"/>
                  <w:sz w:val="22"/>
                  <w:u w:val="single"/>
                </w:rPr>
                <w:t>June 26</w:t>
              </w:r>
            </w:hyperlink>
            <w:hyperlink w:anchor="i2a2b62b407a34898ad888fbef9b79bc1_22">
              <w:r>
                <w:rPr>
                  <w:rStyle w:val="InternetLink"/>
                  <w:rFonts w:ascii="Times New Roman;sans-serif" w:hAnsi="Times New Roman;sans-serif"/>
                  <w:b w:val="false"/>
                  <w:color w:val="000080"/>
                  <w:sz w:val="22"/>
                  <w:u w:val="single"/>
                </w:rPr>
                <w:t>, 2022</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2">
              <w:r>
                <w:rPr>
                  <w:rStyle w:val="InternetLink"/>
                  <w:rFonts w:ascii="Times New Roman;sans-serif" w:hAnsi="Times New Roman;sans-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25">
              <w:r>
                <w:rPr>
                  <w:rStyle w:val="InternetLink"/>
                  <w:rFonts w:ascii="Times New Roman;sans-serif" w:hAnsi="Times New Roman;sans-serif"/>
                  <w:b w:val="false"/>
                  <w:color w:val="0000FF"/>
                  <w:sz w:val="22"/>
                  <w:u w:val="single"/>
                </w:rPr>
                <w:t>Condensed Consolidated Statements of Cash Flows —</w:t>
              </w:r>
            </w:hyperlink>
          </w:p>
          <w:p>
            <w:pPr>
              <w:pStyle w:val="TableContents"/>
              <w:bidi w:val="0"/>
              <w:spacing w:lineRule="auto" w:line="240" w:before="0" w:after="0"/>
              <w:jc w:val="left"/>
              <w:rPr/>
            </w:pPr>
            <w:hyperlink w:anchor="i2a2b62b407a34898ad888fbef9b79bc1_25">
              <w:r>
                <w:rPr>
                  <w:rStyle w:val="InternetLink"/>
                  <w:rFonts w:ascii="Times New Roman;sans-serif" w:hAnsi="Times New Roman;sans-serif"/>
                  <w:b w:val="false"/>
                  <w:color w:val="000080"/>
                  <w:sz w:val="22"/>
                  <w:u w:val="single"/>
                </w:rPr>
                <w:t xml:space="preserve">For the </w:t>
              </w:r>
            </w:hyperlink>
            <w:hyperlink w:anchor="i2a2b62b407a34898ad888fbef9b79bc1_25">
              <w:r>
                <w:rPr>
                  <w:rStyle w:val="InternetLink"/>
                  <w:rFonts w:ascii="Times New Roman;sans-serif" w:hAnsi="Times New Roman;sans-serif"/>
                  <w:b w:val="false"/>
                  <w:color w:val="000080"/>
                  <w:sz w:val="22"/>
                  <w:u w:val="single"/>
                </w:rPr>
                <w:t>Twenty-Six</w:t>
              </w:r>
            </w:hyperlink>
            <w:hyperlink w:anchor="i2a2b62b407a34898ad888fbef9b79bc1_25">
              <w:r>
                <w:rPr>
                  <w:rStyle w:val="InternetLink"/>
                  <w:rFonts w:ascii="Times New Roman;sans-serif" w:hAnsi="Times New Roman;sans-serif"/>
                  <w:b w:val="false"/>
                  <w:color w:val="000080"/>
                  <w:sz w:val="22"/>
                  <w:u w:val="single"/>
                </w:rPr>
                <w:t xml:space="preserve"> Weeks Ended </w:t>
              </w:r>
            </w:hyperlink>
            <w:hyperlink w:anchor="i2a2b62b407a34898ad888fbef9b79bc1_25">
              <w:r>
                <w:rPr>
                  <w:rStyle w:val="InternetLink"/>
                  <w:rFonts w:ascii="Times New Roman;sans-serif" w:hAnsi="Times New Roman;sans-serif"/>
                  <w:b w:val="false"/>
                  <w:color w:val="000080"/>
                  <w:sz w:val="22"/>
                  <w:u w:val="single"/>
                </w:rPr>
                <w:t>June 25</w:t>
              </w:r>
            </w:hyperlink>
            <w:hyperlink w:anchor="i2a2b62b407a34898ad888fbef9b79bc1_25">
              <w:r>
                <w:rPr>
                  <w:rStyle w:val="InternetLink"/>
                  <w:rFonts w:ascii="Times New Roman;sans-serif" w:hAnsi="Times New Roman;sans-serif"/>
                  <w:b w:val="false"/>
                  <w:color w:val="000080"/>
                  <w:sz w:val="22"/>
                  <w:u w:val="single"/>
                </w:rPr>
                <w:t xml:space="preserve">, 2023 and </w:t>
              </w:r>
            </w:hyperlink>
            <w:hyperlink w:anchor="i2a2b62b407a34898ad888fbef9b79bc1_25">
              <w:r>
                <w:rPr>
                  <w:rStyle w:val="InternetLink"/>
                  <w:rFonts w:ascii="Times New Roman;sans-serif" w:hAnsi="Times New Roman;sans-serif"/>
                  <w:b w:val="false"/>
                  <w:color w:val="000080"/>
                  <w:sz w:val="22"/>
                  <w:u w:val="single"/>
                </w:rPr>
                <w:t>June 26</w:t>
              </w:r>
            </w:hyperlink>
            <w:hyperlink w:anchor="i2a2b62b407a34898ad888fbef9b79bc1_25">
              <w:r>
                <w:rPr>
                  <w:rStyle w:val="InternetLink"/>
                  <w:rFonts w:ascii="Times New Roman;sans-serif" w:hAnsi="Times New Roman;sans-serif"/>
                  <w:b w:val="false"/>
                  <w:color w:val="000080"/>
                  <w:sz w:val="22"/>
                  <w:u w:val="single"/>
                </w:rPr>
                <w:t>, 2022</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5">
              <w:r>
                <w:rPr>
                  <w:rStyle w:val="InternetLink"/>
                  <w:rFonts w:ascii="Times New Roman;sans-serif" w:hAnsi="Times New Roman;sans-serif"/>
                  <w:b w:val="false"/>
                  <w:color w:val="0000FF"/>
                  <w:sz w:val="22"/>
                  <w:u w:val="single"/>
                </w:rPr>
                <w:t>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31">
              <w:r>
                <w:rPr>
                  <w:rStyle w:val="InternetLink"/>
                  <w:rFonts w:ascii="Times New Roman;sans-serif" w:hAnsi="Times New Roman;sans-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31">
              <w:r>
                <w:rPr>
                  <w:rStyle w:val="InternetLink"/>
                  <w:rFonts w:ascii="Times New Roman;sans-serif" w:hAnsi="Times New Roman;sans-serif"/>
                  <w:b w:val="false"/>
                  <w:color w:val="0000FF"/>
                  <w:sz w:val="22"/>
                  <w:u w:val="single"/>
                </w:rPr>
                <w:t>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2b62b407a34898ad888fbef9b79bc1_76">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76">
              <w:r>
                <w:rPr>
                  <w:rStyle w:val="InternetLink"/>
                  <w:rFonts w:ascii="Times New Roman;sans-serif" w:hAnsi="Times New Roman;sans-serif"/>
                  <w:b w:val="false"/>
                  <w:color w:val="0000FF"/>
                  <w:sz w:val="22"/>
                  <w:u w:val="single"/>
                </w:rPr>
                <w:t>21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02">
              <w:r>
                <w:rPr>
                  <w:rStyle w:val="InternetLink"/>
                  <w:rFonts w:ascii="Times New Roman;sans-serif" w:hAnsi="Times New Roman;sans-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02">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05">
              <w:r>
                <w:rPr>
                  <w:rStyle w:val="InternetLink"/>
                  <w:rFonts w:ascii="Times New Roman;sans-serif" w:hAnsi="Times New Roman;sans-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05">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08">
              <w:r>
                <w:rPr>
                  <w:rStyle w:val="InternetLink"/>
                  <w:rFonts w:ascii="Times New Roman;sans-serif" w:hAnsi="Times New Roman;sans-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11">
              <w:r>
                <w:rPr>
                  <w:rStyle w:val="InternetLink"/>
                  <w:rFonts w:ascii="Times New Roman;sans-serif" w:hAnsi="Times New Roman;sans-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11">
              <w:r>
                <w:rPr>
                  <w:rStyle w:val="InternetLink"/>
                  <w:rFonts w:ascii="Times New Roman;sans-serif" w:hAnsi="Times New Roman;sans-serif"/>
                  <w:b w:val="false"/>
                  <w:color w:val="0000FF"/>
                  <w:sz w:val="22"/>
                  <w:u w:val="single"/>
                </w:rPr>
                <w:t>42</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14">
              <w:r>
                <w:rPr>
                  <w:rStyle w:val="InternetLink"/>
                  <w:rFonts w:ascii="Times New Roman;sans-serif" w:hAnsi="Times New Roman;sans-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14">
              <w:r>
                <w:rPr>
                  <w:rStyle w:val="InternetLink"/>
                  <w:rFonts w:ascii="Times New Roman;sans-serif" w:hAnsi="Times New Roman;sans-serif"/>
                  <w:b w:val="false"/>
                  <w:color w:val="0000FF"/>
                  <w:sz w:val="22"/>
                  <w:u w:val="single"/>
                </w:rPr>
                <w:t>42</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17">
              <w:r>
                <w:rPr>
                  <w:rStyle w:val="InternetLink"/>
                  <w:rFonts w:ascii="Times New Roman;sans-serif" w:hAnsi="Times New Roman;sans-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17">
              <w:r>
                <w:rPr>
                  <w:rStyle w:val="InternetLink"/>
                  <w:rFonts w:ascii="Times New Roman;sans-serif" w:hAnsi="Times New Roman;sans-serif"/>
                  <w:b w:val="false"/>
                  <w:color w:val="0000FF"/>
                  <w:sz w:val="22"/>
                  <w:u w:val="single"/>
                </w:rPr>
                <w:t>42</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20">
              <w:r>
                <w:rPr>
                  <w:rStyle w:val="InternetLink"/>
                  <w:rFonts w:ascii="Times New Roman;sans-serif" w:hAnsi="Times New Roman;sans-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20">
              <w:r>
                <w:rPr>
                  <w:rStyle w:val="InternetLink"/>
                  <w:rFonts w:ascii="Times New Roman;sans-serif" w:hAnsi="Times New Roman;sans-serif"/>
                  <w:b w:val="false"/>
                  <w:color w:val="0000FF"/>
                  <w:sz w:val="22"/>
                  <w:u w:val="single"/>
                </w:rPr>
                <w:t>43</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2b62b407a34898ad888fbef9b79bc1_223">
              <w:r>
                <w:rPr>
                  <w:rStyle w:val="InternetLink"/>
                  <w:rFonts w:ascii="Times New Roman;sans-serif" w:hAnsi="Times New Roman;sans-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a2b62b407a34898ad888fbef9b79bc1_223">
              <w:r>
                <w:rPr>
                  <w:rStyle w:val="InternetLink"/>
                  <w:rFonts w:ascii="Times New Roman;sans-serif" w:hAnsi="Times New Roman;sans-serif"/>
                  <w:b w:val="false"/>
                  <w:color w:val="0000FF"/>
                  <w:sz w:val="22"/>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pPr>
      <w:r>
        <w:rPr>
          <w:rFonts w:ascii="Times New Roman;sans-serif" w:hAnsi="Times New Roman;sans-serif"/>
          <w:b/>
          <w:color w:val="000000"/>
          <w:sz w:val="18"/>
        </w:rPr>
        <w:t>(IN THOUSANDS, EXCEPT SHARE AND PER SHARE DATA)</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0"/>
        <w:gridCol w:w="2213"/>
        <w:gridCol w:w="2166"/>
        <w:gridCol w:w="198"/>
        <w:gridCol w:w="885"/>
        <w:gridCol w:w="110"/>
        <w:gridCol w:w="109"/>
        <w:gridCol w:w="109"/>
        <w:gridCol w:w="109"/>
        <w:gridCol w:w="237"/>
        <w:gridCol w:w="1058"/>
        <w:gridCol w:w="191"/>
      </w:tblGrid>
      <w:tr>
        <w:trPr/>
        <w:tc>
          <w:tcPr>
            <w:tcW w:w="282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247,891 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975,986 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3,273,132 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813" w:type="dxa"/>
            <w:gridSpan w:val="6"/>
            <w:tcBorders/>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1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911,606 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2,901,264 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3,046,516 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13)</w:t>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June 25, 2023 and December 25, 2022</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87,339,455 and 87,696,200 shares issued and outstanding as of June 25, 2023 and December 25, 2022, respectively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368,924 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271,369 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3,273,132 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8"/>
        <w:gridCol w:w="1346"/>
        <w:gridCol w:w="1353"/>
        <w:gridCol w:w="199"/>
        <w:gridCol w:w="887"/>
        <w:gridCol w:w="110"/>
        <w:gridCol w:w="109"/>
        <w:gridCol w:w="109"/>
        <w:gridCol w:w="109"/>
        <w:gridCol w:w="199"/>
        <w:gridCol w:w="887"/>
        <w:gridCol w:w="110"/>
        <w:gridCol w:w="109"/>
        <w:gridCol w:w="109"/>
        <w:gridCol w:w="109"/>
        <w:gridCol w:w="199"/>
        <w:gridCol w:w="887"/>
        <w:gridCol w:w="110"/>
        <w:gridCol w:w="109"/>
        <w:gridCol w:w="109"/>
        <w:gridCol w:w="109"/>
        <w:gridCol w:w="199"/>
        <w:gridCol w:w="886"/>
        <w:gridCol w:w="164"/>
      </w:tblGrid>
      <w:tr>
        <w:trPr/>
        <w:tc>
          <w:tcPr>
            <w:tcW w:w="168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1,125,162 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2,265,697 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621,270 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1,063,248 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1,037,443 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2,187,361 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2,070,722 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87,719 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194,975 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(50,144)</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43,479 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(61,680)</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16,014 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8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(loss), net of tax</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(loss), net of tax</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74,504 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(47,303)</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166,798 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45,949 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Bloomin’ Brands</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72,779 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(49,258)</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162,956 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41,811 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88,898 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102,045 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26,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87,465 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1,141,017 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(635,451)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(186,445)</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$31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June 25, 2023</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25,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$0.48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$48</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June 25, 2023</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99"/>
        <w:gridCol w:w="438"/>
        <w:gridCol w:w="24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27,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1,115,458 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(634,356)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(190,431)</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293,257 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$0.14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 net of tax of $1,142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26, 2022</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90,151 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1,169,697 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(733,723)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(176,054)</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262,741 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26, 2021</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89,253 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1,119,728 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(698,171)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(205,989)</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$0.28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 net of tax of $254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26, 2022</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90,151 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1,169,697 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(733,723)</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(176,054)</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262,741 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(1)Net of forfeitures and shares withheld for employee taxes.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bidi w:val="0"/>
        <w:spacing w:before="0" w:after="0"/>
        <w:jc w:val="left"/>
        <w:rPr/>
      </w:pPr>
      <w:r>
        <w:rPr/>
      </w:r>
    </w:p>
    <w:tbl>
      <w:tblPr>
        <w:tblW w:w="8393" w:type="dxa"/>
        <w:jc w:val="left"/>
        <w:tblInd w:w="0" w:type="dxa"/>
        <w:tblLayout w:type="fixed"/>
        <w:tblCellMar>
          <w:top w:w="28" w:type="dxa"/>
          <w:left w:w="28" w:type="dxa"/>
          <w:bottom w:w="28" w:type="dxa"/>
          <w:right w:w="28" w:type="dxa"/>
        </w:tblCellMar>
      </w:tblPr>
      <w:tblGrid>
        <w:gridCol w:w="2022"/>
        <w:gridCol w:w="1772"/>
        <w:gridCol w:w="1786"/>
        <w:gridCol w:w="229"/>
        <w:gridCol w:w="860"/>
        <w:gridCol w:w="126"/>
        <w:gridCol w:w="113"/>
        <w:gridCol w:w="113"/>
        <w:gridCol w:w="113"/>
        <w:gridCol w:w="248"/>
        <w:gridCol w:w="817"/>
        <w:gridCol w:w="194"/>
      </w:tblGrid>
      <w:tr>
        <w:trPr/>
        <w:tc>
          <w:tcPr>
            <w:tcW w:w="202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operating activities:</w:t>
            </w:r>
          </w:p>
        </w:tc>
        <w:tc>
          <w:tcPr>
            <w:tcW w:w="12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cash provided by operating activities: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from terminated interest rate swaps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8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287,293 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218,818 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2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(140,651)</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(75,738)</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598" w:type="dxa"/>
            <w:gridSpan w:val="6"/>
            <w:tcBorders/>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financing activities: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finance lease obligations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settlements and repurchase of convertible senior notes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retirement of convertible senior note hedges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retirement of warrants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share-based compensation,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partner equity plan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8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(143,214)</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(140,922)</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8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08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beginning of the period</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end of the period</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88,794 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95,447 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2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liabilities from the acquisition of property, fixtures and equipment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Description of the Business - </w:t>
      </w:r>
      <w:r>
        <w:rPr>
          <w:rFonts w:ascii="Times New Roman;sans-serif" w:hAnsi="Times New Roman;sans-serif"/>
          <w:b w:val="false"/>
          <w:color w:val="000000"/>
          <w:sz w:val="22"/>
        </w:rPr>
        <w:t xml:space="preserve">Bloomin’ Brands (“Bloomin’ Brands” or 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Basis of Presentation - </w:t>
      </w:r>
      <w:r>
        <w:rPr>
          <w:rFonts w:ascii="Times New Roman;sans-serif" w:hAnsi="Times New Roman;sans-serif"/>
          <w:b w:val="false"/>
          <w:color w:val="000000"/>
          <w:sz w:val="22"/>
        </w:rPr>
        <w:t>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25,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Recently Issued Financial Accounting Standards Not Yet Adopted</w:t>
      </w:r>
      <w:r>
        <w:rPr>
          <w:color w:val="000000"/>
        </w:rPr>
        <w:t xml:space="preserve"> </w:t>
      </w:r>
      <w:r>
        <w:rPr>
          <w:rFonts w:ascii="Times New Roman;sans-serif" w:hAnsi="Times New Roman;sans-serif"/>
          <w:b w:val="false"/>
          <w:color w:val="000000"/>
          <w:sz w:val="22"/>
        </w:rPr>
        <w:t>- Recent accounting guidance not discussed herein is not applicable, did not have or is not expected to have a material impact to the Company.</w:t>
      </w:r>
    </w:p>
    <w:p>
      <w:pPr>
        <w:pStyle w:val="TextBody"/>
        <w:bidi w:val="0"/>
        <w:spacing w:before="0" w:after="0"/>
        <w:jc w:val="both"/>
        <w:rPr/>
      </w:pPr>
      <w:r>
        <w:rPr/>
      </w:r>
    </w:p>
    <w:p>
      <w:pPr>
        <w:pStyle w:val="TextBody"/>
        <w:bidi w:val="0"/>
        <w:spacing w:lineRule="auto" w:line="288" w:before="0" w:after="0"/>
        <w:jc w:val="both"/>
        <w:rPr/>
      </w:pPr>
      <w:bookmarkStart w:id="0" w:name="i75e9785db1924440b24584f6d389d014_4921"/>
      <w:bookmarkEnd w:id="0"/>
      <w:r>
        <w:rPr>
          <w:rFonts w:ascii="Times New Roman;sans-serif" w:hAnsi="Times New Roman;sans-serif"/>
          <w:b w:val="false"/>
          <w:i/>
          <w:color w:val="000000"/>
          <w:sz w:val="22"/>
        </w:rPr>
        <w:t>Reclassifications</w:t>
      </w:r>
      <w:r>
        <w:rPr>
          <w:color w:val="000000"/>
        </w:rPr>
        <w:t xml:space="preserve"> </w:t>
      </w:r>
      <w:r>
        <w:rPr>
          <w:rFonts w:ascii="Times New Roman;sans-serif" w:hAnsi="Times New Roman;sans-serif"/>
          <w:b w:val="false"/>
          <w:color w:val="000000"/>
          <w:sz w:val="22"/>
        </w:rPr>
        <w:t>- The Company reclassified certain items in the accompanying consolidated financial statements for prior periods to be comparable with the classification for the current period, including, but not limited to, finance lease liabilities presented within other liabilities that were formerly presented within long-term debt, the separate presentation of current operating lease liabilities on the face of the Consolidated Balance Sheets and the presentation of certain items within the Condensed Consolidated Statements of Cash Flows. These reclassifications had no effect on previously reported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w:t>
      </w:r>
      <w:bookmarkStart w:id="1" w:name="i07c46a691a534d7e823ea704b0fe63f7_1708"/>
      <w:bookmarkEnd w:id="1"/>
      <w:r>
        <w:rPr>
          <w:rFonts w:ascii="Times New Roman;sans-serif" w:hAnsi="Times New Roman;sans-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categories of revenue included in the Company’s Consolidated Statements of Operations and Comprehensive Income (Loss) for the periods indicated:</w:t>
      </w:r>
    </w:p>
    <w:tbl>
      <w:tblPr>
        <w:tblW w:w="9130" w:type="dxa"/>
        <w:jc w:val="left"/>
        <w:tblInd w:w="0" w:type="dxa"/>
        <w:tblLayout w:type="fixed"/>
        <w:tblCellMar>
          <w:top w:w="28" w:type="dxa"/>
          <w:left w:w="28" w:type="dxa"/>
          <w:bottom w:w="28" w:type="dxa"/>
          <w:right w:w="28" w:type="dxa"/>
        </w:tblCellMar>
      </w:tblPr>
      <w:tblGrid>
        <w:gridCol w:w="938"/>
        <w:gridCol w:w="827"/>
        <w:gridCol w:w="829"/>
        <w:gridCol w:w="202"/>
        <w:gridCol w:w="900"/>
        <w:gridCol w:w="112"/>
        <w:gridCol w:w="109"/>
        <w:gridCol w:w="109"/>
        <w:gridCol w:w="109"/>
        <w:gridCol w:w="202"/>
        <w:gridCol w:w="900"/>
        <w:gridCol w:w="112"/>
        <w:gridCol w:w="109"/>
        <w:gridCol w:w="109"/>
        <w:gridCol w:w="109"/>
        <w:gridCol w:w="202"/>
        <w:gridCol w:w="900"/>
        <w:gridCol w:w="112"/>
        <w:gridCol w:w="109"/>
        <w:gridCol w:w="109"/>
        <w:gridCol w:w="109"/>
        <w:gridCol w:w="202"/>
        <w:gridCol w:w="900"/>
        <w:gridCol w:w="112"/>
        <w:gridCol w:w="109"/>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and other revenues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31,876 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1,125,162 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2,265,697 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include the disaggregation of Restaurant sales and franchise revenues, by restaurant concept and major international market,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573,563 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993,438 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985,927 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143,892 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122,991 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1,137,330 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1,108,918 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1,168,956 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2,074,007 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18,607 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2,009,562 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291,557 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222,931 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2,365,564 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26,091 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2,232,493 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26,002 </w:t>
            </w:r>
          </w:p>
        </w:tc>
        <w:tc>
          <w:tcPr>
            <w:tcW w:w="2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bookmarkStart w:id="2" w:name="i07c46a691a534d7e823ea704b0fe63f7_1707"/>
      <w:bookmarkEnd w:id="2"/>
      <w:r>
        <w:rPr>
          <w:rFonts w:ascii="Times New Roman;sans-serif" w:hAnsi="Times New Roman;sans-serif"/>
          <w:b w:val="false"/>
          <w:color w:val="000000"/>
          <w:sz w:val="18"/>
        </w:rPr>
        <w:t xml:space="preserve">(1)Restaurant sales in Brazil increased $9.6 million and $19.2 million during the thirteen and twenty-six weeks ended June 25, 2023, respectively, in connection with value added tax exemptions resulting from tax legislation. See Note 12 -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for details regarding the Brazil tax legislation.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Restaurant sales for Company-owned Outback Steakhouse restaurants outside of Brazil and Abbraccio restaurants in Brazil. Franchise revenues primarily include revenues from franchised Outback Steakhouse restaurants.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6695" w:type="dxa"/>
        <w:jc w:val="center"/>
        <w:tblInd w:w="0" w:type="dxa"/>
        <w:tblLayout w:type="fixed"/>
        <w:tblCellMar>
          <w:top w:w="28" w:type="dxa"/>
          <w:left w:w="28" w:type="dxa"/>
          <w:bottom w:w="28" w:type="dxa"/>
          <w:right w:w="28" w:type="dxa"/>
        </w:tblCellMar>
      </w:tblPr>
      <w:tblGrid>
        <w:gridCol w:w="992"/>
        <w:gridCol w:w="875"/>
        <w:gridCol w:w="878"/>
        <w:gridCol w:w="228"/>
        <w:gridCol w:w="859"/>
        <w:gridCol w:w="12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9613" w:type="dxa"/>
        <w:jc w:val="center"/>
        <w:tblInd w:w="0" w:type="dxa"/>
        <w:tblLayout w:type="fixed"/>
        <w:tblCellMar>
          <w:top w:w="28" w:type="dxa"/>
          <w:left w:w="28" w:type="dxa"/>
          <w:bottom w:w="28" w:type="dxa"/>
          <w:right w:w="28" w:type="dxa"/>
        </w:tblCellMar>
      </w:tblPr>
      <w:tblGrid>
        <w:gridCol w:w="1339"/>
        <w:gridCol w:w="1180"/>
        <w:gridCol w:w="1185"/>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13,403 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13,033 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17,793 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3" w:name="i07c46a691a534d7e823ea704b0fe63f7_1706"/>
      <w:bookmarkEnd w:id="3"/>
      <w:r>
        <w:rPr>
          <w:rFonts w:ascii="Times New Roman;sans-serif" w:hAnsi="Times New Roman;sans-serif"/>
          <w:b w:val="false"/>
          <w:color w:val="000000"/>
          <w:sz w:val="22"/>
        </w:rPr>
        <w:t>The following table is a rollforward of unearned gift card revenue for the periods indicated:</w:t>
      </w:r>
    </w:p>
    <w:tbl>
      <w:tblPr>
        <w:tblW w:w="8298" w:type="dxa"/>
        <w:jc w:val="center"/>
        <w:tblInd w:w="0" w:type="dxa"/>
        <w:tblLayout w:type="fixed"/>
        <w:tblCellMar>
          <w:top w:w="28" w:type="dxa"/>
          <w:left w:w="28" w:type="dxa"/>
          <w:bottom w:w="28" w:type="dxa"/>
          <w:right w:w="28" w:type="dxa"/>
        </w:tblCellMar>
      </w:tblPr>
      <w:tblGrid>
        <w:gridCol w:w="873"/>
        <w:gridCol w:w="769"/>
        <w:gridCol w:w="772"/>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7"/>
        <w:gridCol w:w="855"/>
        <w:gridCol w:w="17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314,096 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314,974 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387,945 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303,544 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303,544 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Earnings (Loss) Per Share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earnings (loss) per share for the periods indicated:</w:t>
      </w:r>
    </w:p>
    <w:tbl>
      <w:tblPr>
        <w:tblW w:w="10097" w:type="dxa"/>
        <w:jc w:val="center"/>
        <w:tblInd w:w="0" w:type="dxa"/>
        <w:tblLayout w:type="fixed"/>
        <w:tblCellMar>
          <w:top w:w="28" w:type="dxa"/>
          <w:left w:w="28" w:type="dxa"/>
          <w:bottom w:w="28" w:type="dxa"/>
          <w:right w:w="28" w:type="dxa"/>
        </w:tblCellMar>
      </w:tblPr>
      <w:tblGrid>
        <w:gridCol w:w="1429"/>
        <w:gridCol w:w="1256"/>
        <w:gridCol w:w="1260"/>
        <w:gridCol w:w="250"/>
        <w:gridCol w:w="826"/>
        <w:gridCol w:w="139"/>
        <w:gridCol w:w="109"/>
        <w:gridCol w:w="109"/>
        <w:gridCol w:w="109"/>
        <w:gridCol w:w="281"/>
        <w:gridCol w:w="1033"/>
        <w:gridCol w:w="156"/>
        <w:gridCol w:w="109"/>
        <w:gridCol w:w="109"/>
        <w:gridCol w:w="109"/>
        <w:gridCol w:w="229"/>
        <w:gridCol w:w="860"/>
        <w:gridCol w:w="126"/>
        <w:gridCol w:w="113"/>
        <w:gridCol w:w="113"/>
        <w:gridCol w:w="113"/>
        <w:gridCol w:w="248"/>
        <w:gridCol w:w="817"/>
        <w:gridCol w:w="19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(2)</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(2)</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88,898 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102,045 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(1)Due to the Company’s net loss during the thirteen weeks ended June 26, 2022, the effect of dilutive securities was excluded from the computation of diluted earnings per share as their effect would be antidilutive.</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(2)</w:t>
      </w:r>
      <w:r>
        <w:rPr>
          <w:rFonts w:ascii="Times New Roman;sans-serif" w:hAnsi="Times New Roman;sans-serif"/>
          <w:b w:val="false"/>
          <w:color w:val="000000"/>
          <w:sz w:val="18"/>
        </w:rPr>
        <w:t xml:space="preserve">During the thirteen weeks ended June 26, 2022, the Company repurchased $125.0 million of the convertible notes due in 2025 and settled the corresponding portion of the related note hedges and warrants (the “2025 Notes Partial Repurchase”).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Share-based compensation-related weighted average securities outstanding not included in the computation of earnings (loss) per share because their effect was antidilutive were as follows for the periods indicated:</w:t>
      </w:r>
    </w:p>
    <w:tbl>
      <w:tblPr>
        <w:tblW w:w="10078" w:type="dxa"/>
        <w:jc w:val="center"/>
        <w:tblInd w:w="0" w:type="dxa"/>
        <w:tblLayout w:type="fixed"/>
        <w:tblCellMar>
          <w:top w:w="28" w:type="dxa"/>
          <w:left w:w="28" w:type="dxa"/>
          <w:bottom w:w="28" w:type="dxa"/>
          <w:right w:w="28" w:type="dxa"/>
        </w:tblCellMar>
      </w:tblPr>
      <w:tblGrid>
        <w:gridCol w:w="1117"/>
        <w:gridCol w:w="984"/>
        <w:gridCol w:w="988"/>
        <w:gridCol w:w="405"/>
        <w:gridCol w:w="405"/>
        <w:gridCol w:w="405"/>
        <w:gridCol w:w="246"/>
        <w:gridCol w:w="246"/>
        <w:gridCol w:w="246"/>
        <w:gridCol w:w="405"/>
        <w:gridCol w:w="405"/>
        <w:gridCol w:w="405"/>
        <w:gridCol w:w="109"/>
        <w:gridCol w:w="109"/>
        <w:gridCol w:w="109"/>
        <w:gridCol w:w="405"/>
        <w:gridCol w:w="405"/>
        <w:gridCol w:w="405"/>
        <w:gridCol w:w="267"/>
        <w:gridCol w:w="267"/>
        <w:gridCol w:w="267"/>
        <w:gridCol w:w="401"/>
        <w:gridCol w:w="401"/>
        <w:gridCol w:w="413"/>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7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8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4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4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    Stock-based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stock-based compensation expense, net of capitalized expense, as follows for the periods indicated:</w:t>
      </w:r>
    </w:p>
    <w:tbl>
      <w:tblPr>
        <w:tblW w:w="9265" w:type="dxa"/>
        <w:jc w:val="left"/>
        <w:tblInd w:w="0" w:type="dxa"/>
        <w:tblLayout w:type="fixed"/>
        <w:tblCellMar>
          <w:top w:w="28" w:type="dxa"/>
          <w:left w:w="28" w:type="dxa"/>
          <w:bottom w:w="28" w:type="dxa"/>
          <w:right w:w="28" w:type="dxa"/>
        </w:tblCellMar>
      </w:tblPr>
      <w:tblGrid>
        <w:gridCol w:w="1193"/>
        <w:gridCol w:w="1051"/>
        <w:gridCol w:w="1055"/>
        <w:gridCol w:w="276"/>
        <w:gridCol w:w="785"/>
        <w:gridCol w:w="153"/>
        <w:gridCol w:w="118"/>
        <w:gridCol w:w="118"/>
        <w:gridCol w:w="118"/>
        <w:gridCol w:w="276"/>
        <w:gridCol w:w="785"/>
        <w:gridCol w:w="153"/>
        <w:gridCol w:w="109"/>
        <w:gridCol w:w="109"/>
        <w:gridCol w:w="109"/>
        <w:gridCol w:w="276"/>
        <w:gridCol w:w="785"/>
        <w:gridCol w:w="153"/>
        <w:gridCol w:w="128"/>
        <w:gridCol w:w="128"/>
        <w:gridCol w:w="128"/>
        <w:gridCol w:w="272"/>
        <w:gridCol w:w="774"/>
        <w:gridCol w:w="213"/>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5,459 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 net</w:t>
            </w:r>
          </w:p>
        </w:tc>
        <w:tc>
          <w:tcPr>
            <w:tcW w:w="2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5,117 </w:t>
            </w:r>
          </w:p>
        </w:tc>
        <w:tc>
          <w:tcPr>
            <w:tcW w:w="1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4,922 </w:t>
            </w:r>
          </w:p>
        </w:tc>
        <w:tc>
          <w:tcPr>
            <w:tcW w:w="1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8,003 </w:t>
            </w:r>
          </w:p>
        </w:tc>
        <w:tc>
          <w:tcPr>
            <w:tcW w:w="1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9,728 </w:t>
            </w:r>
          </w:p>
        </w:tc>
        <w:tc>
          <w:tcPr>
            <w:tcW w:w="2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2023, the Company granted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PSU activity:</w:t>
      </w:r>
    </w:p>
    <w:tbl>
      <w:tblPr>
        <w:tblW w:w="10205" w:type="dxa"/>
        <w:jc w:val="left"/>
        <w:tblInd w:w="0" w:type="dxa"/>
        <w:tblLayout w:type="fixed"/>
        <w:tblCellMar>
          <w:top w:w="28" w:type="dxa"/>
          <w:left w:w="28" w:type="dxa"/>
          <w:bottom w:w="28" w:type="dxa"/>
          <w:right w:w="28" w:type="dxa"/>
        </w:tblCellMar>
      </w:tblPr>
      <w:tblGrid>
        <w:gridCol w:w="801"/>
        <w:gridCol w:w="650"/>
        <w:gridCol w:w="652"/>
        <w:gridCol w:w="883"/>
        <w:gridCol w:w="883"/>
        <w:gridCol w:w="885"/>
        <w:gridCol w:w="109"/>
        <w:gridCol w:w="109"/>
        <w:gridCol w:w="109"/>
        <w:gridCol w:w="726"/>
        <w:gridCol w:w="2069"/>
        <w:gridCol w:w="407"/>
        <w:gridCol w:w="109"/>
        <w:gridCol w:w="109"/>
        <w:gridCol w:w="109"/>
        <w:gridCol w:w="312"/>
        <w:gridCol w:w="1030"/>
        <w:gridCol w:w="253"/>
      </w:tblGrid>
      <w:tr>
        <w:trPr/>
        <w:tc>
          <w:tcPr>
            <w:tcW w:w="8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 (1)</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25, 2022</w:t>
            </w:r>
          </w:p>
        </w:tc>
        <w:tc>
          <w:tcPr>
            <w:tcW w:w="17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8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4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18,323 </w:t>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(2)</w:t>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June 25, 2023</w:t>
            </w:r>
          </w:p>
        </w:tc>
        <w:tc>
          <w:tcPr>
            <w:tcW w:w="17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8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June 25, 2023 (3)</w:t>
            </w:r>
          </w:p>
        </w:tc>
        <w:tc>
          <w:tcPr>
            <w:tcW w:w="17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8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$20.96 and $25.76 share price of the Company’s common stock on December 23, 2022 and June 23, 2023, the last trading day of the year ended December 25, 2022 and the twenty-six weeks ended June 25, 2023,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adjustment to 148% payout for PSUs granted during 2020.</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(3)Estimated number of units to be issued upon the vesting of outstanding PSU awards based on Company performance projections of performance criteria set forth in the 2021, 2022 and 2023 PSU award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Assumptions used in the Monte Carlo simulation model and the grant date fair value of PSUs granted were as follows for the periods indicated:</w:t>
      </w:r>
    </w:p>
    <w:tbl>
      <w:tblPr>
        <w:tblW w:w="5646" w:type="dxa"/>
        <w:jc w:val="left"/>
        <w:tblInd w:w="0" w:type="dxa"/>
        <w:tblLayout w:type="fixed"/>
        <w:tblCellMar>
          <w:top w:w="28" w:type="dxa"/>
          <w:left w:w="28" w:type="dxa"/>
          <w:bottom w:w="28" w:type="dxa"/>
          <w:right w:w="28" w:type="dxa"/>
        </w:tblCellMar>
      </w:tblPr>
      <w:tblGrid>
        <w:gridCol w:w="869"/>
        <w:gridCol w:w="763"/>
        <w:gridCol w:w="767"/>
        <w:gridCol w:w="236"/>
        <w:gridCol w:w="671"/>
        <w:gridCol w:w="308"/>
        <w:gridCol w:w="112"/>
        <w:gridCol w:w="112"/>
        <w:gridCol w:w="112"/>
        <w:gridCol w:w="236"/>
        <w:gridCol w:w="671"/>
        <w:gridCol w:w="308"/>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(1)</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(2)</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 (3)</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per unit (4)</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(1)Risk-free interest rate is the U.S. Treasury yield curve in effect as of the grant date for the performance period of the unit.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(2)Dividend yield is the level of dividends expected to be paid on the Company’s common stock over the expected term.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historical volatility of the Company’s stock over the last seven years.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 premium above the grant date per share value of the Company’s common stock for the Relative TSR modifier of 2.7% and 7.9% during the twenty-six weeks ended June 25, 2023 and June 26,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represents unrecognized stock-based compensation expense and the remaining weighted average vesting period as of June 25, 2023:</w:t>
      </w:r>
    </w:p>
    <w:tbl>
      <w:tblPr>
        <w:tblW w:w="10205" w:type="dxa"/>
        <w:jc w:val="left"/>
        <w:tblInd w:w="0" w:type="dxa"/>
        <w:tblLayout w:type="fixed"/>
        <w:tblCellMar>
          <w:top w:w="28" w:type="dxa"/>
          <w:left w:w="28" w:type="dxa"/>
          <w:bottom w:w="28" w:type="dxa"/>
          <w:right w:w="28" w:type="dxa"/>
        </w:tblCellMar>
      </w:tblPr>
      <w:tblGrid>
        <w:gridCol w:w="777"/>
        <w:gridCol w:w="683"/>
        <w:gridCol w:w="686"/>
        <w:gridCol w:w="674"/>
        <w:gridCol w:w="2224"/>
        <w:gridCol w:w="376"/>
        <w:gridCol w:w="109"/>
        <w:gridCol w:w="109"/>
        <w:gridCol w:w="109"/>
        <w:gridCol w:w="1304"/>
        <w:gridCol w:w="1304"/>
        <w:gridCol w:w="185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 AVERAGE VESTING PERIOD (in years)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6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3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    Other Current Assets, Net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current assets, net, consisted of the following as of the periods indicated:</w:t>
      </w:r>
    </w:p>
    <w:tbl>
      <w:tblPr>
        <w:tblW w:w="6305" w:type="dxa"/>
        <w:jc w:val="left"/>
        <w:tblInd w:w="0" w:type="dxa"/>
        <w:tblLayout w:type="fixed"/>
        <w:tblCellMar>
          <w:top w:w="28" w:type="dxa"/>
          <w:left w:w="28" w:type="dxa"/>
          <w:bottom w:w="28" w:type="dxa"/>
          <w:right w:w="28" w:type="dxa"/>
        </w:tblCellMar>
      </w:tblPr>
      <w:tblGrid>
        <w:gridCol w:w="1009"/>
        <w:gridCol w:w="889"/>
        <w:gridCol w:w="892"/>
        <w:gridCol w:w="250"/>
        <w:gridCol w:w="826"/>
        <w:gridCol w:w="139"/>
        <w:gridCol w:w="109"/>
        <w:gridCol w:w="109"/>
        <w:gridCol w:w="109"/>
        <w:gridCol w:w="322"/>
        <w:gridCol w:w="1209"/>
        <w:gridCol w:w="17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24,387 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29,343 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96,770 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6.    </w:t>
      </w:r>
      <w:bookmarkStart w:id="4" w:name="ie443f108afd84b449dbecc75d2d601a3_580"/>
      <w:bookmarkEnd w:id="4"/>
      <w:r>
        <w:rPr>
          <w:rFonts w:ascii="Times New Roman;sans-serif" w:hAnsi="Times New Roman;sans-serif"/>
          <w:b w:val="false"/>
          <w:color w:val="000000"/>
          <w:sz w:val="22"/>
        </w:rPr>
        <w:t xml:space="preserve">Goodwill and Intangible Assets, Net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Annual Goodwill and Intangible Assets Impairment Assessment</w:t>
      </w:r>
      <w:r>
        <w:rPr>
          <w:color w:val="000000"/>
        </w:rPr>
        <w:t xml:space="preserve"> </w:t>
      </w:r>
      <w:r>
        <w:rPr>
          <w:rFonts w:ascii="Times New Roman;sans-serif" w:hAnsi="Times New Roman;sans-serif"/>
          <w:b w:val="false"/>
          <w:color w:val="000000"/>
          <w:sz w:val="22"/>
        </w:rPr>
        <w:t>- The Company performs its annual assessment for impairment of goodwill and other indefinite-lived intangible assets during its second fiscal quarter. The Company’s 2023 assessment was quantitative and the 2022 assessment was qualitative. In connection with these assessments, the Company did not record any impairment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    Long-term Debt,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outstanding Long-term debt, net, as of the periods indicated:</w:t>
      </w:r>
    </w:p>
    <w:tbl>
      <w:tblPr>
        <w:tblW w:w="10205" w:type="dxa"/>
        <w:jc w:val="center"/>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763,998 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828,507 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represents the weighted average interest rate as of the respective periods.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Debt Covenants - </w:t>
      </w:r>
      <w:r>
        <w:rPr>
          <w:rFonts w:ascii="Times New Roman;sans-serif" w:hAnsi="Times New Roman;sans-serif"/>
          <w:b w:val="false"/>
          <w:color w:val="000000"/>
          <w:sz w:val="22"/>
        </w:rPr>
        <w:t>As of June 25, 2023 and December 25, 2022, the Company was in compliance with its debt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    Convertible Senior Notes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color w:val="000000"/>
          <w:sz w:val="22"/>
        </w:rPr>
        <w:t>- In connection with dividends paid during the twenty-six weeks ended June 25, 2023, the conversion rate for the</w:t>
      </w:r>
      <w:r>
        <w:rPr>
          <w:color w:val="252525"/>
        </w:rPr>
        <w:t xml:space="preserve"> </w:t>
      </w:r>
      <w:r>
        <w:rPr>
          <w:rFonts w:ascii="Times New Roman;sans-serif" w:hAnsi="Times New Roman;sans-serif"/>
          <w:b w:val="false"/>
          <w:color w:val="000000"/>
          <w:sz w:val="22"/>
        </w:rPr>
        <w:t>Company’s remaining convertible senior notes due 2025 (the “2025 Notes”) decreased to approximately $11.37 per share, which represents 87.962 shares of common stock per $1,000 principal amount of the 2025 Notes, or a total of approximately 9.217 million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outstanding principal amount and carrying value of the 2025 Notes as of the periods indicated:</w:t>
      </w:r>
    </w:p>
    <w:tbl>
      <w:tblPr>
        <w:tblW w:w="5185" w:type="dxa"/>
        <w:jc w:val="center"/>
        <w:tblInd w:w="0" w:type="dxa"/>
        <w:tblLayout w:type="fixed"/>
        <w:tblCellMar>
          <w:top w:w="28" w:type="dxa"/>
          <w:left w:w="28" w:type="dxa"/>
          <w:bottom w:w="28" w:type="dxa"/>
          <w:right w:w="28" w:type="dxa"/>
        </w:tblCellMar>
      </w:tblPr>
      <w:tblGrid>
        <w:gridCol w:w="683"/>
        <w:gridCol w:w="602"/>
        <w:gridCol w:w="604"/>
        <w:gridCol w:w="228"/>
        <w:gridCol w:w="859"/>
        <w:gridCol w:w="127"/>
        <w:gridCol w:w="109"/>
        <w:gridCol w:w="109"/>
        <w:gridCol w:w="109"/>
        <w:gridCol w:w="316"/>
        <w:gridCol w:w="1190"/>
        <w:gridCol w:w="249"/>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issuance costs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103,244 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103,061 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interest expense for the 2025 Notes by component for the periods indicated:</w:t>
      </w:r>
    </w:p>
    <w:tbl>
      <w:tblPr>
        <w:tblW w:w="8320" w:type="dxa"/>
        <w:jc w:val="left"/>
        <w:tblInd w:w="0" w:type="dxa"/>
        <w:tblLayout w:type="fixed"/>
        <w:tblCellMar>
          <w:top w:w="28" w:type="dxa"/>
          <w:left w:w="28" w:type="dxa"/>
          <w:bottom w:w="28" w:type="dxa"/>
          <w:right w:w="28" w:type="dxa"/>
        </w:tblCellMar>
      </w:tblPr>
      <w:tblGrid>
        <w:gridCol w:w="851"/>
        <w:gridCol w:w="750"/>
        <w:gridCol w:w="753"/>
        <w:gridCol w:w="276"/>
        <w:gridCol w:w="785"/>
        <w:gridCol w:w="153"/>
        <w:gridCol w:w="118"/>
        <w:gridCol w:w="118"/>
        <w:gridCol w:w="118"/>
        <w:gridCol w:w="276"/>
        <w:gridCol w:w="785"/>
        <w:gridCol w:w="153"/>
        <w:gridCol w:w="109"/>
        <w:gridCol w:w="109"/>
        <w:gridCol w:w="109"/>
        <w:gridCol w:w="276"/>
        <w:gridCol w:w="785"/>
        <w:gridCol w:w="153"/>
        <w:gridCol w:w="128"/>
        <w:gridCol w:w="128"/>
        <w:gridCol w:w="128"/>
        <w:gridCol w:w="272"/>
        <w:gridCol w:w="774"/>
        <w:gridCol w:w="213"/>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6,246 </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The effective rate of the 2025 Notes over their expected life is 5.85%. The decrease in interest expense during the thirteen and twenty-six weeks ended June 25, 2023 relates to the 2025 Notes Partial Repurchase in May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daily closing prices of the Company’s stock during the quarter ended June 25, 2023, the remaining holders of the 2025 Notes are eligible to convert their notes during the third quarter of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9.    </w:t>
      </w:r>
      <w:bookmarkStart w:id="5" w:name="i9bf5b54f1f74419c984400d6d53f4b8d_1979"/>
      <w:bookmarkEnd w:id="5"/>
      <w:r>
        <w:rPr>
          <w:rFonts w:ascii="Times New Roman;sans-serif" w:hAnsi="Times New Roman;sans-serif"/>
          <w:b w:val="false"/>
          <w:color w:val="000000"/>
          <w:sz w:val="22"/>
        </w:rPr>
        <w:t xml:space="preserve">Stockholders’ Equity </w:t>
      </w:r>
    </w:p>
    <w:p>
      <w:pPr>
        <w:pStyle w:val="TextBody"/>
        <w:bidi w:val="0"/>
        <w:spacing w:before="0" w:after="0"/>
        <w:ind w:left="0" w:right="0" w:hanging="90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xml:space="preserve">- On February 7, 2023, the Company’s Board of Directors (the “Board”) approved a share repurchase program (the “2023 Share Repurchase Program”) under which the Company is authorized to repurchase up to $125.0 million of its outstanding common stock. The 2023 Share Repurchase Program will expire on August 7, 2024. As of June 25, 2023, $103.8 million remained available for repurchase under the 2023 Share Repurchase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shares repurchased during fiscal year 2023:</w:t>
      </w:r>
    </w:p>
    <w:tbl>
      <w:tblPr>
        <w:tblW w:w="9959" w:type="dxa"/>
        <w:jc w:val="left"/>
        <w:tblInd w:w="0" w:type="dxa"/>
        <w:tblLayout w:type="fixed"/>
        <w:tblCellMar>
          <w:top w:w="28" w:type="dxa"/>
          <w:left w:w="28" w:type="dxa"/>
          <w:bottom w:w="28" w:type="dxa"/>
          <w:right w:w="28" w:type="dxa"/>
        </w:tblCellMar>
      </w:tblPr>
      <w:tblGrid>
        <w:gridCol w:w="1011"/>
        <w:gridCol w:w="888"/>
        <w:gridCol w:w="891"/>
        <w:gridCol w:w="619"/>
        <w:gridCol w:w="619"/>
        <w:gridCol w:w="621"/>
        <w:gridCol w:w="109"/>
        <w:gridCol w:w="109"/>
        <w:gridCol w:w="109"/>
        <w:gridCol w:w="831"/>
        <w:gridCol w:w="2362"/>
        <w:gridCol w:w="467"/>
        <w:gridCol w:w="109"/>
        <w:gridCol w:w="109"/>
        <w:gridCol w:w="109"/>
        <w:gridCol w:w="196"/>
        <w:gridCol w:w="64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REPURCHASE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2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6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4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common stock repurchases (1)</w:t>
            </w:r>
          </w:p>
        </w:tc>
        <w:tc>
          <w:tcPr>
            <w:tcW w:w="123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6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excise tax on share repurchases. Subsequent to June 25, 2023, the Company repurchased 269 thousand shares of its common stock for $7.3 million under a Rule 10b5-1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Dividends</w:t>
      </w:r>
      <w:r>
        <w:rPr>
          <w:color w:val="000000"/>
        </w:rPr>
        <w:t xml:space="preserve"> </w:t>
      </w:r>
      <w:r>
        <w:rPr>
          <w:rFonts w:ascii="Times New Roman;sans-serif" w:hAnsi="Times New Roman;sans-serif"/>
          <w:b w:val="false"/>
          <w:color w:val="000000"/>
          <w:sz w:val="22"/>
        </w:rPr>
        <w:t>- The Company declared and paid dividends per share during fiscal year 2023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6" w:name="i9bf5b54f1f74419c984400d6d53f4b8d_1981"/>
      <w:bookmarkEnd w:id="6"/>
      <w:r>
        <w:rPr>
          <w:rFonts w:ascii="Times New Roman;sans-serif" w:hAnsi="Times New Roman;sans-serif"/>
          <w:b w:val="false"/>
          <w:color w:val="000000"/>
          <w:sz w:val="22"/>
        </w:rPr>
        <w:t>In July 2023, the Board declared a quarterly cash dividend of $0.24 per share, payable on August 25, 2023 to shareholders of record at the close of business on August 14,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i/>
          <w:color w:val="000000"/>
          <w:sz w:val="22"/>
        </w:rPr>
        <w:t>Accumulated Other Comprehensive Loss (“AOCL”) -</w:t>
      </w:r>
      <w:r>
        <w:rPr>
          <w:color w:val="000000"/>
        </w:rPr>
        <w:t xml:space="preserve"> </w:t>
      </w:r>
      <w:r>
        <w:rPr>
          <w:rFonts w:ascii="Times New Roman;sans-serif" w:hAnsi="Times New Roman;sans-serif"/>
          <w:b w:val="false"/>
          <w:color w:val="000000"/>
          <w:sz w:val="22"/>
        </w:rPr>
        <w:t>AOCL consisted of foreign currency translation adjustments as of June 25, 2023 and December 25,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bookmarkStart w:id="7" w:name="i9bf5b54f1f74419c984400d6d53f4b8d_1980"/>
      <w:bookmarkEnd w:id="7"/>
      <w:r>
        <w:rPr>
          <w:rFonts w:ascii="Times New Roman;sans-serif" w:hAnsi="Times New Roman;sans-serif"/>
          <w:b w:val="false"/>
          <w:color w:val="000000"/>
          <w:sz w:val="22"/>
        </w:rPr>
        <w:t>Following are the components of Other comprehensive income attributable to Bloomin’ Brands for the periods indicated:</w:t>
      </w:r>
    </w:p>
    <w:tbl>
      <w:tblPr>
        <w:tblW w:w="10205" w:type="dxa"/>
        <w:jc w:val="center"/>
        <w:tblInd w:w="0" w:type="dxa"/>
        <w:tblLayout w:type="fixed"/>
        <w:tblCellMar>
          <w:top w:w="28" w:type="dxa"/>
          <w:left w:w="28" w:type="dxa"/>
          <w:bottom w:w="28" w:type="dxa"/>
          <w:right w:w="28" w:type="dxa"/>
        </w:tblCellMar>
      </w:tblPr>
      <w:tblGrid>
        <w:gridCol w:w="1807"/>
        <w:gridCol w:w="1466"/>
        <w:gridCol w:w="1471"/>
        <w:gridCol w:w="246"/>
        <w:gridCol w:w="700"/>
        <w:gridCol w:w="136"/>
        <w:gridCol w:w="111"/>
        <w:gridCol w:w="111"/>
        <w:gridCol w:w="111"/>
        <w:gridCol w:w="230"/>
        <w:gridCol w:w="759"/>
        <w:gridCol w:w="127"/>
        <w:gridCol w:w="109"/>
        <w:gridCol w:w="109"/>
        <w:gridCol w:w="109"/>
        <w:gridCol w:w="246"/>
        <w:gridCol w:w="700"/>
        <w:gridCol w:w="136"/>
        <w:gridCol w:w="117"/>
        <w:gridCol w:w="117"/>
        <w:gridCol w:w="117"/>
        <w:gridCol w:w="228"/>
        <w:gridCol w:w="754"/>
        <w:gridCol w:w="188"/>
      </w:tblGrid>
      <w:tr>
        <w:trPr/>
        <w:tc>
          <w:tcPr>
            <w:tcW w:w="180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23,223 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(loss), net of tax</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(loss), net of tax</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 on derivatives, net of tax</w:t>
            </w:r>
          </w:p>
        </w:tc>
        <w:tc>
          <w:tcPr>
            <w:tcW w:w="9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6,712 </w:t>
            </w:r>
          </w:p>
        </w:tc>
        <w:tc>
          <w:tcPr>
            <w:tcW w:w="18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attributable to Bloomin’ Brands</w:t>
            </w:r>
          </w:p>
        </w:tc>
        <w:tc>
          <w:tcPr>
            <w:tcW w:w="2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29,935 </w:t>
            </w:r>
          </w:p>
        </w:tc>
        <w:tc>
          <w:tcPr>
            <w:tcW w:w="1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    Leases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1001"/>
        <w:gridCol w:w="864"/>
        <w:gridCol w:w="867"/>
        <w:gridCol w:w="1308"/>
        <w:gridCol w:w="1308"/>
        <w:gridCol w:w="1311"/>
        <w:gridCol w:w="109"/>
        <w:gridCol w:w="109"/>
        <w:gridCol w:w="109"/>
        <w:gridCol w:w="201"/>
        <w:gridCol w:w="895"/>
        <w:gridCol w:w="111"/>
        <w:gridCol w:w="109"/>
        <w:gridCol w:w="109"/>
        <w:gridCol w:w="109"/>
        <w:gridCol w:w="269"/>
        <w:gridCol w:w="1198"/>
        <w:gridCol w:w="218"/>
      </w:tblGrid>
      <w:tr>
        <w:trPr/>
        <w:tc>
          <w:tcPr>
            <w:tcW w:w="100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92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1,089,218 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1,099,263 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1,107,762 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 (2)</w:t>
            </w:r>
          </w:p>
        </w:tc>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1,131,843 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1,327,750 </w:t>
            </w:r>
          </w:p>
        </w:tc>
        <w:tc>
          <w:tcPr>
            <w:tcW w:w="1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1,336,674 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$3.5 million and $3.6 million as of June 25, 2023 and December 25, 2022,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(2)Excludes immaterial COVID-19-related deferred rent accruals.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586"/>
        <w:gridCol w:w="379"/>
        <w:gridCol w:w="380"/>
        <w:gridCol w:w="1139"/>
        <w:gridCol w:w="1139"/>
        <w:gridCol w:w="1142"/>
        <w:gridCol w:w="109"/>
        <w:gridCol w:w="109"/>
        <w:gridCol w:w="109"/>
        <w:gridCol w:w="209"/>
        <w:gridCol w:w="692"/>
        <w:gridCol w:w="116"/>
        <w:gridCol w:w="109"/>
        <w:gridCol w:w="109"/>
        <w:gridCol w:w="109"/>
        <w:gridCol w:w="209"/>
        <w:gridCol w:w="692"/>
        <w:gridCol w:w="116"/>
        <w:gridCol w:w="109"/>
        <w:gridCol w:w="109"/>
        <w:gridCol w:w="109"/>
        <w:gridCol w:w="209"/>
        <w:gridCol w:w="692"/>
        <w:gridCol w:w="116"/>
        <w:gridCol w:w="111"/>
        <w:gridCol w:w="111"/>
        <w:gridCol w:w="111"/>
        <w:gridCol w:w="209"/>
        <w:gridCol w:w="690"/>
        <w:gridCol w:w="17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 (1)</w:t>
            </w:r>
          </w:p>
        </w:tc>
        <w:tc>
          <w:tcPr>
            <w:tcW w:w="34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46,237 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45,579 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91,984 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90,940 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costs:</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46,954 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45,162 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93,341 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90,217 </w:t>
            </w:r>
          </w:p>
        </w:tc>
        <w:tc>
          <w:tcPr>
            <w:tcW w:w="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$3.0 million and $3.1 million for the thirteen weeks ended June 25, 2023 and June 26, 2022, respectively, and $6.0 million and $6.1 million for the twenty-six weeks ended June 25, 2023 and June 26, 2022,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to the Company’s Consolidated Financial Statements related to its leases for the periods indicated:</w:t>
      </w:r>
    </w:p>
    <w:tbl>
      <w:tblPr>
        <w:tblW w:w="8570" w:type="dxa"/>
        <w:jc w:val="center"/>
        <w:tblInd w:w="0" w:type="dxa"/>
        <w:tblLayout w:type="fixed"/>
        <w:tblCellMar>
          <w:top w:w="28" w:type="dxa"/>
          <w:left w:w="28" w:type="dxa"/>
          <w:bottom w:w="28" w:type="dxa"/>
          <w:right w:w="28" w:type="dxa"/>
        </w:tblCellMar>
      </w:tblPr>
      <w:tblGrid>
        <w:gridCol w:w="2077"/>
        <w:gridCol w:w="1831"/>
        <w:gridCol w:w="1837"/>
        <w:gridCol w:w="250"/>
        <w:gridCol w:w="826"/>
        <w:gridCol w:w="138"/>
        <w:gridCol w:w="117"/>
        <w:gridCol w:w="117"/>
        <w:gridCol w:w="117"/>
        <w:gridCol w:w="248"/>
        <w:gridCol w:w="818"/>
        <w:gridCol w:w="19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97,804 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    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measured at fair value by hierarchy level on a recurring basis as of the periods indicated:</w:t>
      </w:r>
    </w:p>
    <w:tbl>
      <w:tblPr>
        <w:tblW w:w="9245" w:type="dxa"/>
        <w:jc w:val="left"/>
        <w:tblInd w:w="0" w:type="dxa"/>
        <w:tblLayout w:type="fixed"/>
        <w:tblCellMar>
          <w:top w:w="28" w:type="dxa"/>
          <w:left w:w="28" w:type="dxa"/>
          <w:bottom w:w="28" w:type="dxa"/>
          <w:right w:w="28" w:type="dxa"/>
        </w:tblCellMar>
      </w:tblPr>
      <w:tblGrid>
        <w:gridCol w:w="1198"/>
        <w:gridCol w:w="1056"/>
        <w:gridCol w:w="1060"/>
        <w:gridCol w:w="196"/>
        <w:gridCol w:w="646"/>
        <w:gridCol w:w="109"/>
        <w:gridCol w:w="109"/>
        <w:gridCol w:w="109"/>
        <w:gridCol w:w="109"/>
        <w:gridCol w:w="196"/>
        <w:gridCol w:w="646"/>
        <w:gridCol w:w="109"/>
        <w:gridCol w:w="109"/>
        <w:gridCol w:w="109"/>
        <w:gridCol w:w="109"/>
        <w:gridCol w:w="143"/>
        <w:gridCol w:w="143"/>
        <w:gridCol w:w="143"/>
        <w:gridCol w:w="143"/>
        <w:gridCol w:w="258"/>
        <w:gridCol w:w="733"/>
        <w:gridCol w:w="143"/>
        <w:gridCol w:w="109"/>
        <w:gridCol w:w="109"/>
        <w:gridCol w:w="109"/>
        <w:gridCol w:w="196"/>
        <w:gridCol w:w="556"/>
        <w:gridCol w:w="109"/>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(1):</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recurring fair value measurements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(1)Carrying value approximates fair value because maturities are less than three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Interim Disclosures about Fair Value of Financial Instruments - </w:t>
      </w:r>
      <w:r>
        <w:rPr>
          <w:rFonts w:ascii="Times New Roman;sans-serif" w:hAnsi="Times New Roman;sans-serif"/>
          <w:b w:val="false"/>
          <w:color w:val="000000"/>
          <w:sz w:val="22"/>
        </w:rPr>
        <w:t>The Company’s financial instruments consist of cash equivalents, accounts receivable, accounts payable and long-term debt. The fair values of cash equivalents, accounts receivable and accounts payable approximate their carrying amounts reported on its Consolidated Balance Sheets due to their short duration.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12.    </w:t>
      </w:r>
      <w:bookmarkStart w:id="8" w:name="i422a1a2ef71a4887b0e3bca84f592ad5_4968"/>
      <w:bookmarkEnd w:id="8"/>
      <w:r>
        <w:rPr>
          <w:rFonts w:ascii="Times New Roman;sans-serif" w:hAnsi="Times New Roman;sans-serif"/>
          <w:b w:val="false"/>
          <w:color w:val="000000"/>
          <w:sz w:val="22"/>
        </w:rPr>
        <w:t xml:space="preserve">Income Taxes </w:t>
      </w:r>
    </w:p>
    <w:tbl>
      <w:tblPr>
        <w:tblW w:w="9410" w:type="dxa"/>
        <w:jc w:val="center"/>
        <w:tblInd w:w="0" w:type="dxa"/>
        <w:tblLayout w:type="fixed"/>
        <w:tblCellMar>
          <w:top w:w="28" w:type="dxa"/>
          <w:left w:w="28" w:type="dxa"/>
          <w:bottom w:w="28" w:type="dxa"/>
          <w:right w:w="28" w:type="dxa"/>
        </w:tblCellMar>
      </w:tblPr>
      <w:tblGrid>
        <w:gridCol w:w="1274"/>
        <w:gridCol w:w="1123"/>
        <w:gridCol w:w="1127"/>
        <w:gridCol w:w="217"/>
        <w:gridCol w:w="715"/>
        <w:gridCol w:w="283"/>
        <w:gridCol w:w="109"/>
        <w:gridCol w:w="109"/>
        <w:gridCol w:w="109"/>
        <w:gridCol w:w="203"/>
        <w:gridCol w:w="747"/>
        <w:gridCol w:w="265"/>
        <w:gridCol w:w="109"/>
        <w:gridCol w:w="109"/>
        <w:gridCol w:w="109"/>
        <w:gridCol w:w="200"/>
        <w:gridCol w:w="753"/>
        <w:gridCol w:w="262"/>
        <w:gridCol w:w="109"/>
        <w:gridCol w:w="109"/>
        <w:gridCol w:w="109"/>
        <w:gridCol w:w="216"/>
        <w:gridCol w:w="712"/>
        <w:gridCol w:w="332"/>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(50,144)</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43,479 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June 25, 2023 changed by 31.5 percentage points as compared to the thirteen weeks ended June 26, 2022. This change is primarily due to the non-deductible losses associated with the 2025 Notes Partial Repurchase which, relative to the Loss before provision for income taxes during the thirteen weeks ended June 26, 2022, resulted in a negative effective income tax rate. This change was partially offset by a reduction in the effective tax rate during the thirteen weeks ended June 25, 2023 from benefits of Brazil tax legislation that include a temporary reduction in the Brazilian income tax rate from 34% to 0% and the revaluation of Brazilian deferred tax assets and liabilities as a result of the May 2023 Brazil tax legislation, as defined and further discussed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income tax rate for the twenty-six weeks ended June 25, 2023 decreased by 51.7 percentage points as compared to the twenty-six weeks ended June 26, 2022. This decrease was primarily due to the benefits of Brazil tax legislation that include a temporary reduction in the Brazilian income tax rate from 34% to 0% for the twenty-six weeks ended June 25, 2023, and the non-deductible losses associated with the 2025 Notes Partial Repurchase recorded during the twenty-six weeks ended June 26,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September 2022, the Company’s Brazilian subsidiary received a preliminary injunction authorizing it to benefit from the exemptions enacted by Law 14,148/2021 which provides for emergency and temporary actions that grant certain industries a 100% exemption from income tax (IRPJ and CSLL) and federal value added taxes (PIS and COFINS) for a five-year period. The injunction was issued as part of an ongoing lawsuit initiated by the Company’s Brazilian subsidiary due to the uncertainty regarding the restaurant industry’s eligibility for the exemptions under this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May 2023, Brazil enacted tax legislation that prospectively limits the Company’s ability to benefit from the 100% exemption from income tax (IRPJ and CSLL) and federal value added taxes (PIS and COFINS) for the full five-year period (the “May 2023 Brazil tax legislation”). As a result of this legislation, the Company expects to be subject to PIS and COFINS and CSLL beginning in the fourth quarter of 2023 and IRPJ beginning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provision for income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rates for the thirteen and twenty-six weeks ended June 25, 2023 were lower than the Company’s blended federal and state statutory rate of approximately 26% primarily due to the benefit of FICA tax credits on certain tipped wages, benefits of Brazil tax legislation that include a temporary reduction in the Brazilian income tax rate from 34% to 0%, and the revaluation of Brazilian deferred tax assets and liabilities as a result of the May 2023 Brazil tax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June 26, 2022 was lower than the Company’s blended federal and state statutory rate of approximately 26%. The income tax rate includes the impact of non-deductible losses associated with the 2025 Notes Partial Repurchase which, relative to the Loss before provision for income taxes during the quarter, resulted in a negative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9" w:name="i422a1a2ef71a4887b0e3bca84f592ad5_9336"/>
      <w:bookmarkEnd w:id="9"/>
      <w:r>
        <w:rPr>
          <w:rFonts w:ascii="Times New Roman;sans-serif" w:hAnsi="Times New Roman;sans-serif"/>
          <w:b w:val="false"/>
          <w:color w:val="000000"/>
          <w:sz w:val="22"/>
        </w:rPr>
        <w:t>The effective income tax rate for the twenty-six weeks ended June 26, 2022 was higher than the statutory rate primarily due to the non-deductible losses associated with the 2025 Notes Partial Repurchase recorded during the twenty-six weeks ended June 26,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Litigation and Other Matters</w:t>
      </w:r>
      <w:r>
        <w:rPr>
          <w:color w:val="000000"/>
        </w:rPr>
        <w:t xml:space="preserve"> </w:t>
      </w:r>
      <w:r>
        <w:rPr>
          <w:rFonts w:ascii="Times New Roman;sans-serif" w:hAnsi="Times New Roman;sans-serif"/>
          <w:b w:val="false"/>
          <w:color w:val="000000"/>
          <w:sz w:val="22"/>
        </w:rPr>
        <w:t>- The Company is subject to legal proceedings, claims and liabilities, such as liquor liability, slip and fall cases, wage and 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recorded reserves of $16.4 million and $15.1 million for certain of its outstanding legal proceedings as of June 25, 2023 and December 25, 2022, respectively, within Accrued and other current liabilities on its Consolidated Balance Sheets. While the Company believes that additional losses beyond these accruals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These leases have varying terms, the latest of which expires in 2032. As of June 25, 2023, the undiscounted payments that the Company could be required to make in the event of non-payment by the primary lessees was approximately $21.9 million. The present value of these potential payments discounted at the Company’s incremental borrowing rate as of June 25, 2023 was approximately $16.5 million. In the event of default, the indemnity clauses in the Company’s purchase and sale agreements generally govern its ability to pursue and recover damages incurred. As of June 25, 2023 and December 25, 2022, the Company’s recorded contingent lease liability was $5.6 million and $6.2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    Segment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 xml:space="preserve">Summary of Significant Accounting Policies </w:t>
      </w:r>
      <w:r>
        <w:rPr>
          <w:rFonts w:ascii="Times New Roman;sans-serif" w:hAnsi="Times New Roman;sans-serif"/>
          <w:b w:val="false"/>
          <w:color w:val="000000"/>
          <w:sz w:val="22"/>
        </w:rPr>
        <w:t>in the Company’s Annual Report on Form 10-K for the year ended December 25, 2022.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revenues by segment for the periods indicated:</w:t>
      </w:r>
    </w:p>
    <w:tbl>
      <w:tblPr>
        <w:tblW w:w="7562" w:type="dxa"/>
        <w:jc w:val="center"/>
        <w:tblInd w:w="0" w:type="dxa"/>
        <w:tblLayout w:type="fixed"/>
        <w:tblCellMar>
          <w:top w:w="28" w:type="dxa"/>
          <w:left w:w="28" w:type="dxa"/>
          <w:bottom w:w="28" w:type="dxa"/>
          <w:right w:w="28" w:type="dxa"/>
        </w:tblCellMar>
      </w:tblPr>
      <w:tblGrid>
        <w:gridCol w:w="607"/>
        <w:gridCol w:w="535"/>
        <w:gridCol w:w="537"/>
        <w:gridCol w:w="202"/>
        <w:gridCol w:w="900"/>
        <w:gridCol w:w="112"/>
        <w:gridCol w:w="109"/>
        <w:gridCol w:w="109"/>
        <w:gridCol w:w="109"/>
        <w:gridCol w:w="202"/>
        <w:gridCol w:w="900"/>
        <w:gridCol w:w="112"/>
        <w:gridCol w:w="109"/>
        <w:gridCol w:w="109"/>
        <w:gridCol w:w="109"/>
        <w:gridCol w:w="202"/>
        <w:gridCol w:w="900"/>
        <w:gridCol w:w="112"/>
        <w:gridCol w:w="109"/>
        <w:gridCol w:w="109"/>
        <w:gridCol w:w="109"/>
        <w:gridCol w:w="202"/>
        <w:gridCol w:w="899"/>
        <w:gridCol w:w="15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998,627 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2,035,034 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1,125,162 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2,265,697 </w:t>
            </w:r>
          </w:p>
        </w:tc>
        <w:tc>
          <w:tcPr>
            <w:tcW w:w="1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Income (loss) before provision for income taxes for the periods indicated:</w:t>
      </w:r>
    </w:p>
    <w:tbl>
      <w:tblPr>
        <w:tblW w:w="9468" w:type="dxa"/>
        <w:jc w:val="center"/>
        <w:tblInd w:w="0" w:type="dxa"/>
        <w:tblLayout w:type="fixed"/>
        <w:tblCellMar>
          <w:top w:w="28" w:type="dxa"/>
          <w:left w:w="28" w:type="dxa"/>
          <w:bottom w:w="28" w:type="dxa"/>
          <w:right w:w="28" w:type="dxa"/>
        </w:tblCellMar>
      </w:tblPr>
      <w:tblGrid>
        <w:gridCol w:w="1295"/>
        <w:gridCol w:w="1142"/>
        <w:gridCol w:w="1147"/>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7"/>
        <w:gridCol w:w="855"/>
        <w:gridCol w:w="178"/>
      </w:tblGrid>
      <w:tr>
        <w:trPr/>
        <w:tc>
          <w:tcPr>
            <w:tcW w:w="129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income from operations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123,494 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118,746 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281,245 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259,856 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operating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(64,881)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87,719 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194,975 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(50,144)</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184,674 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43,479 </w:t>
            </w:r>
          </w:p>
        </w:tc>
        <w:tc>
          <w:tcPr>
            <w:tcW w:w="1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Depreciation and amortization expense by segment for the periods indicated:</w:t>
      </w:r>
    </w:p>
    <w:tbl>
      <w:tblPr>
        <w:tblW w:w="8504" w:type="dxa"/>
        <w:jc w:val="center"/>
        <w:tblInd w:w="0" w:type="dxa"/>
        <w:tblLayout w:type="fixed"/>
        <w:tblCellMar>
          <w:top w:w="28" w:type="dxa"/>
          <w:left w:w="28" w:type="dxa"/>
          <w:bottom w:w="28" w:type="dxa"/>
          <w:right w:w="28" w:type="dxa"/>
        </w:tblCellMar>
      </w:tblPr>
      <w:tblGrid>
        <w:gridCol w:w="938"/>
        <w:gridCol w:w="827"/>
        <w:gridCol w:w="830"/>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41,257 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83,032 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22"/>
        </w:rPr>
        <w:t>Geographic Areas</w:t>
      </w:r>
      <w:r>
        <w:rPr>
          <w:color w:val="000000"/>
        </w:rPr>
        <w:t xml:space="preserve"> </w:t>
      </w:r>
      <w:r>
        <w:rPr>
          <w:rFonts w:ascii="Times New Roman;sans-serif" w:hAnsi="Times New Roman;sans-serif"/>
          <w:b w:val="false"/>
          <w:color w:val="000000"/>
          <w:sz w:val="22"/>
        </w:rPr>
        <w:t>- International assets are defined as assets residing in a country other than the U.S. The following table details long-lived assets, excluding goodwill, operating lease right-of-use assets, intangible assets and deferred tax assets, by major geographic area as of the periods indicated:</w:t>
      </w:r>
    </w:p>
    <w:tbl>
      <w:tblPr>
        <w:tblW w:w="5006" w:type="dxa"/>
        <w:jc w:val="center"/>
        <w:tblInd w:w="0" w:type="dxa"/>
        <w:tblLayout w:type="fixed"/>
        <w:tblCellMar>
          <w:top w:w="28" w:type="dxa"/>
          <w:left w:w="28" w:type="dxa"/>
          <w:bottom w:w="28" w:type="dxa"/>
          <w:right w:w="28" w:type="dxa"/>
        </w:tblCellMar>
      </w:tblPr>
      <w:tblGrid>
        <w:gridCol w:w="618"/>
        <w:gridCol w:w="545"/>
        <w:gridCol w:w="547"/>
        <w:gridCol w:w="202"/>
        <w:gridCol w:w="900"/>
        <w:gridCol w:w="112"/>
        <w:gridCol w:w="109"/>
        <w:gridCol w:w="109"/>
        <w:gridCol w:w="109"/>
        <w:gridCol w:w="316"/>
        <w:gridCol w:w="1190"/>
        <w:gridCol w:w="249"/>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945,616 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891,379 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93,972 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1,063,377 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996,289 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International revenues are defined as revenues generated from restaurant sales originating in a country other than the U.S. The following table details Total revenues by major geographic area for the periods indicated:</w:t>
      </w:r>
    </w:p>
    <w:tbl>
      <w:tblPr>
        <w:tblW w:w="7562" w:type="dxa"/>
        <w:jc w:val="left"/>
        <w:tblInd w:w="0" w:type="dxa"/>
        <w:tblLayout w:type="fixed"/>
        <w:tblCellMar>
          <w:top w:w="28" w:type="dxa"/>
          <w:left w:w="28" w:type="dxa"/>
          <w:bottom w:w="28" w:type="dxa"/>
          <w:right w:w="28" w:type="dxa"/>
        </w:tblCellMar>
      </w:tblPr>
      <w:tblGrid>
        <w:gridCol w:w="607"/>
        <w:gridCol w:w="535"/>
        <w:gridCol w:w="537"/>
        <w:gridCol w:w="202"/>
        <w:gridCol w:w="900"/>
        <w:gridCol w:w="112"/>
        <w:gridCol w:w="109"/>
        <w:gridCol w:w="109"/>
        <w:gridCol w:w="109"/>
        <w:gridCol w:w="202"/>
        <w:gridCol w:w="900"/>
        <w:gridCol w:w="112"/>
        <w:gridCol w:w="109"/>
        <w:gridCol w:w="109"/>
        <w:gridCol w:w="109"/>
        <w:gridCol w:w="202"/>
        <w:gridCol w:w="900"/>
        <w:gridCol w:w="112"/>
        <w:gridCol w:w="109"/>
        <w:gridCol w:w="109"/>
        <w:gridCol w:w="109"/>
        <w:gridCol w:w="202"/>
        <w:gridCol w:w="899"/>
        <w:gridCol w:w="15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1,005,229 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998,627 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2,098,225 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2,035,034 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1,152,694 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1,125,162 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2,397,440 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2,265,697 </w:t>
            </w:r>
          </w:p>
        </w:tc>
        <w:tc>
          <w:tcPr>
            <w:tcW w:w="1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conditions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 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(viii)The severity, extent and duration of a health pandemic, its impacts on our business and results of operations, financial condition and liquidity, including any adverse impact on our stock price and on the other factors listed in this Report, and the responses of domestic and foreign federal, state and local governments to the pandemic;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effects of international economic, political and social conditions and legal systems on our foreign operations and on foreign currency exchange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(xi)Our ability to comply with new environmental, social and governance (“ESG”) requirements or our failure to achieve any goals, targets or objectives with respect to ESG matters;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(xii)Our ability to effectively respond to changes in patterns of consumer traffic, consumer tastes and dietary habits, including by maintaining relationships with third party delivery apps and services;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(xviii)Such other factors as discussed in Part I, Item IA. Risk Factors of our Annual Report on Form 10-K for the year ended December 25, 2022.</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June 25, 2023, we owned and operated 1,187 full-service restaurants and off-premises only kitchens and franchised 298 full-service restaurants and off-premises only kitchens across 47 states, Guam and 13 countries. We have four founder-inspired concepts: Outback Steakhouse, Carrabba’s Italian Grill, Bonefish Grill and Fleming’s Prime Steakhouse &amp; Wine Bar.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Financial Overview - </w:t>
      </w:r>
      <w:r>
        <w:rPr>
          <w:rFonts w:ascii="Times New Roman;sans-serif" w:hAnsi="Times New Roman;sans-serif"/>
          <w:b w:val="false"/>
          <w:color w:val="000000"/>
          <w:sz w:val="22"/>
        </w:rPr>
        <w:t>Our financial overview for the thirteen weeks ended June 25, 2023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0.8% and 0.6%,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Increase in Total revenues of 2.4%, as compared to the second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7.8% and 16.4%, respectively, as compared to 7.8% and 15.5%, respectively, for the second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$89.4 million, as compared to $87.7 million in the second quarter of 2022;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Diluted earnings per share of $0.70 as compared to diluted loss per share of $(0.72) for the second quarter of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Key Financial Performance Indicators</w:t>
      </w:r>
      <w:r>
        <w:rPr>
          <w:color w:val="000000"/>
        </w:rPr>
        <w:t xml:space="preserve"> </w:t>
      </w:r>
      <w:r>
        <w:rPr>
          <w:rFonts w:ascii="Times New Roman;sans-serif" w:hAnsi="Times New Roman;sans-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and the benefit of value added tax exemptions in Brazil)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and the benefit of value added tax exemptions in Brazil)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income (loss) and Diluted earnings (loss)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(Loss). The following categories of revenue and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are not included in restaurant-level operating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(ii)Depreciation and amortization which, although substantially all of which is related to restaurant-level assets, represent historical sunk costs rather than cash outlays for the restaurants;</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full-service restaurants in operation as of the periods indicated:</w:t>
      </w:r>
    </w:p>
    <w:tbl>
      <w:tblPr>
        <w:tblW w:w="6415" w:type="dxa"/>
        <w:jc w:val="left"/>
        <w:tblInd w:w="0" w:type="dxa"/>
        <w:tblLayout w:type="fixed"/>
        <w:tblCellMar>
          <w:top w:w="28" w:type="dxa"/>
          <w:left w:w="28" w:type="dxa"/>
          <w:bottom w:w="28" w:type="dxa"/>
          <w:right w:w="28" w:type="dxa"/>
        </w:tblCellMar>
      </w:tblPr>
      <w:tblGrid>
        <w:gridCol w:w="1308"/>
        <w:gridCol w:w="1150"/>
        <w:gridCol w:w="1157"/>
        <w:gridCol w:w="404"/>
        <w:gridCol w:w="404"/>
        <w:gridCol w:w="406"/>
        <w:gridCol w:w="109"/>
        <w:gridCol w:w="109"/>
        <w:gridCol w:w="109"/>
        <w:gridCol w:w="367"/>
        <w:gridCol w:w="367"/>
        <w:gridCol w:w="525"/>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 (at end of the 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5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restaurant counts for Brazil, including Abbraccio and Aussie Grill restaurants within International Company-owned Other, are reported as of May 31, 2023 and 2022, respectively, to correspond with the balance sheet dates of this subsidiary.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(2)International Company-owned Other included four and two Aussie Grill locations as of June 25, 2023 and June 26, 2022, respectively. International Franchised Other included three Aussie Grill locations as of June 25, 2023 and June 26, 2022.</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number of our off-premises only kitchens in operation as of the periods indicated:</w:t>
      </w:r>
    </w:p>
    <w:tbl>
      <w:tblPr>
        <w:tblW w:w="6430" w:type="dxa"/>
        <w:jc w:val="left"/>
        <w:tblInd w:w="0" w:type="dxa"/>
        <w:tblLayout w:type="fixed"/>
        <w:tblCellMar>
          <w:top w:w="28" w:type="dxa"/>
          <w:left w:w="28" w:type="dxa"/>
          <w:bottom w:w="28" w:type="dxa"/>
          <w:right w:w="28" w:type="dxa"/>
        </w:tblCellMar>
      </w:tblPr>
      <w:tblGrid>
        <w:gridCol w:w="1313"/>
        <w:gridCol w:w="1156"/>
        <w:gridCol w:w="1161"/>
        <w:gridCol w:w="404"/>
        <w:gridCol w:w="404"/>
        <w:gridCol w:w="406"/>
        <w:gridCol w:w="109"/>
        <w:gridCol w:w="109"/>
        <w:gridCol w:w="109"/>
        <w:gridCol w:w="367"/>
        <w:gridCol w:w="367"/>
        <w:gridCol w:w="52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kitchens (at end of the period) (1):</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 - South Korea</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80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(1)Excludes virtual concepts that operate out of existing restaurants and sports venue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bookmarkStart w:id="10" w:name="i9fbf766825994190a6adb6116e52422c_319"/>
      <w:bookmarkEnd w:id="10"/>
      <w:r>
        <w:rPr>
          <w:rFonts w:ascii="Times New Roman;sans-serif" w:hAnsi="Times New Roman;sans-serif"/>
          <w:b/>
          <w:color w:val="000000"/>
          <w:sz w:val="22"/>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410"/>
        <w:gridCol w:w="1225"/>
        <w:gridCol w:w="1231"/>
        <w:gridCol w:w="279"/>
        <w:gridCol w:w="278"/>
        <w:gridCol w:w="635"/>
        <w:gridCol w:w="184"/>
        <w:gridCol w:w="184"/>
        <w:gridCol w:w="184"/>
        <w:gridCol w:w="279"/>
        <w:gridCol w:w="278"/>
        <w:gridCol w:w="635"/>
        <w:gridCol w:w="109"/>
        <w:gridCol w:w="109"/>
        <w:gridCol w:w="109"/>
        <w:gridCol w:w="279"/>
        <w:gridCol w:w="278"/>
        <w:gridCol w:w="634"/>
        <w:gridCol w:w="197"/>
        <w:gridCol w:w="197"/>
        <w:gridCol w:w="197"/>
        <w:gridCol w:w="314"/>
        <w:gridCol w:w="262"/>
        <w:gridCol w:w="718"/>
      </w:tblGrid>
      <w:tr>
        <w:trPr/>
        <w:tc>
          <w:tcPr>
            <w:tcW w:w="141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5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9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1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6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6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6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71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6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7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6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6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6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7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6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6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63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7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*Less than 1/10</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one percent of Total revenues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Restaurant sales for the periods indicated:</w:t>
      </w:r>
    </w:p>
    <w:tbl>
      <w:tblPr>
        <w:tblW w:w="7797" w:type="dxa"/>
        <w:jc w:val="left"/>
        <w:tblInd w:w="0" w:type="dxa"/>
        <w:tblLayout w:type="fixed"/>
        <w:tblCellMar>
          <w:top w:w="28" w:type="dxa"/>
          <w:left w:w="28" w:type="dxa"/>
          <w:bottom w:w="28" w:type="dxa"/>
          <w:right w:w="28" w:type="dxa"/>
        </w:tblCellMar>
      </w:tblPr>
      <w:tblGrid>
        <w:gridCol w:w="1011"/>
        <w:gridCol w:w="888"/>
        <w:gridCol w:w="891"/>
        <w:gridCol w:w="437"/>
        <w:gridCol w:w="1540"/>
        <w:gridCol w:w="243"/>
        <w:gridCol w:w="109"/>
        <w:gridCol w:w="109"/>
        <w:gridCol w:w="109"/>
        <w:gridCol w:w="463"/>
        <w:gridCol w:w="1633"/>
        <w:gridCol w:w="36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26, 2022</w:t>
            </w:r>
          </w:p>
        </w:tc>
        <w:tc>
          <w:tcPr>
            <w:tcW w:w="4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1,108.9 </w:t>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(1)</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(1)</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(2)</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 (1)</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1,137.3 </w:t>
            </w:r>
          </w:p>
        </w:tc>
        <w:tc>
          <w:tcPr>
            <w:tcW w:w="2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2,365.6 </w:t>
            </w:r>
          </w:p>
        </w:tc>
        <w:tc>
          <w:tcPr>
            <w:tcW w:w="3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(1)Summation of quarterly changes for restaurant openings, closures and comparable restaurant sales will not total annual amounts as the restaurants that meet the definition of each will differ each period based on when the restaurant opened or closed. </w:t>
      </w:r>
    </w:p>
    <w:p>
      <w:pPr>
        <w:pStyle w:val="TextBody"/>
        <w:bidi w:val="0"/>
        <w:spacing w:lineRule="auto" w:line="288" w:before="0" w:after="0"/>
        <w:ind w:left="0" w:right="0" w:hanging="720"/>
        <w:jc w:val="both"/>
        <w:rPr/>
      </w:pPr>
      <w:bookmarkStart w:id="11" w:name="i5fd0498dfa1c4125b1a8581b8ad874cf_2285"/>
      <w:bookmarkEnd w:id="11"/>
      <w:r>
        <w:rPr>
          <w:rFonts w:ascii="Times New Roman;sans-serif" w:hAnsi="Times New Roman;sans-serif"/>
          <w:b w:val="false"/>
          <w:color w:val="000000"/>
          <w:sz w:val="18"/>
        </w:rPr>
        <w:t xml:space="preserve">(2)See Note 12 - </w:t>
      </w:r>
      <w:r>
        <w:rPr>
          <w:rFonts w:ascii="Times New Roman;sans-serif" w:hAnsi="Times New Roman;sans-serif"/>
          <w:b w:val="false"/>
          <w:i/>
          <w:color w:val="000000"/>
          <w:sz w:val="18"/>
        </w:rPr>
        <w:t xml:space="preserve">Income Taxes </w:t>
      </w:r>
      <w:r>
        <w:rPr>
          <w:rFonts w:ascii="Times New Roman;sans-serif" w:hAnsi="Times New Roman;sans-serif"/>
          <w:b w:val="false"/>
          <w:color w:val="000000"/>
          <w:sz w:val="18"/>
        </w:rPr>
        <w:t>of the Notes to Consolidated Financial Statements for details regarding value added tax exemptions in connection with Brazil tax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Restaurant sales during the thirteen weeks ended June 25, 2023 was primarily due to: (i) the opening of 50 new restaurants not included in our comparable restaurant sales base, (ii) higher comparable restaurant sales, primarily driven by increases in menu pricing, and (iii) value added tax exemptions in Brazil. The increase was partially offset by the closure of 18 restaurants since March 27, 2022 and the effect of foreign currency translation of the Brazilian Real relative to the U.S. dollar.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Restaurant sales during the twenty-six weeks ended June 25, 2023 was primarily due to: (i) higher comparable restaurant sales, primarily driven by increases in menu pricing, (ii) the opening of 55 new restaurants not included in our comparable restaurant sales base and (iii) value added tax exemptions in Brazil. The increase in Restaurant sales was partially offset by the closure of 24 restaurants since December 26, 2021.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Average Restaurant Unit Volumes and Operating Weeks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average restaurant unit volumes and operating weeks for the periods indicated:</w:t>
      </w:r>
    </w:p>
    <w:tbl>
      <w:tblPr>
        <w:tblW w:w="10205" w:type="dxa"/>
        <w:jc w:val="left"/>
        <w:tblInd w:w="0" w:type="dxa"/>
        <w:tblLayout w:type="fixed"/>
        <w:tblCellMar>
          <w:top w:w="28" w:type="dxa"/>
          <w:left w:w="28" w:type="dxa"/>
          <w:bottom w:w="28" w:type="dxa"/>
          <w:right w:w="28" w:type="dxa"/>
        </w:tblCellMar>
      </w:tblPr>
      <w:tblGrid>
        <w:gridCol w:w="1134"/>
        <w:gridCol w:w="994"/>
        <w:gridCol w:w="998"/>
        <w:gridCol w:w="227"/>
        <w:gridCol w:w="858"/>
        <w:gridCol w:w="126"/>
        <w:gridCol w:w="109"/>
        <w:gridCol w:w="109"/>
        <w:gridCol w:w="109"/>
        <w:gridCol w:w="227"/>
        <w:gridCol w:w="858"/>
        <w:gridCol w:w="126"/>
        <w:gridCol w:w="109"/>
        <w:gridCol w:w="177"/>
        <w:gridCol w:w="177"/>
        <w:gridCol w:w="177"/>
        <w:gridCol w:w="177"/>
        <w:gridCol w:w="319"/>
        <w:gridCol w:w="1201"/>
        <w:gridCol w:w="177"/>
        <w:gridCol w:w="109"/>
        <w:gridCol w:w="109"/>
        <w:gridCol w:w="109"/>
        <w:gridCol w:w="227"/>
        <w:gridCol w:w="858"/>
        <w:gridCol w:w="126"/>
        <w:gridCol w:w="109"/>
        <w:gridCol w:w="169"/>
      </w:tblGrid>
      <w:tr>
        <w:trPr/>
        <w:tc>
          <w:tcPr>
            <w:tcW w:w="11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816" w:type="dxa"/>
            <w:gridSpan w:val="8"/>
            <w:tcBorders/>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 (weekly):</w:t>
            </w:r>
          </w:p>
        </w:tc>
        <w:tc>
          <w:tcPr>
            <w:tcW w:w="121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(1)Translated at average exchange rates of 5.06 and 4.89 for the thirteen weeks ended June 25, 2023 and June 26, 2022, respectively, and 5.14 and 5.15 for the twenty-six weeks ended June 25, 2023 and June 26, 2022, respectively. Excludes the benefit of the Brazil value added tax exemptions discussed in Note 12 -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Comparable Restaurant Sales, Traffic and Average Check Per Person Increases (Decreases)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comparable restaurant sales, traffic and average check per person increases (decreases) for the periods indicated:</w:t>
      </w:r>
    </w:p>
    <w:tbl>
      <w:tblPr>
        <w:tblW w:w="10205" w:type="dxa"/>
        <w:jc w:val="left"/>
        <w:tblInd w:w="0" w:type="dxa"/>
        <w:tblLayout w:type="fixed"/>
        <w:tblCellMar>
          <w:top w:w="28" w:type="dxa"/>
          <w:left w:w="28" w:type="dxa"/>
          <w:bottom w:w="28" w:type="dxa"/>
          <w:right w:w="28" w:type="dxa"/>
        </w:tblCellMar>
      </w:tblPr>
      <w:tblGrid>
        <w:gridCol w:w="1452"/>
        <w:gridCol w:w="1249"/>
        <w:gridCol w:w="1259"/>
        <w:gridCol w:w="109"/>
        <w:gridCol w:w="109"/>
        <w:gridCol w:w="279"/>
        <w:gridCol w:w="240"/>
        <w:gridCol w:w="563"/>
        <w:gridCol w:w="170"/>
        <w:gridCol w:w="170"/>
        <w:gridCol w:w="170"/>
        <w:gridCol w:w="279"/>
        <w:gridCol w:w="257"/>
        <w:gridCol w:w="563"/>
        <w:gridCol w:w="109"/>
        <w:gridCol w:w="109"/>
        <w:gridCol w:w="109"/>
        <w:gridCol w:w="109"/>
        <w:gridCol w:w="109"/>
        <w:gridCol w:w="279"/>
        <w:gridCol w:w="257"/>
        <w:gridCol w:w="562"/>
        <w:gridCol w:w="181"/>
        <w:gridCol w:w="181"/>
        <w:gridCol w:w="181"/>
        <w:gridCol w:w="264"/>
        <w:gridCol w:w="249"/>
        <w:gridCol w:w="637"/>
      </w:tblGrid>
      <w:tr>
        <w:trPr/>
        <w:tc>
          <w:tcPr>
            <w:tcW w:w="145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5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(2)Includes trading day impact from calendar period reporting. Excludes the effect of fluctuations in foreign currency rates and the benefit of the Brazil value added tax exemptions discussed in Note 12 -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Franchise and other revenues</w:t>
      </w:r>
      <w:r>
        <w:rPr>
          <w:color w:val="000000"/>
        </w:rPr>
        <w:t xml:space="preserve"> </w:t>
      </w:r>
    </w:p>
    <w:tbl>
      <w:tblPr>
        <w:tblW w:w="8444" w:type="dxa"/>
        <w:jc w:val="left"/>
        <w:tblInd w:w="0" w:type="dxa"/>
        <w:tblLayout w:type="fixed"/>
        <w:tblCellMar>
          <w:top w:w="28" w:type="dxa"/>
          <w:left w:w="28" w:type="dxa"/>
          <w:bottom w:w="28" w:type="dxa"/>
          <w:right w:w="28" w:type="dxa"/>
        </w:tblCellMar>
      </w:tblPr>
      <w:tblGrid>
        <w:gridCol w:w="793"/>
        <w:gridCol w:w="697"/>
        <w:gridCol w:w="699"/>
        <w:gridCol w:w="308"/>
        <w:gridCol w:w="735"/>
        <w:gridCol w:w="171"/>
        <w:gridCol w:w="129"/>
        <w:gridCol w:w="129"/>
        <w:gridCol w:w="129"/>
        <w:gridCol w:w="308"/>
        <w:gridCol w:w="735"/>
        <w:gridCol w:w="171"/>
        <w:gridCol w:w="109"/>
        <w:gridCol w:w="109"/>
        <w:gridCol w:w="109"/>
        <w:gridCol w:w="309"/>
        <w:gridCol w:w="735"/>
        <w:gridCol w:w="171"/>
        <w:gridCol w:w="140"/>
        <w:gridCol w:w="140"/>
        <w:gridCol w:w="140"/>
        <w:gridCol w:w="309"/>
        <w:gridCol w:w="735"/>
        <w:gridCol w:w="171"/>
        <w:gridCol w:w="109"/>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Food and beverage costs</w:t>
      </w:r>
    </w:p>
    <w:tbl>
      <w:tblPr>
        <w:tblW w:w="10021" w:type="dxa"/>
        <w:jc w:val="left"/>
        <w:tblInd w:w="0" w:type="dxa"/>
        <w:tblLayout w:type="fixed"/>
        <w:tblCellMar>
          <w:top w:w="28" w:type="dxa"/>
          <w:left w:w="28" w:type="dxa"/>
          <w:bottom w:w="28" w:type="dxa"/>
          <w:right w:w="28" w:type="dxa"/>
        </w:tblCellMar>
      </w:tblPr>
      <w:tblGrid>
        <w:gridCol w:w="598"/>
        <w:gridCol w:w="525"/>
        <w:gridCol w:w="527"/>
        <w:gridCol w:w="236"/>
        <w:gridCol w:w="670"/>
        <w:gridCol w:w="308"/>
        <w:gridCol w:w="109"/>
        <w:gridCol w:w="109"/>
        <w:gridCol w:w="109"/>
        <w:gridCol w:w="236"/>
        <w:gridCol w:w="670"/>
        <w:gridCol w:w="308"/>
        <w:gridCol w:w="109"/>
        <w:gridCol w:w="109"/>
        <w:gridCol w:w="109"/>
        <w:gridCol w:w="224"/>
        <w:gridCol w:w="226"/>
        <w:gridCol w:w="455"/>
        <w:gridCol w:w="109"/>
        <w:gridCol w:w="109"/>
        <w:gridCol w:w="109"/>
        <w:gridCol w:w="236"/>
        <w:gridCol w:w="671"/>
        <w:gridCol w:w="308"/>
        <w:gridCol w:w="112"/>
        <w:gridCol w:w="112"/>
        <w:gridCol w:w="112"/>
        <w:gridCol w:w="236"/>
        <w:gridCol w:w="671"/>
        <w:gridCol w:w="308"/>
        <w:gridCol w:w="109"/>
        <w:gridCol w:w="109"/>
        <w:gridCol w:w="109"/>
        <w:gridCol w:w="224"/>
        <w:gridCol w:w="226"/>
        <w:gridCol w:w="51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and beverage costs decreased as a percentage of Restaurant sales during the thirteen weeks ended June 25, 2023 as compared to the thirteen weeks ended June 26, 2022 primarily due to 2.4% from increases in average check per person driven by an increase in menu pricing and 0.3% from the impact of certain cost saving initiatives. These decreases were partially offset by an increase as a percentage of Restaurant sales of 0.9% from commodity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and beverage costs decreased as a percentage of Restaurant sales during the twenty-six weeks ended June 25, 2023 as compared to the twenty-six weeks ended June 26, 2022 primarily due to 2.3% from increases in average check per person driven by an increase in menu pricing and 0.3% from the impact of certain cost saving initiatives. These decreases were partially offset by an increase as a percentage of Restaurant sales of 1.5% from commodity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Labor and other related expenses</w:t>
      </w:r>
    </w:p>
    <w:tbl>
      <w:tblPr>
        <w:tblW w:w="9987" w:type="dxa"/>
        <w:jc w:val="left"/>
        <w:tblInd w:w="0" w:type="dxa"/>
        <w:tblLayout w:type="fixed"/>
        <w:tblCellMar>
          <w:top w:w="28" w:type="dxa"/>
          <w:left w:w="28" w:type="dxa"/>
          <w:bottom w:w="28" w:type="dxa"/>
          <w:right w:w="28" w:type="dxa"/>
        </w:tblCellMar>
      </w:tblPr>
      <w:tblGrid>
        <w:gridCol w:w="636"/>
        <w:gridCol w:w="558"/>
        <w:gridCol w:w="560"/>
        <w:gridCol w:w="236"/>
        <w:gridCol w:w="670"/>
        <w:gridCol w:w="308"/>
        <w:gridCol w:w="109"/>
        <w:gridCol w:w="109"/>
        <w:gridCol w:w="109"/>
        <w:gridCol w:w="236"/>
        <w:gridCol w:w="670"/>
        <w:gridCol w:w="308"/>
        <w:gridCol w:w="109"/>
        <w:gridCol w:w="109"/>
        <w:gridCol w:w="109"/>
        <w:gridCol w:w="193"/>
        <w:gridCol w:w="193"/>
        <w:gridCol w:w="455"/>
        <w:gridCol w:w="109"/>
        <w:gridCol w:w="109"/>
        <w:gridCol w:w="109"/>
        <w:gridCol w:w="236"/>
        <w:gridCol w:w="671"/>
        <w:gridCol w:w="308"/>
        <w:gridCol w:w="112"/>
        <w:gridCol w:w="112"/>
        <w:gridCol w:w="112"/>
        <w:gridCol w:w="236"/>
        <w:gridCol w:w="671"/>
        <w:gridCol w:w="308"/>
        <w:gridCol w:w="109"/>
        <w:gridCol w:w="109"/>
        <w:gridCol w:w="109"/>
        <w:gridCol w:w="188"/>
        <w:gridCol w:w="188"/>
        <w:gridCol w:w="51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Labor and other related expenses increased as a percentage of Restaurant sales during the thirteen weeks ended June 25, 2023 as compared to the thirteen weeks ended June 26, 2022 primarily due to an increase of 1.9% from higher hourly and field management labor costs, primarily due to wage rate inflation. This increase was partially offset by decreases as a percentage of Restaurant sales of 1.0% from leveraging increased comparable restaurant sales and 0.2% from the impact of certain cost saving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Labor and other related expenses increased as a percentage of Restaurant sales during the twenty-six weeks ended June 25, 2023 as compared to the twenty-six weeks ended June 26, 2022 primarily due to an increase of 1.7% from higher hourly and field management labor costs, primarily due to wage rate inflation. This increase was partially offset by decreases as a percentage of Restaurant sales of 1.2% from leveraging increased comparable restaurant sales and 0.2% from the impact of certain cost saving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restaurant operating expenses</w:t>
      </w:r>
    </w:p>
    <w:tbl>
      <w:tblPr>
        <w:tblW w:w="10198" w:type="dxa"/>
        <w:jc w:val="left"/>
        <w:tblInd w:w="0" w:type="dxa"/>
        <w:tblLayout w:type="fixed"/>
        <w:tblCellMar>
          <w:top w:w="28" w:type="dxa"/>
          <w:left w:w="28" w:type="dxa"/>
          <w:bottom w:w="28" w:type="dxa"/>
          <w:right w:w="28" w:type="dxa"/>
        </w:tblCellMar>
      </w:tblPr>
      <w:tblGrid>
        <w:gridCol w:w="712"/>
        <w:gridCol w:w="625"/>
        <w:gridCol w:w="628"/>
        <w:gridCol w:w="236"/>
        <w:gridCol w:w="670"/>
        <w:gridCol w:w="308"/>
        <w:gridCol w:w="109"/>
        <w:gridCol w:w="109"/>
        <w:gridCol w:w="109"/>
        <w:gridCol w:w="236"/>
        <w:gridCol w:w="670"/>
        <w:gridCol w:w="308"/>
        <w:gridCol w:w="109"/>
        <w:gridCol w:w="109"/>
        <w:gridCol w:w="109"/>
        <w:gridCol w:w="193"/>
        <w:gridCol w:w="193"/>
        <w:gridCol w:w="455"/>
        <w:gridCol w:w="109"/>
        <w:gridCol w:w="109"/>
        <w:gridCol w:w="109"/>
        <w:gridCol w:w="236"/>
        <w:gridCol w:w="671"/>
        <w:gridCol w:w="308"/>
        <w:gridCol w:w="112"/>
        <w:gridCol w:w="112"/>
        <w:gridCol w:w="112"/>
        <w:gridCol w:w="236"/>
        <w:gridCol w:w="671"/>
        <w:gridCol w:w="308"/>
        <w:gridCol w:w="109"/>
        <w:gridCol w:w="109"/>
        <w:gridCol w:w="109"/>
        <w:gridCol w:w="188"/>
        <w:gridCol w:w="188"/>
        <w:gridCol w:w="51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restaurant operating expenses increased as a percentage of Restaurant sales during the thirteen weeks ended June 25, 2023 as compared to the thirteen weeks ended June 26, 2022 primarily due to 1.1% from higher operating expenses including utilities, primarily due to inflation, and 0.3% from higher advertising expense. These increases were offset by decreases as a percentage of Restaurant sales of 0.7% from leveraging increased comparable restaurant sales and 0.2% from the impact of certain cost saving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restaurant operating expenses increased as a percentage of Restaurant sales during the twenty-six weeks ended June 25, 2023 as compared to the twenty-six weeks ended June 26, 2022 primarily due to 1.3% from higher operating expenses including utilities, primarily due to inflation, and 0.3% from higher advertising expense. These increases were offset by decreases as a percentage of Restaurant sales of 1.1% from leveraging increased comparable restaurant sales and 0.2% from the impact of certain cost saving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Depreciation and amortization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6"/>
        <w:gridCol w:w="652"/>
        <w:gridCol w:w="650"/>
        <w:gridCol w:w="293"/>
        <w:gridCol w:w="700"/>
        <w:gridCol w:w="163"/>
        <w:gridCol w:w="126"/>
        <w:gridCol w:w="126"/>
        <w:gridCol w:w="126"/>
        <w:gridCol w:w="293"/>
        <w:gridCol w:w="700"/>
        <w:gridCol w:w="163"/>
        <w:gridCol w:w="109"/>
        <w:gridCol w:w="109"/>
        <w:gridCol w:w="109"/>
        <w:gridCol w:w="242"/>
        <w:gridCol w:w="464"/>
        <w:gridCol w:w="135"/>
        <w:gridCol w:w="109"/>
        <w:gridCol w:w="109"/>
        <w:gridCol w:w="109"/>
        <w:gridCol w:w="294"/>
        <w:gridCol w:w="700"/>
        <w:gridCol w:w="163"/>
        <w:gridCol w:w="136"/>
        <w:gridCol w:w="136"/>
        <w:gridCol w:w="136"/>
        <w:gridCol w:w="294"/>
        <w:gridCol w:w="700"/>
        <w:gridCol w:w="163"/>
        <w:gridCol w:w="109"/>
        <w:gridCol w:w="109"/>
        <w:gridCol w:w="109"/>
        <w:gridCol w:w="212"/>
        <w:gridCol w:w="505"/>
        <w:gridCol w:w="176"/>
      </w:tblGrid>
      <w:tr>
        <w:trPr/>
        <w:tc>
          <w:tcPr>
            <w:tcW w:w="77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 increased during the thirteen and twenty-six weeks ended June 25, 2023 as compared to the thirteen and twenty-six weeks ended June 26, 2022 primarily due to additional depreciation expense related to technology projects and restaurant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tbl>
      <w:tblPr>
        <w:tblW w:w="7886" w:type="dxa"/>
        <w:jc w:val="left"/>
        <w:tblInd w:w="0" w:type="dxa"/>
        <w:tblLayout w:type="fixed"/>
        <w:tblCellMar>
          <w:top w:w="28" w:type="dxa"/>
          <w:left w:w="28" w:type="dxa"/>
          <w:bottom w:w="28" w:type="dxa"/>
          <w:right w:w="28" w:type="dxa"/>
        </w:tblCellMar>
      </w:tblPr>
      <w:tblGrid>
        <w:gridCol w:w="1044"/>
        <w:gridCol w:w="916"/>
        <w:gridCol w:w="920"/>
        <w:gridCol w:w="563"/>
        <w:gridCol w:w="1340"/>
        <w:gridCol w:w="316"/>
        <w:gridCol w:w="109"/>
        <w:gridCol w:w="109"/>
        <w:gridCol w:w="109"/>
        <w:gridCol w:w="530"/>
        <w:gridCol w:w="1510"/>
        <w:gridCol w:w="42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26, 2022</w:t>
            </w:r>
          </w:p>
        </w:tc>
        <w:tc>
          <w:tcPr>
            <w:tcW w:w="5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4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 compensation</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benefits and payroll tax</w:t>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professional fees</w:t>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5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4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tbl>
      <w:tblPr>
        <w:tblW w:w="10127" w:type="dxa"/>
        <w:jc w:val="left"/>
        <w:tblInd w:w="0" w:type="dxa"/>
        <w:tblLayout w:type="fixed"/>
        <w:tblCellMar>
          <w:top w:w="28" w:type="dxa"/>
          <w:left w:w="28" w:type="dxa"/>
          <w:bottom w:w="28" w:type="dxa"/>
          <w:right w:w="28" w:type="dxa"/>
        </w:tblCellMar>
      </w:tblPr>
      <w:tblGrid>
        <w:gridCol w:w="658"/>
        <w:gridCol w:w="577"/>
        <w:gridCol w:w="580"/>
        <w:gridCol w:w="259"/>
        <w:gridCol w:w="617"/>
        <w:gridCol w:w="338"/>
        <w:gridCol w:w="111"/>
        <w:gridCol w:w="111"/>
        <w:gridCol w:w="111"/>
        <w:gridCol w:w="259"/>
        <w:gridCol w:w="617"/>
        <w:gridCol w:w="338"/>
        <w:gridCol w:w="109"/>
        <w:gridCol w:w="109"/>
        <w:gridCol w:w="109"/>
        <w:gridCol w:w="199"/>
        <w:gridCol w:w="381"/>
        <w:gridCol w:w="261"/>
        <w:gridCol w:w="109"/>
        <w:gridCol w:w="109"/>
        <w:gridCol w:w="109"/>
        <w:gridCol w:w="236"/>
        <w:gridCol w:w="671"/>
        <w:gridCol w:w="308"/>
        <w:gridCol w:w="112"/>
        <w:gridCol w:w="112"/>
        <w:gridCol w:w="112"/>
        <w:gridCol w:w="236"/>
        <w:gridCol w:w="671"/>
        <w:gridCol w:w="308"/>
        <w:gridCol w:w="109"/>
        <w:gridCol w:w="109"/>
        <w:gridCol w:w="109"/>
        <w:gridCol w:w="196"/>
        <w:gridCol w:w="466"/>
        <w:gridCol w:w="301"/>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Total revenues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Income from operations generated during the thirteen weeks ended June 25, 2023 as compared to the thirteen weeks ended June 26, 2022 was primarily due to: (i) leveraging increased comparable restaurant sales, (ii) the impact of certain cost saving initiatives and </w:t>
      </w:r>
      <w:bookmarkStart w:id="12" w:name="i068be939765b49b3bb4c13e992b616d6_3773"/>
      <w:bookmarkEnd w:id="12"/>
      <w:r>
        <w:rPr>
          <w:rFonts w:ascii="Times New Roman;sans-serif" w:hAnsi="Times New Roman;sans-serif"/>
          <w:b w:val="false"/>
          <w:color w:val="000000"/>
          <w:sz w:val="22"/>
        </w:rPr>
        <w:t>(iii) value added tax exemptions in Brazil. These increases were partially offset by: (i) higher labor costs, primarily due to wage rate inflation, (ii) higher operating expenses including utilities, primarily due to inflation, (iii) commodity inflation and (iv) higher depreciation and advertising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Income from operations generated during the twenty-six weeks ended June 25, 2023 as compared to the twenty-six weeks ended June 26, 2022 was primarily due to: (i) leveraging increased comparable restaurant sales, (ii) the impact of certain cost saving initiatives and (iii) </w:t>
      </w:r>
      <w:bookmarkStart w:id="13" w:name="i068be939765b49b3bb4c13e992b616d6_3774"/>
      <w:bookmarkEnd w:id="13"/>
      <w:r>
        <w:rPr>
          <w:rFonts w:ascii="Times New Roman;sans-serif" w:hAnsi="Times New Roman;sans-serif"/>
          <w:b w:val="false"/>
          <w:color w:val="000000"/>
          <w:sz w:val="22"/>
        </w:rPr>
        <w:t xml:space="preserve">value added tax exemptions in Brazil. These increases were partially offset by: (i) higher labor costs, primarily due to wage rate inflation, (ii) commodity inflation,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higher operating expenses including utilities, primarily due to inflation, and (iv) higher depreciation and advertising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Operating income margin d</w:t>
      </w:r>
      <w:bookmarkStart w:id="14" w:name="i068be939765b49b3bb4c13e992b616d6_3770"/>
      <w:bookmarkEnd w:id="14"/>
      <w:r>
        <w:rPr>
          <w:rFonts w:ascii="Times New Roman;sans-serif" w:hAnsi="Times New Roman;sans-serif"/>
          <w:b w:val="false"/>
          <w:color w:val="000000"/>
          <w:sz w:val="22"/>
        </w:rPr>
        <w:t xml:space="preserve">uring the thirteen and twenty-six weeks ended June 25, 2023 includes net increases of approximately 0.4% and 0.3%, respectively, attributable to exemptions from Brazil federal value added taxes (PIS and COFINS) provided by Brazil tax legislation. See Note 12 -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Loss on extinguishment and modification of debt and Loss on fair value adjustment of derivatives,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partial repurchase of our 2025 Notes, we recognized a loss on extinguishment of debt of $104.7 million and a loss on fair value adjustment of derivatives, net, of $17.7 million during the thirteen weeks ended June 26,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Provision for income taxes</w:t>
      </w:r>
    </w:p>
    <w:tbl>
      <w:tblPr>
        <w:tblW w:w="10205" w:type="dxa"/>
        <w:jc w:val="left"/>
        <w:tblInd w:w="0" w:type="dxa"/>
        <w:tblLayout w:type="fixed"/>
        <w:tblCellMar>
          <w:top w:w="28" w:type="dxa"/>
          <w:left w:w="28" w:type="dxa"/>
          <w:bottom w:w="28" w:type="dxa"/>
          <w:right w:w="28" w:type="dxa"/>
        </w:tblCellMar>
      </w:tblPr>
      <w:tblGrid>
        <w:gridCol w:w="831"/>
        <w:gridCol w:w="671"/>
        <w:gridCol w:w="674"/>
        <w:gridCol w:w="227"/>
        <w:gridCol w:w="542"/>
        <w:gridCol w:w="297"/>
        <w:gridCol w:w="109"/>
        <w:gridCol w:w="109"/>
        <w:gridCol w:w="109"/>
        <w:gridCol w:w="218"/>
        <w:gridCol w:w="572"/>
        <w:gridCol w:w="284"/>
        <w:gridCol w:w="109"/>
        <w:gridCol w:w="109"/>
        <w:gridCol w:w="109"/>
        <w:gridCol w:w="196"/>
        <w:gridCol w:w="556"/>
        <w:gridCol w:w="256"/>
        <w:gridCol w:w="109"/>
        <w:gridCol w:w="109"/>
        <w:gridCol w:w="109"/>
        <w:gridCol w:w="216"/>
        <w:gridCol w:w="613"/>
        <w:gridCol w:w="282"/>
        <w:gridCol w:w="112"/>
        <w:gridCol w:w="112"/>
        <w:gridCol w:w="112"/>
        <w:gridCol w:w="227"/>
        <w:gridCol w:w="542"/>
        <w:gridCol w:w="297"/>
        <w:gridCol w:w="109"/>
        <w:gridCol w:w="109"/>
        <w:gridCol w:w="109"/>
        <w:gridCol w:w="196"/>
        <w:gridCol w:w="556"/>
        <w:gridCol w:w="308"/>
      </w:tblGrid>
      <w:tr>
        <w:trPr/>
        <w:tc>
          <w:tcPr>
            <w:tcW w:w="8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2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2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141.2 </w:t>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June 25, 2023 changed by 31.5 percentage points as compared to the thirteen weeks ended June 26, 2022. This change is primarily due to the non-deductible losses associated with the 2025 Notes Partial Repurchase which, relative to the Loss before provision for income taxes during the thirteen weeks ended June 26, 2022, resulted in a negative effective income tax rate. This change was partially offset by a reduction in the effective income tax rate during the thirteen weeks ended June 25, 2023 from benefits of Brazil tax legislation that include a temporary reduction in the Brazilian income tax rate from 34% to 0% and the revaluation of Brazilian deferred tax assets and liabilities as a result of the May 2023 Brazil tax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twenty-six weeks ended June 25, 2023 decreased by 51.7 percentage points as compared to the twenty-six weeks ended June 26, 2022. The decrease was primarily due to the benefits of Brazil tax legislation that include a temporary reduction in the Brazilian inc</w:t>
      </w:r>
      <w:bookmarkStart w:id="15" w:name="i8ab0a3aa41304e8ab1158ff4493f2b5f_1155"/>
      <w:bookmarkEnd w:id="15"/>
      <w:r>
        <w:rPr>
          <w:rFonts w:ascii="Times New Roman;sans-serif" w:hAnsi="Times New Roman;sans-serif"/>
          <w:b w:val="false"/>
          <w:color w:val="000000"/>
          <w:sz w:val="22"/>
        </w:rPr>
        <w:t xml:space="preserve">ome tax rate from 34% to 0% for the twenty-six weeks ended June 25, 2023, and the non-deductible losses associated with the 2025 Notes Partial Repurchase recorded during the twenty-six weeks ended June 26,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Note 12 -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SEGMENT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Refer to Note 14</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sans-serif" w:hAnsi="Times New Roman;sans-serif"/>
          <w:b w:val="false"/>
          <w:i/>
          <w:color w:val="000000"/>
          <w:sz w:val="22"/>
        </w:rPr>
        <w:t xml:space="preserve">Overview-Key Financial Performance Indicators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U.S. Segment</w:t>
      </w:r>
    </w:p>
    <w:tbl>
      <w:tblPr>
        <w:tblW w:w="8947" w:type="dxa"/>
        <w:jc w:val="center"/>
        <w:tblInd w:w="0" w:type="dxa"/>
        <w:tblLayout w:type="fixed"/>
        <w:tblCellMar>
          <w:top w:w="28" w:type="dxa"/>
          <w:left w:w="28" w:type="dxa"/>
          <w:bottom w:w="28" w:type="dxa"/>
          <w:right w:w="28" w:type="dxa"/>
        </w:tblCellMar>
      </w:tblPr>
      <w:tblGrid>
        <w:gridCol w:w="911"/>
        <w:gridCol w:w="803"/>
        <w:gridCol w:w="805"/>
        <w:gridCol w:w="196"/>
        <w:gridCol w:w="871"/>
        <w:gridCol w:w="256"/>
        <w:gridCol w:w="109"/>
        <w:gridCol w:w="109"/>
        <w:gridCol w:w="109"/>
        <w:gridCol w:w="200"/>
        <w:gridCol w:w="753"/>
        <w:gridCol w:w="262"/>
        <w:gridCol w:w="109"/>
        <w:gridCol w:w="109"/>
        <w:gridCol w:w="109"/>
        <w:gridCol w:w="196"/>
        <w:gridCol w:w="871"/>
        <w:gridCol w:w="256"/>
        <w:gridCol w:w="109"/>
        <w:gridCol w:w="109"/>
        <w:gridCol w:w="109"/>
        <w:gridCol w:w="196"/>
        <w:gridCol w:w="871"/>
        <w:gridCol w:w="256"/>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985,927 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2,009,562 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1,005,229 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998,627 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2,098,225 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2,035,034 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104,620 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236,846 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U.S. segment Restaurant sales for the periods indicated:</w:t>
      </w:r>
    </w:p>
    <w:tbl>
      <w:tblPr>
        <w:tblW w:w="7976" w:type="dxa"/>
        <w:jc w:val="left"/>
        <w:tblInd w:w="0" w:type="dxa"/>
        <w:tblLayout w:type="fixed"/>
        <w:tblCellMar>
          <w:top w:w="28" w:type="dxa"/>
          <w:left w:w="28" w:type="dxa"/>
          <w:bottom w:w="28" w:type="dxa"/>
          <w:right w:w="28" w:type="dxa"/>
        </w:tblCellMar>
      </w:tblPr>
      <w:tblGrid>
        <w:gridCol w:w="984"/>
        <w:gridCol w:w="864"/>
        <w:gridCol w:w="867"/>
        <w:gridCol w:w="503"/>
        <w:gridCol w:w="1432"/>
        <w:gridCol w:w="284"/>
        <w:gridCol w:w="109"/>
        <w:gridCol w:w="109"/>
        <w:gridCol w:w="109"/>
        <w:gridCol w:w="511"/>
        <w:gridCol w:w="1802"/>
        <w:gridCol w:w="40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 (1)</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26, 2022</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985.9 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5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993.4 </w:t>
            </w:r>
          </w:p>
        </w:tc>
        <w:tc>
          <w:tcPr>
            <w:tcW w:w="2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2,074.0 </w:t>
            </w:r>
          </w:p>
        </w:tc>
        <w:tc>
          <w:tcPr>
            <w:tcW w:w="4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(1)Summation of quarterly changes will not total to annual amounts as the restaurants that meet the definition of each change category will differ each period based on when the restaurant opened or closed.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U.S. Restaurant sales during the thirteen weeks ended June 25, 2023 was primarily due to the opening of 15 new restaurants not included in our comparable restaurant sales base and higher comparable restaurant sales, primarily driven by increases in menu pricing. The increase was partially offset by the closure of 17 restaurants since March 27,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U.S. Restaurant sales during the twenty-six weeks ended June 25, 2023 was primarily due to higher comparable restaurant sales, primarily driven by increases in menu pricing, and the opening of 17 new restaurants not included in our comparable restaurant sales base. The increase in Restaurant sales was partially offset by the closure of 23 restaurants since December 26, 2021.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U.S. Income from operations generated during the thirteen weeks ended June 25, 2023 as compared to the thirteen weeks ended June 26, 2022 decreased slightly primarily due to: (i) higher labor costs, primarily due to wage rate inflation, (ii) higher operating expenses including utilities, primarily due to inflation, (iii) commodity inflation and (iv) higher depreciation and advertising expense. These decreases were partially offset by: (i) an increase in comparable restaurant sales and (ii) the impact of certain cost saving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U.S. Income from operations generated during the twenty-six weeks ended June 25, 2023 as compared to the twenty-six weeks ended June 26, 2022 was flat primarily due to: (i) higher labor costs, primarily due to wage rate inflation, (ii) commodity inflation, (iii) higher operating expenses including utilities, primarily due to inflation, and (iv) higher depreciation and advertising expense. These decreases were partially offset by: (i) an increase in comparable restaurant sales and (ii) the impact of certain cost saving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International Segment</w:t>
      </w:r>
    </w:p>
    <w:tbl>
      <w:tblPr>
        <w:tblW w:w="8404" w:type="dxa"/>
        <w:jc w:val="center"/>
        <w:tblInd w:w="0" w:type="dxa"/>
        <w:tblLayout w:type="fixed"/>
        <w:tblCellMar>
          <w:top w:w="28" w:type="dxa"/>
          <w:left w:w="28" w:type="dxa"/>
          <w:bottom w:w="28" w:type="dxa"/>
          <w:right w:w="28" w:type="dxa"/>
        </w:tblCellMar>
      </w:tblPr>
      <w:tblGrid>
        <w:gridCol w:w="911"/>
        <w:gridCol w:w="803"/>
        <w:gridCol w:w="805"/>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143,892 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122,991 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291,557 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222,931 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299,215 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230,663 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international segment Restaurant sales for the periods indicated:</w:t>
      </w:r>
    </w:p>
    <w:tbl>
      <w:tblPr>
        <w:tblW w:w="7796" w:type="dxa"/>
        <w:jc w:val="left"/>
        <w:tblInd w:w="0" w:type="dxa"/>
        <w:tblLayout w:type="fixed"/>
        <w:tblCellMar>
          <w:top w:w="28" w:type="dxa"/>
          <w:left w:w="28" w:type="dxa"/>
          <w:bottom w:w="28" w:type="dxa"/>
          <w:right w:w="28" w:type="dxa"/>
        </w:tblCellMar>
      </w:tblPr>
      <w:tblGrid>
        <w:gridCol w:w="1011"/>
        <w:gridCol w:w="888"/>
        <w:gridCol w:w="891"/>
        <w:gridCol w:w="503"/>
        <w:gridCol w:w="1432"/>
        <w:gridCol w:w="284"/>
        <w:gridCol w:w="109"/>
        <w:gridCol w:w="109"/>
        <w:gridCol w:w="109"/>
        <w:gridCol w:w="530"/>
        <w:gridCol w:w="1510"/>
        <w:gridCol w:w="420"/>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26, 2022</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222.9 </w:t>
            </w:r>
          </w:p>
        </w:tc>
        <w:tc>
          <w:tcPr>
            <w:tcW w:w="4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(1)</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(2)</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(1)</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June 25, 2023</w:t>
            </w:r>
          </w:p>
        </w:tc>
        <w:tc>
          <w:tcPr>
            <w:tcW w:w="5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28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4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(1)Summation of quarterly changes for restaurant openings and comparable restaurant sales will not total to annual amounts as the restaurants that meet the definition of each will differ each period based on when the restaurant opened. </w:t>
      </w:r>
    </w:p>
    <w:p>
      <w:pPr>
        <w:pStyle w:val="TextBody"/>
        <w:bidi w:val="0"/>
        <w:spacing w:lineRule="auto" w:line="288" w:before="0" w:after="0"/>
        <w:ind w:left="0" w:right="0" w:hanging="720"/>
        <w:jc w:val="both"/>
        <w:rPr/>
      </w:pPr>
      <w:bookmarkStart w:id="16" w:name="ic46c19e09fc14b7b814e912eceab1a8d_2114"/>
      <w:bookmarkEnd w:id="16"/>
      <w:r>
        <w:rPr>
          <w:rFonts w:ascii="Times New Roman;sans-serif" w:hAnsi="Times New Roman;sans-serif"/>
          <w:b w:val="false"/>
          <w:color w:val="000000"/>
          <w:sz w:val="18"/>
        </w:rPr>
        <w:t xml:space="preserve">(2)See Note 12 -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of the Notes to Consolidated Financial Statements for details regarding value added tax exemptions in connection with Brazil tax legislation.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Restaurant sales during the thirteen weeks ended June 25, 2023 was primarily due to: (i) the opening of 35 new restaurants not included in our comparable restaurant sales base, (ii) value added tax exemptions in Brazil and (iii) higher comparable restaurant sales in Brazil and Hong Kong. The increase was partially offset by the effect of foreign currency translation of the Brazilian Real relative to the U.S. dollar.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Restaurant sales during the twenty-six weeks ended June 25, 2023 was primarily due to: (i) higher comparable restaurant sales in Brazil and Hong Kong, primarily driven by the lapping of Q1 2022 COVID-19 related capacity restrictions, (ii) value added tax exemptions in Brazil and (iii) the opening of 38 new restaurants not included in our comparable restaurant sales base.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international Income from operations generated during the thirteen weeks ended June 25, 2023 as compared to the thirteen weeks ended June 26, 2022 was primarily due to: (i) an increase in restaurant sales, primarily driven by increases in menu pricing, and (ii) value added tax exemptions in Brazil. These increases were partially offset by decreases primarily due to: (i) higher operating costs, (ii) higher labor costs, primarily due to wage rate inflation, (iii) commodity inflation and (iv) higher advertising expense.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international Income from operations generated during the twenty-six weeks ended June 25, 2023 as compared to the twenty-six weeks ended June 26, 2022 was primarily due to: (i) an increase in restaurant sales, primarily driven by the recovery of in-restaurant dining and increases in menu pricing, and (ii) </w:t>
      </w:r>
      <w:bookmarkStart w:id="17" w:name="i9348cf0df0b845eab39dd12d33d71523_1542"/>
      <w:bookmarkEnd w:id="17"/>
      <w:r>
        <w:rPr>
          <w:rFonts w:ascii="Times New Roman;sans-serif" w:hAnsi="Times New Roman;sans-serif"/>
          <w:b w:val="false"/>
          <w:color w:val="000000"/>
          <w:sz w:val="22"/>
        </w:rPr>
        <w:t>value added tax exemptions in Brazil. These increases were partially offset by decreases primarily due to: (i) higher operating costs, (ii) higher labor costs, primarily due to wage rate inflation, (iii) commodity inflation and (iv) higher a</w:t>
      </w:r>
      <w:bookmarkStart w:id="18" w:name="i9348cf0df0b845eab39dd12d33d71523_1543"/>
      <w:bookmarkEnd w:id="18"/>
      <w:r>
        <w:rPr>
          <w:rFonts w:ascii="Times New Roman;sans-serif" w:hAnsi="Times New Roman;sans-serif"/>
          <w:b w:val="false"/>
          <w:color w:val="000000"/>
          <w:sz w:val="22"/>
        </w:rPr>
        <w:t xml:space="preserve">dvertising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color w:val="000000"/>
          <w:sz w:val="22"/>
        </w:rPr>
      </w:pPr>
      <w:bookmarkStart w:id="19" w:name="i0703ed0cbcd743fe9c9eb5aef7fe2f02_33"/>
      <w:bookmarkEnd w:id="19"/>
      <w:r>
        <w:rPr>
          <w:rFonts w:ascii="Times New Roman;sans-serif" w:hAnsi="Times New Roman;sans-serif"/>
          <w:b/>
          <w:color w:val="000000"/>
          <w:sz w:val="22"/>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Consolidated restaurant-level operating income and corresponding margin non-GAAP reconciliations</w:t>
      </w:r>
      <w:r>
        <w:rPr>
          <w:color w:val="000000"/>
        </w:rPr>
        <w:t xml:space="preserve"> </w:t>
      </w:r>
      <w:r>
        <w:rPr>
          <w:rFonts w:ascii="Times New Roman;sans-serif" w:hAnsi="Times New Roman;sans-serif"/>
          <w:b w:val="false"/>
          <w:color w:val="000000"/>
          <w:sz w:val="22"/>
        </w:rPr>
        <w:t>- The following table reconciles consolidated Income from operations and the corresponding margin to restaurant-level operating income and the corresponding margin for the periods indicated:</w:t>
      </w:r>
    </w:p>
    <w:tbl>
      <w:tblPr>
        <w:tblW w:w="9739" w:type="dxa"/>
        <w:jc w:val="left"/>
        <w:tblInd w:w="0" w:type="dxa"/>
        <w:tblLayout w:type="fixed"/>
        <w:tblCellMar>
          <w:top w:w="28" w:type="dxa"/>
          <w:left w:w="28" w:type="dxa"/>
          <w:bottom w:w="28" w:type="dxa"/>
          <w:right w:w="28" w:type="dxa"/>
        </w:tblCellMar>
      </w:tblPr>
      <w:tblGrid>
        <w:gridCol w:w="1399"/>
        <w:gridCol w:w="1227"/>
        <w:gridCol w:w="1228"/>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87,719 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210,079 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194,975 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186,832 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172,171 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406,383 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364,755 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Segment restaurant-level and operating margin non-GAAP reconciliations</w:t>
      </w:r>
      <w:r>
        <w:rPr>
          <w:color w:val="000000"/>
        </w:rPr>
        <w:t xml:space="preserve"> </w:t>
      </w:r>
      <w:r>
        <w:rPr>
          <w:rFonts w:ascii="Times New Roman;sans-serif" w:hAnsi="Times New Roman;sans-serif"/>
          <w:b w:val="false"/>
          <w:color w:val="000000"/>
          <w:sz w:val="22"/>
        </w:rPr>
        <w:t>- The following tables reconcile segment Income from operations and the corresponding margin to segment restaurant-level operating income and the corresponding margin for the periods indicated:</w:t>
      </w:r>
    </w:p>
    <w:tbl>
      <w:tblPr>
        <w:tblW w:w="9740" w:type="dxa"/>
        <w:jc w:val="left"/>
        <w:tblInd w:w="0" w:type="dxa"/>
        <w:tblLayout w:type="fixed"/>
        <w:tblCellMar>
          <w:top w:w="28" w:type="dxa"/>
          <w:left w:w="28" w:type="dxa"/>
          <w:bottom w:w="28" w:type="dxa"/>
          <w:right w:w="28" w:type="dxa"/>
        </w:tblCellMar>
      </w:tblPr>
      <w:tblGrid>
        <w:gridCol w:w="1389"/>
        <w:gridCol w:w="1220"/>
        <w:gridCol w:w="1246"/>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103,008 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104,620 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236,846 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68,303 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47,093 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154,856 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149,304 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342,664 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327,019 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9740" w:type="dxa"/>
        <w:jc w:val="left"/>
        <w:tblInd w:w="0" w:type="dxa"/>
        <w:tblLayout w:type="fixed"/>
        <w:tblCellMar>
          <w:top w:w="28" w:type="dxa"/>
          <w:left w:w="28" w:type="dxa"/>
          <w:bottom w:w="28" w:type="dxa"/>
          <w:right w:w="28" w:type="dxa"/>
        </w:tblCellMar>
      </w:tblPr>
      <w:tblGrid>
        <w:gridCol w:w="1399"/>
        <w:gridCol w:w="1227"/>
        <w:gridCol w:w="1228"/>
        <w:gridCol w:w="217"/>
        <w:gridCol w:w="715"/>
        <w:gridCol w:w="283"/>
        <w:gridCol w:w="109"/>
        <w:gridCol w:w="109"/>
        <w:gridCol w:w="109"/>
        <w:gridCol w:w="217"/>
        <w:gridCol w:w="715"/>
        <w:gridCol w:w="283"/>
        <w:gridCol w:w="109"/>
        <w:gridCol w:w="109"/>
        <w:gridCol w:w="109"/>
        <w:gridCol w:w="217"/>
        <w:gridCol w:w="715"/>
        <w:gridCol w:w="283"/>
        <w:gridCol w:w="109"/>
        <w:gridCol w:w="109"/>
        <w:gridCol w:w="109"/>
        <w:gridCol w:w="216"/>
        <w:gridCol w:w="712"/>
        <w:gridCol w:w="332"/>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63,688 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38,868 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3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Restaurant-level operating margin non-GAAP reconciliations (continued) - </w:t>
      </w:r>
      <w:r>
        <w:rPr>
          <w:rFonts w:ascii="Times New Roman;sans-serif" w:hAnsi="Times New Roman;sans-serif"/>
          <w:b w:val="false"/>
          <w:color w:val="000000"/>
          <w:sz w:val="22"/>
        </w:rPr>
        <w:t>The following tables present the percentages of certain operating cost financial statement line items in relation to Restaurant sales for the periods indicated:</w:t>
      </w:r>
    </w:p>
    <w:tbl>
      <w:tblPr>
        <w:tblW w:w="6506" w:type="dxa"/>
        <w:jc w:val="left"/>
        <w:tblInd w:w="0" w:type="dxa"/>
        <w:tblLayout w:type="fixed"/>
        <w:tblCellMar>
          <w:top w:w="28" w:type="dxa"/>
          <w:left w:w="28" w:type="dxa"/>
          <w:bottom w:w="28" w:type="dxa"/>
          <w:right w:w="28" w:type="dxa"/>
        </w:tblCellMar>
      </w:tblPr>
      <w:tblGrid>
        <w:gridCol w:w="906"/>
        <w:gridCol w:w="798"/>
        <w:gridCol w:w="800"/>
        <w:gridCol w:w="296"/>
        <w:gridCol w:w="296"/>
        <w:gridCol w:w="697"/>
        <w:gridCol w:w="281"/>
        <w:gridCol w:w="281"/>
        <w:gridCol w:w="281"/>
        <w:gridCol w:w="283"/>
        <w:gridCol w:w="109"/>
        <w:gridCol w:w="278"/>
        <w:gridCol w:w="278"/>
        <w:gridCol w:w="65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58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8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58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8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20" w:name="i51e53c579da2430b820a702ca514c41e_2414"/>
      <w:bookmarkEnd w:id="20"/>
      <w:r>
        <w:rPr>
          <w:rFonts w:ascii="Times New Roman;sans-serif" w:hAnsi="Times New Roman;sans-serif"/>
          <w:b w:val="false"/>
          <w:i/>
          <w:color w:val="000000"/>
          <w:sz w:val="22"/>
        </w:rPr>
        <w:t xml:space="preserve">Adjusted net income and adjusted diluted earnings per share non-GAAP reconciliations </w:t>
      </w:r>
      <w:r>
        <w:rPr>
          <w:rFonts w:ascii="Times New Roman;sans-serif" w:hAnsi="Times New Roman;sans-serif"/>
          <w:b w:val="false"/>
          <w:color w:val="000000"/>
          <w:sz w:val="22"/>
        </w:rPr>
        <w:t>- The following table reconciles Net income (loss) attributable to Bloomin’ Brands to adjusted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623"/>
        <w:gridCol w:w="1395"/>
        <w:gridCol w:w="1400"/>
        <w:gridCol w:w="243"/>
        <w:gridCol w:w="805"/>
        <w:gridCol w:w="135"/>
        <w:gridCol w:w="109"/>
        <w:gridCol w:w="109"/>
        <w:gridCol w:w="109"/>
        <w:gridCol w:w="227"/>
        <w:gridCol w:w="831"/>
        <w:gridCol w:w="126"/>
        <w:gridCol w:w="109"/>
        <w:gridCol w:w="109"/>
        <w:gridCol w:w="109"/>
        <w:gridCol w:w="224"/>
        <w:gridCol w:w="845"/>
        <w:gridCol w:w="124"/>
        <w:gridCol w:w="109"/>
        <w:gridCol w:w="109"/>
        <w:gridCol w:w="109"/>
        <w:gridCol w:w="223"/>
        <w:gridCol w:w="841"/>
        <w:gridCol w:w="182"/>
      </w:tblGrid>
      <w:tr>
        <w:trPr/>
        <w:tc>
          <w:tcPr>
            <w:tcW w:w="162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1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(63,635)</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 (1)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 (1)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0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125,315 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(2)</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w:t>
            </w:r>
          </w:p>
        </w:tc>
        <w:tc>
          <w:tcPr>
            <w:tcW w:w="10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126,637 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126,637 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63,002 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159,588 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138,513 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 (3)</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(4)</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 (3)</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(4)</w:t>
            </w:r>
          </w:p>
        </w:tc>
        <w:tc>
          <w:tcPr>
            <w:tcW w:w="10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92,399 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92,863 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92,789 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93,792 </w:t>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(1)For 2022, includes losses primarily in connection with the 2025 Notes Partial Repurchase, including settlements of the related convertible senior note hedges and warrants.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tax effects of non-GAAP adjustments were determined based on the nature of the underlying non-GAAP adjustments and their relevant jurisdictional tax rates. For 2022, the primary difference between GAAP and adjusted effective income tax rates relates to certain non-deductible losses and other tax costs associated with the 2025 Notes Partial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(3)Due to the GAAP net loss, the effect of dilutive securities was excluded from the calculation of GAAP diluted loss per share for the thirteen weeks ended June 26, 2022 as their effect would be antidilutive.</w:t>
      </w:r>
    </w:p>
    <w:p>
      <w:pPr>
        <w:pStyle w:val="TextBody"/>
        <w:bidi w:val="0"/>
        <w:spacing w:lineRule="auto" w:line="288" w:before="0" w:after="0"/>
        <w:ind w:left="0" w:right="0" w:hanging="720"/>
        <w:jc w:val="both"/>
        <w:rPr>
          <w:rFonts w:ascii="Times New Roman;sans-serif" w:hAnsi="Times New Roman;sans-serif"/>
          <w:b w:val="false"/>
          <w:color w:val="000000"/>
          <w:sz w:val="18"/>
        </w:rPr>
      </w:pPr>
      <w:bookmarkStart w:id="21" w:name="i51e53c579da2430b820a702ca514c41e_2373"/>
      <w:bookmarkEnd w:id="21"/>
      <w:r>
        <w:rPr>
          <w:rFonts w:ascii="Times New Roman;sans-serif" w:hAnsi="Times New Roman;sans-serif"/>
          <w:b w:val="false"/>
          <w:color w:val="000000"/>
          <w:sz w:val="18"/>
        </w:rPr>
        <w:t xml:space="preserve">(4)Adjusted diluted weighted average common shares outstanding was calculated excluding the dilutive effect of 5,002 and 7,774 shares for the thirteen weeks ended June 25, 2023 and June 26, 2022, respectively, and 4,917 and 8,253 shares for the twenty-six weeks ended June 25, 2023 and June 26, 2022, respectively, to be issued upon conversion of the 2025 Notes to satisfy the amount in excess of the principal since our convertible note hedge offsets the dilutive impact of the shares underlying the 2025 Notes. For adjusted diluted earnings per share, the calculation includes 3,965 dilutive shares for the thirteen weeks ended June 26, 2022, primarily related to outstanding warrants. These shares were excluded from the calculation of GAAP diluted loss per share during the period as their effect would be antidilutive.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Revenue Recognition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tbl>
      <w:tblPr>
        <w:tblW w:w="8923" w:type="dxa"/>
        <w:jc w:val="left"/>
        <w:tblInd w:w="0" w:type="dxa"/>
        <w:tblLayout w:type="fixed"/>
        <w:tblCellMar>
          <w:top w:w="28" w:type="dxa"/>
          <w:left w:w="28" w:type="dxa"/>
          <w:bottom w:w="28" w:type="dxa"/>
          <w:right w:w="28" w:type="dxa"/>
        </w:tblCellMar>
      </w:tblPr>
      <w:tblGrid>
        <w:gridCol w:w="952"/>
        <w:gridCol w:w="835"/>
        <w:gridCol w:w="838"/>
        <w:gridCol w:w="327"/>
        <w:gridCol w:w="705"/>
        <w:gridCol w:w="182"/>
        <w:gridCol w:w="136"/>
        <w:gridCol w:w="136"/>
        <w:gridCol w:w="136"/>
        <w:gridCol w:w="327"/>
        <w:gridCol w:w="705"/>
        <w:gridCol w:w="182"/>
        <w:gridCol w:w="109"/>
        <w:gridCol w:w="109"/>
        <w:gridCol w:w="109"/>
        <w:gridCol w:w="328"/>
        <w:gridCol w:w="704"/>
        <w:gridCol w:w="182"/>
        <w:gridCol w:w="148"/>
        <w:gridCol w:w="148"/>
        <w:gridCol w:w="148"/>
        <w:gridCol w:w="328"/>
        <w:gridCol w:w="704"/>
        <w:gridCol w:w="182"/>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 (2)</w:t>
            </w:r>
          </w:p>
        </w:tc>
        <w:tc>
          <w:tcPr>
            <w:tcW w:w="3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sales for off-premises only kitchens in South Korea.</w:t>
      </w:r>
    </w:p>
    <w:p>
      <w:pPr>
        <w:pStyle w:val="TextBody"/>
        <w:bidi w:val="0"/>
        <w:spacing w:lineRule="auto" w:line="288" w:before="0" w:after="0"/>
        <w:ind w:left="0" w:right="0" w:hanging="720"/>
        <w:jc w:val="left"/>
        <w:rPr>
          <w:rFonts w:ascii="Times New Roman;sans-serif" w:hAnsi="Times New Roman;sans-serif"/>
          <w:b w:val="false"/>
          <w:color w:val="000000"/>
          <w:sz w:val="18"/>
        </w:rPr>
      </w:pPr>
      <w:bookmarkStart w:id="22" w:name="i8aeea17d6d394ef0a5448f9e314e14f5_1171"/>
      <w:bookmarkEnd w:id="22"/>
      <w:r>
        <w:rPr>
          <w:rFonts w:ascii="Times New Roman;sans-serif" w:hAnsi="Times New Roman;sans-serif"/>
          <w:b w:val="false"/>
          <w:color w:val="000000"/>
          <w:sz w:val="18"/>
        </w:rPr>
        <w:t>(2)Franchise sales are not included in Total revenues in the Consolidated Statements of Operations and Comprehensive Income (Loss).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25, 2023, we had $88.8 million in cash and cash equivalents, of which $34.3 million was held by foreign affiliates. The international jurisdictions in which we have significant cash do not have any known restrictions that would prohibit repatriation.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25, 2023, we had aggregate undistributed foreign earnings of approximately $40.5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not considered indefinitely reinvested in our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659"/>
        <w:gridCol w:w="581"/>
        <w:gridCol w:w="584"/>
        <w:gridCol w:w="109"/>
        <w:gridCol w:w="109"/>
        <w:gridCol w:w="355"/>
        <w:gridCol w:w="1336"/>
        <w:gridCol w:w="464"/>
        <w:gridCol w:w="109"/>
        <w:gridCol w:w="109"/>
        <w:gridCol w:w="109"/>
        <w:gridCol w:w="109"/>
        <w:gridCol w:w="109"/>
        <w:gridCol w:w="109"/>
        <w:gridCol w:w="109"/>
        <w:gridCol w:w="196"/>
        <w:gridCol w:w="736"/>
        <w:gridCol w:w="256"/>
        <w:gridCol w:w="109"/>
        <w:gridCol w:w="109"/>
        <w:gridCol w:w="109"/>
        <w:gridCol w:w="292"/>
        <w:gridCol w:w="1098"/>
        <w:gridCol w:w="381"/>
        <w:gridCol w:w="288"/>
        <w:gridCol w:w="288"/>
        <w:gridCol w:w="290"/>
        <w:gridCol w:w="196"/>
        <w:gridCol w:w="736"/>
        <w:gridCol w:w="161"/>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1959" w:type="dxa"/>
            <w:gridSpan w:val="6"/>
            <w:tcBorders/>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vMerge w:val="continue"/>
            <w:tcBorders/>
            <w:tcMar>
              <w:top w:w="0" w:type="dxa"/>
              <w:left w:w="0" w:type="dxa"/>
              <w:bottom w:w="0" w:type="dxa"/>
              <w:right w:w="0" w:type="dxa"/>
            </w:tcMar>
            <w:vAlign w:val="center"/>
          </w:tcPr>
          <w:p>
            <w:pPr>
              <w:pStyle w:val="Normal"/>
              <w:bidi w:val="0"/>
              <w:jc w:val="left"/>
              <w:rPr/>
            </w:pPr>
            <w:r>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4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new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448,000 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(513,000)</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25,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4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8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769,786 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June 25, 2023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for revolving credit facility represents the weighted average interest rate as of June 25, 2023.</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25, 2023, we had $615.2 million in available unused borrowing capacity under our revolving credit facility, net of letters of credit of $19.8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Times New Roman;sans-serif" w:hAnsi="Times New Roman;sans-serif"/>
          <w:b w:val="false"/>
          <w:i/>
          <w:color w:val="000000"/>
          <w:sz w:val="22"/>
        </w:rPr>
        <w:t>Long-term Debt, Net</w:t>
      </w:r>
      <w:r>
        <w:rPr>
          <w:color w:val="000000"/>
        </w:rPr>
        <w:t xml:space="preserve"> </w:t>
      </w:r>
      <w:r>
        <w:rPr>
          <w:rFonts w:ascii="Times New Roman;sans-serif" w:hAnsi="Times New Roman;sans-serif"/>
          <w:b w:val="false"/>
          <w:color w:val="000000"/>
          <w:sz w:val="22"/>
        </w:rPr>
        <w:t>in our Annual Report on Form 10-K for the year ended December 25, 2022 for further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25, 2023 and December 25, 2022,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Use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remodeling or relocating older restaurants, development of new restaurants, investment in technology, debt payments, dividend payments and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Capital Expenditures </w:t>
      </w:r>
      <w:r>
        <w:rPr>
          <w:rFonts w:ascii="Times New Roman;sans-serif" w:hAnsi="Times New Roman;sans-serif"/>
          <w:b w:val="false"/>
          <w:color w:val="000000"/>
          <w:sz w:val="22"/>
        </w:rPr>
        <w:t xml:space="preserve">- We estimate that our capital expenditures will total approximately $240 million to $260 million in 2023. The amount of actual capital expenditures may be affected by general economic, financial, competitive, legislative and regulatory factors, among other things, including raw material constraints.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w:t>
      </w:r>
      <w:bookmarkStart w:id="23" w:name="i3560400a17c240ee89316e82c05de4bd_2565"/>
      <w:bookmarkEnd w:id="23"/>
      <w:r>
        <w:rPr>
          <w:rFonts w:ascii="Times New Roman;sans-serif" w:hAnsi="Times New Roman;sans-serif"/>
          <w:b w:val="false"/>
          <w:color w:val="000000"/>
          <w:sz w:val="22"/>
        </w:rPr>
        <w:t xml:space="preserve"> In July 2023, our Board declared a quarterly cash dividend of $0.24 per share, payable on August 25, 2023.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bookmarkStart w:id="24" w:name="i3560400a17c240ee89316e82c05de4bd_2890"/>
      <w:bookmarkEnd w:id="24"/>
      <w:r>
        <w:rPr>
          <w:rFonts w:ascii="Times New Roman;sans-serif" w:hAnsi="Times New Roman;sans-serif"/>
          <w:b w:val="false"/>
          <w:color w:val="000000"/>
          <w:sz w:val="22"/>
        </w:rPr>
        <w:t>On February 7, 2023, our Board approved the 2023 Share Repurchase Program under which we are authorized to repurchase up to $125.0 million of our outstanding common stock. The 2023 Share Repurchase Program will expire on August 7, 2024. As of June 25, 2023, we had $103.8 million remaining available for repurchase under the 2023 Share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dividends and share repurchases from fiscal year 2022 through June 25, 2023:</w:t>
      </w:r>
    </w:p>
    <w:tbl>
      <w:tblPr>
        <w:tblW w:w="7168" w:type="dxa"/>
        <w:jc w:val="center"/>
        <w:tblInd w:w="0" w:type="dxa"/>
        <w:tblLayout w:type="fixed"/>
        <w:tblCellMar>
          <w:top w:w="28" w:type="dxa"/>
          <w:left w:w="28" w:type="dxa"/>
          <w:bottom w:w="28" w:type="dxa"/>
          <w:right w:w="28" w:type="dxa"/>
        </w:tblCellMar>
      </w:tblPr>
      <w:tblGrid>
        <w:gridCol w:w="727"/>
        <w:gridCol w:w="640"/>
        <w:gridCol w:w="642"/>
        <w:gridCol w:w="302"/>
        <w:gridCol w:w="998"/>
        <w:gridCol w:w="170"/>
        <w:gridCol w:w="109"/>
        <w:gridCol w:w="109"/>
        <w:gridCol w:w="109"/>
        <w:gridCol w:w="366"/>
        <w:gridCol w:w="1378"/>
        <w:gridCol w:w="205"/>
        <w:gridCol w:w="109"/>
        <w:gridCol w:w="109"/>
        <w:gridCol w:w="109"/>
        <w:gridCol w:w="196"/>
        <w:gridCol w:w="73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2022</w:t>
            </w:r>
          </w:p>
        </w:tc>
        <w:tc>
          <w:tcPr>
            <w:tcW w:w="3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49,736 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109,999 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2023</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 2023</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3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91,740 </w:t>
            </w:r>
          </w:p>
        </w:tc>
        <w:tc>
          <w:tcPr>
            <w:tcW w:w="1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146,183 </w:t>
            </w:r>
          </w:p>
        </w:tc>
        <w:tc>
          <w:tcPr>
            <w:tcW w:w="2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(1)Subsequent to June 25, 2023, we repurchased $7.3 million of our common stock under a Rule 10b5-1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table presents a summary of our cash flows provided by (used in) operating, investing and financing activities for the periods indicated:</w:t>
      </w:r>
    </w:p>
    <w:tbl>
      <w:tblPr>
        <w:tblW w:w="7242" w:type="dxa"/>
        <w:jc w:val="left"/>
        <w:tblInd w:w="0" w:type="dxa"/>
        <w:tblLayout w:type="fixed"/>
        <w:tblCellMar>
          <w:top w:w="28" w:type="dxa"/>
          <w:left w:w="28" w:type="dxa"/>
          <w:bottom w:w="28" w:type="dxa"/>
          <w:right w:w="28" w:type="dxa"/>
        </w:tblCellMar>
      </w:tblPr>
      <w:tblGrid>
        <w:gridCol w:w="1605"/>
        <w:gridCol w:w="1415"/>
        <w:gridCol w:w="1420"/>
        <w:gridCol w:w="228"/>
        <w:gridCol w:w="860"/>
        <w:gridCol w:w="127"/>
        <w:gridCol w:w="109"/>
        <w:gridCol w:w="109"/>
        <w:gridCol w:w="109"/>
        <w:gridCol w:w="227"/>
        <w:gridCol w:w="855"/>
        <w:gridCol w:w="178"/>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TWENTY-SIX WEEKS ENDED</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26, 2022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287,293 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218,818 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Operating activities</w:t>
      </w:r>
      <w:r>
        <w:rPr>
          <w:color w:val="000000"/>
        </w:rPr>
        <w:t xml:space="preserve"> </w:t>
      </w:r>
      <w:r>
        <w:rPr>
          <w:rFonts w:ascii="Times New Roman;sans-serif" w:hAnsi="Times New Roman;sans-serif"/>
          <w:b w:val="false"/>
          <w:color w:val="000000"/>
          <w:sz w:val="22"/>
        </w:rPr>
        <w:t>- The increase in net cash provided by operating activities during the twenty-six weeks ended June 25, 2023 as compared to the twenty-six weeks ended June 26, 2022 was primarily due to: (i) higher operational receipts, net of payments, (ii) lower inventory purchases and (iii) decreased employee compensation payments.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Investing activities - </w:t>
      </w:r>
      <w:r>
        <w:rPr>
          <w:rFonts w:ascii="Times New Roman;sans-serif" w:hAnsi="Times New Roman;sans-serif"/>
          <w:b w:val="false"/>
          <w:color w:val="000000"/>
          <w:sz w:val="22"/>
        </w:rPr>
        <w:t>The increase in net cash used in investing activities during the twenty-six weeks ended June 25, 2023 as compared to the twenty-six weeks ended June 26, 2022 was primarily due to higher capital expenditures.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 xml:space="preserve">The increase in net cash used in financing activities during the twenty-six weeks ended June 25, 2023 as compared to the twenty-six weeks ended June 26, 2022 was primarily due to higher payments of cash dividends on our common stock and higher net repayments on the revolving credit facility, independent of draws used to settle certain outstanding debt obligations discussed below. These increases were partially offset by: (i) a decrease in repurchases of common stock, (ii) partner equity plan payments during 2022 and (iii) lower payments for the purchase of noncontrolling interests.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twenty-six weeks ended June 26, 2022 also included the 2025 Notes Partial Repurchase and the repayment of our Term loan A which were funded by draws on our revolving credit facility and proceeds from the 2025 Notes hedge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140" w:type="dxa"/>
        <w:jc w:val="left"/>
        <w:tblInd w:w="0" w:type="dxa"/>
        <w:tblLayout w:type="fixed"/>
        <w:tblCellMar>
          <w:top w:w="28" w:type="dxa"/>
          <w:left w:w="28" w:type="dxa"/>
          <w:bottom w:w="28" w:type="dxa"/>
          <w:right w:w="28" w:type="dxa"/>
        </w:tblCellMar>
      </w:tblPr>
      <w:tblGrid>
        <w:gridCol w:w="667"/>
        <w:gridCol w:w="588"/>
        <w:gridCol w:w="590"/>
        <w:gridCol w:w="213"/>
        <w:gridCol w:w="883"/>
        <w:gridCol w:w="118"/>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247,891 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(663,715)</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(632,290)</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Working capital (deficit) includes: (i) Unearned revenue primarily from unredeemed gift cards of $312.6 million and $394.2 million as of June 25, 2023 and December 25, 2022, respectively, and (ii) current operating lease liabilities of $185.4 million and $183.5 million as of June 25, 2023 and December 25, 2022,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during the thirteen weeks ended June 25, 2023 and, that are applicable to us and likely to have material effect on our consolidated financial statements, but have not yet been adopted, see Note 1 - </w:t>
      </w:r>
      <w:r>
        <w:rPr>
          <w:rFonts w:ascii="Times New Roman;sans-serif" w:hAnsi="Times New Roman;sans-serif"/>
          <w:b w:val="false"/>
          <w:i/>
          <w:color w:val="000000"/>
          <w:sz w:val="22"/>
        </w:rPr>
        <w:t>Description of the Business and Basis of Presentation</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exposed to market risk from changes in commodity prices, labor inflation and foreign currency exchange rates and interest rates. We believe that there have been no material changes in our market risk since December 25, 2022. See Part II, Item 7A., “Quantitative and Qualitative Disclosures about Market Risk,” in our Annual Report on Form 10-K for the year ended December 25, 2022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June 25,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the thirteen weeks ended June 25, 2023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our legal proceedings, see Note 13 -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discussed in this report, please consider the factors described in Part I, Item 1A., “Risk Factors,” in our 2022 Form 10-K which could materially affect our business, financial condition or future results. There have not been any material changes to the risk factors described in our 2022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bookmarkStart w:id="25" w:name="i553f9d62377446dba527898c7a2d31f5_3696"/>
      <w:bookmarkEnd w:id="25"/>
      <w:r>
        <w:rPr>
          <w:rFonts w:ascii="Times New Roman;sans-serif" w:hAnsi="Times New Roman;sans-serif"/>
          <w:b w:val="false"/>
          <w:i/>
          <w:color w:val="000000"/>
          <w:sz w:val="22"/>
        </w:rPr>
        <w:t>Conversion of 2025 Notes -</w:t>
      </w:r>
      <w:r>
        <w:rPr>
          <w:color w:val="000000"/>
        </w:rPr>
        <w:t xml:space="preserve"> </w:t>
      </w:r>
      <w:r>
        <w:rPr>
          <w:rFonts w:ascii="Times New Roman;sans-serif" w:hAnsi="Times New Roman;sans-serif"/>
          <w:b w:val="false"/>
          <w:color w:val="000000"/>
          <w:sz w:val="22"/>
        </w:rPr>
        <w:t xml:space="preserve">During the thirteen weeks ended June 25, 2023, certain holders of our 2025 Notes elected to convert $0.2 million in aggregate principal amount of 2025 Notes for a combination of an aggregate of $0.2 million in cash and 9,925 shares of our common stock. The shares of common stock issued upon conversion of the 2025 Notes were issued in reliance upon the exemptions from the registration requirements of the Securities Act provided by Sections 3(a)(9) and 4(a)(2) thereof.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conversion of the 2025 Notes, we exercised our rights under certain convertible note hedge transactions during the thirteen weeks ended June 25, 2023 and received a proportionate amount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other sales of equity securities during the thirteen weeks ended June 25, 2023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The following table provides information regarding our purchases of common stock during the thirteen weeks ended June 25, 2023:</w:t>
      </w:r>
    </w:p>
    <w:tbl>
      <w:tblPr>
        <w:tblW w:w="10205" w:type="dxa"/>
        <w:jc w:val="left"/>
        <w:tblInd w:w="0" w:type="dxa"/>
        <w:tblLayout w:type="fixed"/>
        <w:tblCellMar>
          <w:top w:w="28" w:type="dxa"/>
          <w:left w:w="28" w:type="dxa"/>
          <w:bottom w:w="28" w:type="dxa"/>
          <w:right w:w="28" w:type="dxa"/>
        </w:tblCellMar>
      </w:tblPr>
      <w:tblGrid>
        <w:gridCol w:w="499"/>
        <w:gridCol w:w="438"/>
        <w:gridCol w:w="441"/>
        <w:gridCol w:w="109"/>
        <w:gridCol w:w="109"/>
        <w:gridCol w:w="109"/>
        <w:gridCol w:w="489"/>
        <w:gridCol w:w="489"/>
        <w:gridCol w:w="490"/>
        <w:gridCol w:w="109"/>
        <w:gridCol w:w="109"/>
        <w:gridCol w:w="109"/>
        <w:gridCol w:w="273"/>
        <w:gridCol w:w="779"/>
        <w:gridCol w:w="154"/>
        <w:gridCol w:w="109"/>
        <w:gridCol w:w="109"/>
        <w:gridCol w:w="109"/>
        <w:gridCol w:w="730"/>
        <w:gridCol w:w="730"/>
        <w:gridCol w:w="732"/>
        <w:gridCol w:w="109"/>
        <w:gridCol w:w="109"/>
        <w:gridCol w:w="109"/>
        <w:gridCol w:w="109"/>
        <w:gridCol w:w="354"/>
        <w:gridCol w:w="1902"/>
        <w:gridCol w:w="288"/>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REPORTING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13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27, 2023 through April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227,812 </w:t>
            </w:r>
          </w:p>
        </w:tc>
        <w:tc>
          <w:tcPr>
            <w:tcW w:w="4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227,812 </w:t>
            </w:r>
          </w:p>
        </w:tc>
        <w:tc>
          <w:tcPr>
            <w:tcW w:w="7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113,669,958 </w:t>
            </w:r>
          </w:p>
        </w:tc>
        <w:tc>
          <w:tcPr>
            <w:tcW w:w="2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24, 2023 through May 21,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124,149 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124,149 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110,677,940 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22, 2023 through June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266,752 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266,752 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103,817,009 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618,713 </w:t>
            </w:r>
          </w:p>
        </w:tc>
        <w:tc>
          <w:tcPr>
            <w:tcW w:w="4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618,713 </w:t>
            </w:r>
          </w:p>
        </w:tc>
        <w:tc>
          <w:tcPr>
            <w:tcW w:w="7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On February 7, 2023, our Board approved a share repurchase authorization of up to $125.0 million of our outstanding common stock as announced in our press release issued February 16, 2023 (the “2023 Share Repurchase Program”). The 2023 Share Repurchase Program will expire on August 7,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86"/>
        <w:gridCol w:w="339"/>
        <w:gridCol w:w="341"/>
        <w:gridCol w:w="122"/>
        <w:gridCol w:w="122"/>
        <w:gridCol w:w="122"/>
        <w:gridCol w:w="2282"/>
        <w:gridCol w:w="1783"/>
        <w:gridCol w:w="1787"/>
        <w:gridCol w:w="122"/>
        <w:gridCol w:w="122"/>
        <w:gridCol w:w="122"/>
        <w:gridCol w:w="746"/>
        <w:gridCol w:w="746"/>
        <w:gridCol w:w="1063"/>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FILINGS REFERENCED FOR</w:t>
              <w:br/>
              <w:t xml:space="preserve">INCORPORATION BY REFERENCE </w:t>
            </w:r>
          </w:p>
        </w:tc>
      </w:tr>
      <w:tr>
        <w:trPr/>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2"/>
                  <w:u w:val="single"/>
                </w:rPr>
                <w:t>Fifth Amended and Restated Certificate of Incorporation of Bloomin’ Brands, Inc.</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3.1</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2"/>
                  <w:u w:val="single"/>
                </w:rPr>
                <w:t>Fourth Amended and Restated Bylaws of Bloomin’ Brands, Inc.</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3.2</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523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523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523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523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139" w:type="dxa"/>
            <w:gridSpan w:val="12"/>
            <w:tcBorders/>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58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55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a2b62b407a34898ad888fbef9b79bc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525"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8"/>
        <w:gridCol w:w="208"/>
        <w:gridCol w:w="210"/>
        <w:gridCol w:w="1381"/>
        <w:gridCol w:w="1381"/>
        <w:gridCol w:w="196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1, 2023</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4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J. Deno,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1, 2023</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Christopher Meyer,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273"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3"/>
        <w:gridCol w:w="1493"/>
        <w:gridCol w:w="211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1, 2023</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June 25, 2023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1, 2023</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June 25, 2023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273"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3"/>
        <w:gridCol w:w="1493"/>
        <w:gridCol w:w="211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 2023</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46417/000162828023012060/blmn-041923_ex31xfifthamen.htm" TargetMode="External"/><Relationship Id="rId4" Type="http://schemas.openxmlformats.org/officeDocument/2006/relationships/hyperlink" Target="http://www.sec.gov/Archives/edgar/data/1546417/000162828023012060/blmn-041923_ex32xfourtham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19010</Words>
  <Characters>105771</Characters>
  <CharactersWithSpaces>122620</CharactersWithSpaces>
  <Paragraphs>4230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