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24,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57150</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16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5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107315</wp:posOffset>
            </wp:positionV>
            <wp:extent cx="12604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1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S-8</w:t>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9"/>
        <w:spacing w:after="0" w:line="216"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107315</wp:posOffset>
            </wp:positionV>
            <wp:extent cx="12604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26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BLOOMIN’ BRANDS, INC.</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107315</wp:posOffset>
            </wp:positionV>
            <wp:extent cx="12604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p>
      <w:pPr>
        <w:spacing w:after="0" w:line="282"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20-8023465</w:t>
      </w:r>
    </w:p>
    <w:p>
      <w:pPr>
        <w:spacing w:after="0" w:line="26" w:lineRule="exact"/>
        <w:rPr>
          <w:sz w:val="24"/>
          <w:szCs w:val="24"/>
          <w:color w:val="auto"/>
        </w:rPr>
      </w:pPr>
    </w:p>
    <w:p>
      <w:pPr>
        <w:sectPr>
          <w:pgSz w:w="11900" w:h="16838" w:orient="portrait"/>
          <w:cols w:equalWidth="0" w:num="2">
            <w:col w:w="7400" w:space="720"/>
            <w:col w:w="3080"/>
          </w:cols>
          <w:pgMar w:left="320" w:top="1035" w:right="379" w:bottom="1440" w:gutter="0" w:footer="0" w:header="0"/>
          <w:type w:val="continuous"/>
        </w:sectPr>
      </w:pPr>
    </w:p>
    <w:p>
      <w:pPr>
        <w:ind w:left="19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93" w:lineRule="exact"/>
        <w:rPr>
          <w:sz w:val="24"/>
          <w:szCs w:val="24"/>
          <w:color w:val="auto"/>
        </w:rPr>
      </w:pPr>
    </w:p>
    <w:p>
      <w:pPr>
        <w:sectPr>
          <w:pgSz w:w="11900" w:h="16838" w:orient="portrait"/>
          <w:cols w:equalWidth="0" w:num="2">
            <w:col w:w="7280" w:space="720"/>
            <w:col w:w="3200"/>
          </w:cols>
          <w:pgMar w:left="320" w:top="1035" w:right="3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2202 North West Shore Boulevard, Suite 500</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Tampa, Florida 33607</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116205</wp:posOffset>
            </wp:positionV>
            <wp:extent cx="12604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type w:val="continuous"/>
        </w:sectPr>
      </w:pP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Amended and Restated Bloomin’ Brands, Inc. 2025 Omnibus Incentive Compensation Plan</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125095</wp:posOffset>
            </wp:positionV>
            <wp:extent cx="12604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Kelly Lefferts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Executive Vice President and Chief Legal Officer</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Bloomin’ Brands, Inc.</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2202 North West Shore Boulevard, Suite 500, Tampa, Florida 33607</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2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(813) 282-1225</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116205</wp:posOffset>
            </wp:positionV>
            <wp:extent cx="1260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320"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3" w:lineRule="exact"/>
        <w:rPr>
          <w:sz w:val="24"/>
          <w:szCs w:val="24"/>
          <w:color w:val="auto"/>
        </w:rPr>
      </w:pPr>
    </w:p>
    <w:p>
      <w:pPr>
        <w:jc w:val="center"/>
        <w:ind w:right="-39"/>
        <w:spacing w:after="0" w:line="288"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25"/>
          <w:szCs w:val="25"/>
          <w:color w:val="auto"/>
        </w:rPr>
        <w:t>☐</w:t>
      </w:r>
    </w:p>
    <w:p>
      <w:pPr>
        <w:spacing w:after="0" w:line="86" w:lineRule="exact"/>
        <w:rPr>
          <w:sz w:val="24"/>
          <w:szCs w:val="24"/>
          <w:color w:val="auto"/>
        </w:rPr>
      </w:pPr>
    </w:p>
    <w:p>
      <w:pPr>
        <w:jc w:val="center"/>
        <w:ind w:right="-39"/>
        <w:spacing w:after="0" w:line="288"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25"/>
          <w:szCs w:val="25"/>
          <w:color w:val="auto"/>
        </w:rPr>
        <w:t>☐</w:t>
      </w:r>
    </w:p>
    <w:p>
      <w:pPr>
        <w:spacing w:after="0" w:line="252" w:lineRule="exact"/>
        <w:rPr>
          <w:sz w:val="24"/>
          <w:szCs w:val="24"/>
          <w:color w:val="auto"/>
        </w:rPr>
      </w:pPr>
    </w:p>
    <w:p>
      <w:pPr>
        <w:ind w:right="120"/>
        <w:spacing w:after="0" w:line="29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25"/>
          <w:szCs w:val="2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EXPLANATORY NOTE</w:t>
      </w:r>
    </w:p>
    <w:p>
      <w:pPr>
        <w:spacing w:after="0" w:line="3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Bloomin’ Brands, Inc. (the “Company”) previously filed a Registration Statement on Form S-8 (Registration No. 333-286697) registering the issuance of 11,314,000 shares of the Company’s common stock under the Bloomin’ Brands, Inc. 2025 Omnibus Incentive Plan (the “2025 Plan”).</w:t>
      </w:r>
    </w:p>
    <w:p>
      <w:pPr>
        <w:spacing w:after="0" w:line="21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On April 22, 2026, the Company’s shareholders approved an amendment and restatement of the 2025 Plan that, among other things, increased the number of shares of the Company’s common stock that may be issued under the 2025 Plan by 4,965,000 shares. The amendments also eliminated provisions allowing for the shares that are surrendered to, or withheld or reacquired by, the Company in connection with the exercise of options or stock appreciate rights, to become available again for future grants; added a default provision that may apply in the event of a change of control specifying the treatment of performance based awards depending on whether the performance period had expired at the time of such change in control; and prohibited a non-executive chairperson from receiving awards having a grant date Fair Market Value, together with any cash fees paid for services rendered for such year as a non-employee Director, that would be in excess of $750,000 in total value.</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Pursuant to General Instruction E to Form S-8 under the Securities Act of 1933, as amended (the “Securities Act”), this Registration Statement on Form S-8 is being filed by the Company for the purpose of registering the issuance of an additional 4,965,000 shares of the Company’s common stock under the 2025 Plan. The content contained in the Company’s Registration Statement on Form S-8 (Registration No. 333-286697) is hereby incorporated by reference pursuant to General Instruction E and updated to the extent provided below.</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INFORMATION REQUIRED IN THE SECTION 10(a) PROSPECTUS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Information required by Part I to be contained in the Section 10(a) prospectus is omitted from this Registration Statement in accordance with Rule 428 under the Securities Act of 1933, as amended (the “Securities Act”), and the Note to Part I of Form S-8.</w:t>
      </w:r>
    </w:p>
    <w:p>
      <w:pPr>
        <w:sectPr>
          <w:pgSz w:w="11900" w:h="16838" w:orient="portrait"/>
          <w:cols w:equalWidth="0" w:num="1">
            <w:col w:w="11240"/>
          </w:cols>
          <w:pgMar w:left="320" w:top="93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INFORMATION REQUIRED IN THE REGISTRATION STATEMENT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Incorporation of Documents by Reference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documents filed by the Registrant with the Commission are incorporated herein by reference:</w:t>
      </w:r>
    </w:p>
    <w:p>
      <w:pPr>
        <w:spacing w:after="0" w:line="243" w:lineRule="exact"/>
        <w:rPr>
          <w:sz w:val="20"/>
          <w:szCs w:val="20"/>
          <w:color w:val="auto"/>
        </w:rPr>
      </w:pPr>
    </w:p>
    <w:p>
      <w:pPr>
        <w:ind w:left="740" w:hanging="287"/>
        <w:spacing w:after="0"/>
        <w:tabs>
          <w:tab w:leader="none" w:pos="7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Registrant’s Annual Report on </w:t>
      </w:r>
      <w:hyperlink r:id="rId18">
        <w:r>
          <w:rPr>
            <w:rFonts w:ascii="Times New Roman" w:cs="Times New Roman" w:eastAsia="Times New Roman" w:hAnsi="Times New Roman"/>
            <w:sz w:val="20"/>
            <w:szCs w:val="20"/>
            <w:u w:val="single" w:color="auto"/>
            <w:color w:val="0000FF"/>
          </w:rPr>
          <w:t>Form 10-K</w:t>
        </w:r>
        <w:r>
          <w:rPr>
            <w:rFonts w:ascii="Times New Roman" w:cs="Times New Roman" w:eastAsia="Times New Roman" w:hAnsi="Times New Roman"/>
            <w:sz w:val="20"/>
            <w:szCs w:val="20"/>
            <w:u w:val="single" w:color="auto"/>
            <w:color w:val="auto"/>
          </w:rPr>
          <w:t xml:space="preserve"> </w:t>
        </w:r>
      </w:hyperlink>
      <w:r>
        <w:rPr>
          <w:rFonts w:ascii="Times New Roman" w:cs="Times New Roman" w:eastAsia="Times New Roman" w:hAnsi="Times New Roman"/>
          <w:sz w:val="20"/>
          <w:szCs w:val="20"/>
          <w:color w:val="auto"/>
        </w:rPr>
        <w:t>filed with the Commission on February 25, 2026 (File No. 001-35625);</w:t>
      </w:r>
    </w:p>
    <w:p>
      <w:pPr>
        <w:spacing w:after="0" w:line="256" w:lineRule="exact"/>
        <w:rPr>
          <w:rFonts w:ascii="Times New Roman" w:cs="Times New Roman" w:eastAsia="Times New Roman" w:hAnsi="Times New Roman"/>
          <w:sz w:val="20"/>
          <w:szCs w:val="20"/>
          <w:color w:val="auto"/>
        </w:rPr>
      </w:pPr>
    </w:p>
    <w:p>
      <w:pPr>
        <w:ind w:right="160" w:firstLine="453"/>
        <w:spacing w:after="0" w:line="255" w:lineRule="auto"/>
        <w:tabs>
          <w:tab w:leader="none" w:pos="726"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Registrant’s Current Reports on Form 8-K filed with the Commission on </w:t>
      </w:r>
      <w:hyperlink r:id="rId19">
        <w:r>
          <w:rPr>
            <w:rFonts w:ascii="Times New Roman" w:cs="Times New Roman" w:eastAsia="Times New Roman" w:hAnsi="Times New Roman"/>
            <w:sz w:val="20"/>
            <w:szCs w:val="20"/>
            <w:u w:val="single" w:color="auto"/>
            <w:color w:val="0000FF"/>
          </w:rPr>
          <w:t>February 12, 2026</w:t>
        </w:r>
      </w:hyperlink>
      <w:r>
        <w:rPr>
          <w:rFonts w:ascii="Times New Roman" w:cs="Times New Roman" w:eastAsia="Times New Roman" w:hAnsi="Times New Roman"/>
          <w:sz w:val="20"/>
          <w:szCs w:val="20"/>
          <w:color w:val="auto"/>
        </w:rPr>
        <w:t xml:space="preserve">, </w:t>
      </w:r>
      <w:hyperlink r:id="rId20">
        <w:r>
          <w:rPr>
            <w:rFonts w:ascii="Times New Roman" w:cs="Times New Roman" w:eastAsia="Times New Roman" w:hAnsi="Times New Roman"/>
            <w:sz w:val="20"/>
            <w:szCs w:val="20"/>
            <w:u w:val="single" w:color="auto"/>
            <w:color w:val="0000FF"/>
          </w:rPr>
          <w:t>February 13, 2026</w:t>
        </w:r>
        <w:r>
          <w:rPr>
            <w:rFonts w:ascii="Times New Roman" w:cs="Times New Roman" w:eastAsia="Times New Roman" w:hAnsi="Times New Roman"/>
            <w:sz w:val="20"/>
            <w:szCs w:val="20"/>
            <w:u w:val="single" w:color="auto"/>
            <w:color w:val="auto"/>
          </w:rPr>
          <w:t xml:space="preserve"> </w:t>
        </w:r>
      </w:hyperlink>
      <w:r>
        <w:rPr>
          <w:rFonts w:ascii="Times New Roman" w:cs="Times New Roman" w:eastAsia="Times New Roman" w:hAnsi="Times New Roman"/>
          <w:sz w:val="20"/>
          <w:szCs w:val="20"/>
          <w:color w:val="auto"/>
        </w:rPr>
        <w:t xml:space="preserve">(File No. 001-35625) and </w:t>
      </w:r>
      <w:hyperlink r:id="rId21">
        <w:r>
          <w:rPr>
            <w:rFonts w:ascii="Times New Roman" w:cs="Times New Roman" w:eastAsia="Times New Roman" w:hAnsi="Times New Roman"/>
            <w:sz w:val="20"/>
            <w:szCs w:val="20"/>
            <w:u w:val="single" w:color="auto"/>
            <w:color w:val="0000FF"/>
          </w:rPr>
          <w:t>April 24, 2026</w:t>
        </w:r>
        <w:r>
          <w:rPr>
            <w:rFonts w:ascii="Times New Roman" w:cs="Times New Roman" w:eastAsia="Times New Roman" w:hAnsi="Times New Roman"/>
            <w:sz w:val="20"/>
            <w:szCs w:val="20"/>
            <w:u w:val="single" w:color="auto"/>
            <w:color w:val="auto"/>
          </w:rPr>
          <w:t xml:space="preserve"> </w:t>
        </w:r>
      </w:hyperlink>
      <w:r>
        <w:rPr>
          <w:rFonts w:ascii="Times New Roman" w:cs="Times New Roman" w:eastAsia="Times New Roman" w:hAnsi="Times New Roman"/>
          <w:sz w:val="20"/>
          <w:szCs w:val="20"/>
          <w:color w:val="auto"/>
        </w:rPr>
        <w:t>(File No. 001-35625); and</w:t>
      </w:r>
    </w:p>
    <w:p>
      <w:pPr>
        <w:spacing w:after="0" w:line="199" w:lineRule="exact"/>
        <w:rPr>
          <w:rFonts w:ascii="Times New Roman" w:cs="Times New Roman" w:eastAsia="Times New Roman" w:hAnsi="Times New Roman"/>
          <w:sz w:val="20"/>
          <w:szCs w:val="20"/>
          <w:color w:val="auto"/>
        </w:rPr>
      </w:pPr>
    </w:p>
    <w:p>
      <w:pPr>
        <w:ind w:firstLine="453"/>
        <w:spacing w:after="0" w:line="269" w:lineRule="auto"/>
        <w:tabs>
          <w:tab w:leader="none" w:pos="726" w:val="left"/>
        </w:tabs>
        <w:numPr>
          <w:ilvl w:val="0"/>
          <w:numId w:val="1"/>
        </w:numPr>
        <w:rPr>
          <w:rFonts w:ascii="Times New Roman" w:cs="Times New Roman" w:eastAsia="Times New Roman" w:hAnsi="Times New Roman"/>
          <w:sz w:val="20"/>
          <w:szCs w:val="20"/>
          <w:color w:val="0000FF"/>
        </w:rPr>
      </w:pPr>
      <w:hyperlink r:id="rId22">
        <w:r>
          <w:rPr>
            <w:rFonts w:ascii="Times New Roman" w:cs="Times New Roman" w:eastAsia="Times New Roman" w:hAnsi="Times New Roman"/>
            <w:sz w:val="20"/>
            <w:szCs w:val="20"/>
            <w:u w:val="single" w:color="auto"/>
            <w:color w:val="0000FF"/>
          </w:rPr>
          <w:t>The description of the Registrant’s capital stock contained in Exhibit 4.1 to the Company’s Quarterly Report on Form 10-Q for the</w:t>
        </w:r>
      </w:hyperlink>
      <w:r>
        <w:rPr>
          <w:rFonts w:ascii="Times New Roman" w:cs="Times New Roman" w:eastAsia="Times New Roman" w:hAnsi="Times New Roman"/>
          <w:sz w:val="20"/>
          <w:szCs w:val="20"/>
          <w:u w:val="single" w:color="auto"/>
          <w:color w:val="0000FF"/>
        </w:rPr>
        <w:t xml:space="preserve"> </w:t>
      </w:r>
      <w:hyperlink r:id="rId22">
        <w:r>
          <w:rPr>
            <w:rFonts w:ascii="Times New Roman" w:cs="Times New Roman" w:eastAsia="Times New Roman" w:hAnsi="Times New Roman"/>
            <w:sz w:val="20"/>
            <w:szCs w:val="20"/>
            <w:u w:val="single" w:color="auto"/>
            <w:color w:val="0000FF"/>
          </w:rPr>
          <w:t>quarter ended March 26, 2023 filed with the SEC on May 2, 2023</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(File No. 001-35625).</w:t>
        </w:r>
      </w:hyperlink>
    </w:p>
    <w:p>
      <w:pPr>
        <w:spacing w:after="0" w:line="200" w:lineRule="exact"/>
        <w:rPr>
          <w:rFonts w:ascii="Times New Roman" w:cs="Times New Roman" w:eastAsia="Times New Roman" w:hAnsi="Times New Roman"/>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All reports and other documents filed by the Registrant after the date hereof pursuant to Sections 13(a), 13(c), 14 and 15(d) of the Securities Exchange Act of 1934, as amended, prior to the filing of a post-effective amendment which indicates that all securities offered hereby have been sold or which deregisters all securities then remaining unsold, shall be deemed to be incorporated by reference herein and to be part hereof from the date of filing of such reports and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18" w:lineRule="exact"/>
        <w:rPr>
          <w:rFonts w:ascii="Times New Roman" w:cs="Times New Roman" w:eastAsia="Times New Roman" w:hAnsi="Times New Roman"/>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Description of Securities</w:t>
      </w:r>
    </w:p>
    <w:p>
      <w:pPr>
        <w:spacing w:after="0" w:line="247" w:lineRule="exact"/>
        <w:rPr>
          <w:rFonts w:ascii="Times New Roman" w:cs="Times New Roman" w:eastAsia="Times New Roman" w:hAnsi="Times New Roman"/>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52" w:lineRule="exact"/>
        <w:rPr>
          <w:rFonts w:ascii="Times New Roman" w:cs="Times New Roman" w:eastAsia="Times New Roman" w:hAnsi="Times New Roman"/>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Interests of Named Experts and Counsel</w:t>
      </w:r>
    </w:p>
    <w:p>
      <w:pPr>
        <w:spacing w:after="0" w:line="247" w:lineRule="exact"/>
        <w:rPr>
          <w:rFonts w:ascii="Times New Roman" w:cs="Times New Roman" w:eastAsia="Times New Roman" w:hAnsi="Times New Roman"/>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52" w:lineRule="exact"/>
        <w:rPr>
          <w:rFonts w:ascii="Times New Roman" w:cs="Times New Roman" w:eastAsia="Times New Roman" w:hAnsi="Times New Roman"/>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Indemnification of Directors and Officers</w:t>
      </w:r>
    </w:p>
    <w:p>
      <w:pPr>
        <w:spacing w:after="0" w:line="260" w:lineRule="exact"/>
        <w:rPr>
          <w:rFonts w:ascii="Times New Roman" w:cs="Times New Roman" w:eastAsia="Times New Roman" w:hAnsi="Times New Roman"/>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Registrant is governed by the Delaware General Corporation Law, or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w:t>
      </w:r>
    </w:p>
    <w:p>
      <w:pPr>
        <w:sectPr>
          <w:pgSz w:w="11900" w:h="16838" w:orient="portrait"/>
          <w:cols w:equalWidth="0" w:num="1">
            <w:col w:w="11240"/>
          </w:cols>
          <w:pgMar w:left="320" w:top="882" w:right="339" w:bottom="1440" w:gutter="0" w:footer="0" w:header="0"/>
        </w:sectPr>
      </w:pPr>
    </w:p>
    <w:bookmarkStart w:id="3" w:name="page4"/>
    <w:bookmarkEnd w:id="3"/>
    <w:p>
      <w:pPr>
        <w:jc w:val="both"/>
        <w:spacing w:after="0" w:line="258" w:lineRule="auto"/>
        <w:rPr>
          <w:sz w:val="20"/>
          <w:szCs w:val="20"/>
          <w:color w:val="auto"/>
        </w:rPr>
      </w:pPr>
      <w:r>
        <w:rPr>
          <w:rFonts w:ascii="Times New Roman" w:cs="Times New Roman" w:eastAsia="Times New Roman" w:hAnsi="Times New Roman"/>
          <w:sz w:val="20"/>
          <w:szCs w:val="20"/>
          <w:color w:val="auto"/>
        </w:rPr>
        <w:t>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Registrant’s amended and restated bylaws authorize the indemnification of its officers and directors, consistent with Section 145 of the Delaware General Corporation Law, as amended. The Registrant has also entered into indemnification agreements with each of its directors and executive officers. These agreements, among other things, require the Registrant to indemnify each director and executive officer to the fullest extent permitted by Delaware law, including advancement of expenses such as attorneys’ fees, judgments, fines and settlement amounts incurred by the director or executive officer in any action or proceeding, including any action or proceeding by or in right of the Registrant, arising out of the person’s services as a director or executive officer.</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Pursuant to Section 102(b)(7) of the DGCL, the Registrant’s certificate of incorporation contains a provision eliminating the personal liability of a director or officer for violations of the director’s fiduciary duty, except (i) for any breach of the director’s or officer’s duty of loyalty to the Registrant or its stockholders, (ii) for acts or omissions not in good faith or that involve intentional misconduct or a knowing violation of law, (iii) pursuant to Section 174 of the DGCL, which provides for liability of directors for unlawful payments of dividends or unlawful stock purchases or redemptions, (iv) for any transaction from which a director or officer derived an improper personal benefit, or (v) the liability of an officer in any action by or in the right of the corporation.</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Registrant maintains customary policies of insurance that provide coverage (i) to its directors and officers against loss arising from claims made by reason of breach of duty or other wrongful act and (ii) to the Registrant with respect to indemnification payments that it may make to such directors and officers.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Exemption from Registration Claimed</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Exhibits</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Exhibit</w:t>
      </w:r>
    </w:p>
    <w:p>
      <w:pPr>
        <w:ind w:left="300"/>
        <w:spacing w:after="0"/>
        <w:rPr>
          <w:sz w:val="20"/>
          <w:szCs w:val="20"/>
          <w:color w:val="auto"/>
        </w:rPr>
      </w:pPr>
      <w:r>
        <w:rPr>
          <w:rFonts w:ascii="Times New Roman" w:cs="Times New Roman" w:eastAsia="Times New Roman" w:hAnsi="Times New Roman"/>
          <w:sz w:val="20"/>
          <w:szCs w:val="20"/>
          <w:u w:val="single" w:color="auto"/>
          <w:color w:val="auto"/>
        </w:rPr>
        <w:t>Number  Description</w:t>
      </w:r>
    </w:p>
    <w:p>
      <w:pPr>
        <w:spacing w:after="0" w:line="6" w:lineRule="exact"/>
        <w:rPr>
          <w:sz w:val="20"/>
          <w:szCs w:val="20"/>
          <w:color w:val="auto"/>
        </w:rPr>
      </w:pPr>
    </w:p>
    <w:p>
      <w:pPr>
        <w:ind w:left="1100" w:right="40" w:hanging="390"/>
        <w:spacing w:after="0" w:line="232" w:lineRule="auto"/>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 xml:space="preserve">4.1 </w:t>
      </w:r>
      <w:hyperlink r:id="rId23">
        <w:r>
          <w:rPr>
            <w:rFonts w:ascii="Times New Roman" w:cs="Times New Roman" w:eastAsia="Times New Roman" w:hAnsi="Times New Roman"/>
            <w:sz w:val="20"/>
            <w:szCs w:val="20"/>
            <w:u w:val="single" w:color="auto"/>
            <w:color w:val="0000FF"/>
          </w:rPr>
          <w:t>Fifth Amended and Restated Certificate of Incorporation of Bloomin’ Brands, Inc. (filed as an exhibit to the Registrant’s</w:t>
        </w:r>
      </w:hyperlink>
      <w:r>
        <w:rPr>
          <w:rFonts w:ascii="Times New Roman" w:cs="Times New Roman" w:eastAsia="Times New Roman" w:hAnsi="Times New Roman"/>
          <w:sz w:val="20"/>
          <w:szCs w:val="20"/>
          <w:color w:val="auto"/>
        </w:rPr>
        <w:t xml:space="preserve"> </w:t>
      </w:r>
      <w:hyperlink r:id="rId23">
        <w:r>
          <w:rPr>
            <w:rFonts w:ascii="Times New Roman" w:cs="Times New Roman" w:eastAsia="Times New Roman" w:hAnsi="Times New Roman"/>
            <w:sz w:val="20"/>
            <w:szCs w:val="20"/>
            <w:u w:val="single" w:color="auto"/>
            <w:color w:val="0000FF"/>
          </w:rPr>
          <w:t>Current Report on Form 8-K, filed on April 19, 2023 and incorporated herein by reference)</w:t>
        </w:r>
      </w:hyperlink>
    </w:p>
    <w:p>
      <w:pPr>
        <w:ind w:left="700"/>
        <w:spacing w:after="0" w:line="23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4.2  </w:t>
      </w:r>
      <w:hyperlink r:id="rId24">
        <w:r>
          <w:rPr>
            <w:rFonts w:ascii="Times New Roman" w:cs="Times New Roman" w:eastAsia="Times New Roman" w:hAnsi="Times New Roman"/>
            <w:sz w:val="19"/>
            <w:szCs w:val="19"/>
            <w:u w:val="single" w:color="auto"/>
            <w:color w:val="0000FF"/>
          </w:rPr>
          <w:t>Fourth Amended and Restated Bylaws of Bloomin’ Brands, Inc. (filed as an exhibit to the Registrant’s Current Report on Form</w:t>
        </w:r>
      </w:hyperlink>
    </w:p>
    <w:p>
      <w:pPr>
        <w:spacing w:after="0" w:line="1" w:lineRule="exact"/>
        <w:rPr>
          <w:sz w:val="20"/>
          <w:szCs w:val="20"/>
          <w:color w:val="auto"/>
        </w:rPr>
      </w:pPr>
    </w:p>
    <w:p>
      <w:pPr>
        <w:ind w:left="1100"/>
        <w:spacing w:after="0"/>
        <w:rPr>
          <w:rFonts w:ascii="Times New Roman" w:cs="Times New Roman" w:eastAsia="Times New Roman" w:hAnsi="Times New Roman"/>
          <w:sz w:val="20"/>
          <w:szCs w:val="20"/>
          <w:u w:val="single" w:color="auto"/>
          <w:color w:val="0000FF"/>
        </w:rPr>
      </w:pPr>
      <w:hyperlink r:id="rId24">
        <w:r>
          <w:rPr>
            <w:rFonts w:ascii="Times New Roman" w:cs="Times New Roman" w:eastAsia="Times New Roman" w:hAnsi="Times New Roman"/>
            <w:sz w:val="20"/>
            <w:szCs w:val="20"/>
            <w:u w:val="single" w:color="auto"/>
            <w:color w:val="0000FF"/>
          </w:rPr>
          <w:t>8-K, filed on April 19, 2023 and incorporated herein by reference)</w:t>
        </w:r>
      </w:hyperlink>
    </w:p>
    <w:p>
      <w:pPr>
        <w:spacing w:after="0" w:line="6" w:lineRule="exact"/>
        <w:rPr>
          <w:sz w:val="20"/>
          <w:szCs w:val="20"/>
          <w:color w:val="auto"/>
        </w:rPr>
      </w:pPr>
    </w:p>
    <w:p>
      <w:pPr>
        <w:ind w:left="1100" w:right="40" w:hanging="390"/>
        <w:spacing w:after="0" w:line="232" w:lineRule="auto"/>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 xml:space="preserve">4.3 </w:t>
      </w:r>
      <w:hyperlink r:id="rId25">
        <w:r>
          <w:rPr>
            <w:rFonts w:ascii="Times New Roman" w:cs="Times New Roman" w:eastAsia="Times New Roman" w:hAnsi="Times New Roman"/>
            <w:sz w:val="20"/>
            <w:szCs w:val="20"/>
            <w:u w:val="single" w:color="auto"/>
            <w:color w:val="0000FF"/>
          </w:rPr>
          <w:t>Form of Common Stock Certificate (filed as Exhibit 4.1 to Amendment No. 4 to the Registration Statement on Form S-1 (File</w:t>
        </w:r>
      </w:hyperlink>
      <w:r>
        <w:rPr>
          <w:rFonts w:ascii="Times New Roman" w:cs="Times New Roman" w:eastAsia="Times New Roman" w:hAnsi="Times New Roman"/>
          <w:sz w:val="20"/>
          <w:szCs w:val="20"/>
          <w:color w:val="auto"/>
        </w:rPr>
        <w:t xml:space="preserve"> </w:t>
      </w:r>
      <w:hyperlink r:id="rId25">
        <w:r>
          <w:rPr>
            <w:rFonts w:ascii="Times New Roman" w:cs="Times New Roman" w:eastAsia="Times New Roman" w:hAnsi="Times New Roman"/>
            <w:sz w:val="20"/>
            <w:szCs w:val="20"/>
            <w:u w:val="single" w:color="auto"/>
            <w:color w:val="0000FF"/>
          </w:rPr>
          <w:t>No. 333-180615), filed on July 18, 2012 and incorporated herein by reference)</w:t>
        </w:r>
      </w:hyperlink>
    </w:p>
    <w:p>
      <w:pPr>
        <w:spacing w:after="0" w:line="1" w:lineRule="exact"/>
        <w:rPr>
          <w:sz w:val="20"/>
          <w:szCs w:val="20"/>
          <w:color w:val="auto"/>
        </w:rPr>
      </w:pPr>
    </w:p>
    <w:p>
      <w:pPr>
        <w:jc w:val="right"/>
        <w:ind w:left="700" w:right="60"/>
        <w:spacing w:after="0" w:line="214" w:lineRule="auto"/>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 xml:space="preserve">4.4  </w:t>
      </w:r>
      <w:hyperlink r:id="rId26">
        <w:r>
          <w:rPr>
            <w:rFonts w:ascii="Times New Roman" w:cs="Times New Roman" w:eastAsia="Times New Roman" w:hAnsi="Times New Roman"/>
            <w:sz w:val="20"/>
            <w:szCs w:val="20"/>
            <w:u w:val="single" w:color="auto"/>
            <w:color w:val="0000FF"/>
          </w:rPr>
          <w:t>Amended and Restated Bloomin’ Brands, Inc. 2025 Omnibus Incentive Compensation Plan (filed as Appendix A to the</w:t>
        </w:r>
      </w:hyperlink>
      <w:r>
        <w:rPr>
          <w:rFonts w:ascii="Times New Roman" w:cs="Times New Roman" w:eastAsia="Times New Roman" w:hAnsi="Times New Roman"/>
          <w:sz w:val="20"/>
          <w:szCs w:val="20"/>
          <w:color w:val="auto"/>
        </w:rPr>
        <w:t xml:space="preserve"> </w:t>
      </w:r>
      <w:hyperlink r:id="rId26">
        <w:r>
          <w:rPr>
            <w:rFonts w:ascii="Times New Roman" w:cs="Times New Roman" w:eastAsia="Times New Roman" w:hAnsi="Times New Roman"/>
            <w:sz w:val="20"/>
            <w:szCs w:val="20"/>
            <w:u w:val="single" w:color="auto"/>
            <w:color w:val="0000FF"/>
          </w:rPr>
          <w:t>Registrant’s Proxy Statement on Schedule 14A for its 2026 Annual Meeting (File No. 001-35625), filed on March 3, 2026 and</w:t>
        </w:r>
      </w:hyperlink>
    </w:p>
    <w:p>
      <w:pPr>
        <w:spacing w:after="0" w:line="2" w:lineRule="exact"/>
        <w:rPr>
          <w:sz w:val="20"/>
          <w:szCs w:val="20"/>
          <w:color w:val="auto"/>
        </w:rPr>
      </w:pPr>
    </w:p>
    <w:p>
      <w:pPr>
        <w:ind w:left="1100"/>
        <w:spacing w:after="0"/>
        <w:rPr>
          <w:rFonts w:ascii="Times New Roman" w:cs="Times New Roman" w:eastAsia="Times New Roman" w:hAnsi="Times New Roman"/>
          <w:sz w:val="20"/>
          <w:szCs w:val="20"/>
          <w:u w:val="single" w:color="auto"/>
          <w:color w:val="0000FF"/>
        </w:rPr>
      </w:pPr>
      <w:hyperlink r:id="rId26">
        <w:r>
          <w:rPr>
            <w:rFonts w:ascii="Times New Roman" w:cs="Times New Roman" w:eastAsia="Times New Roman" w:hAnsi="Times New Roman"/>
            <w:sz w:val="20"/>
            <w:szCs w:val="20"/>
            <w:u w:val="single" w:color="auto"/>
            <w:color w:val="0000FF"/>
          </w:rPr>
          <w:t>incorporated herein by reference)</w:t>
        </w:r>
      </w:hyperlink>
    </w:p>
    <w:p>
      <w:pPr>
        <w:spacing w:after="0" w:line="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0000FF"/>
        </w:rPr>
        <w:t>Opinion of Baker &amp; Hostetler LLP</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 xml:space="preserve">23.1  </w:t>
      </w:r>
      <w:r>
        <w:rPr>
          <w:rFonts w:ascii="Times New Roman" w:cs="Times New Roman" w:eastAsia="Times New Roman" w:hAnsi="Times New Roman"/>
          <w:sz w:val="20"/>
          <w:szCs w:val="20"/>
          <w:u w:val="single" w:color="auto"/>
          <w:color w:val="0000FF"/>
        </w:rPr>
        <w:t>Consent of Baker &amp; Hostetler LLP (included in Exhibit 5.1)</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 xml:space="preserve">23.2  </w:t>
      </w:r>
      <w:r>
        <w:rPr>
          <w:rFonts w:ascii="Times New Roman" w:cs="Times New Roman" w:eastAsia="Times New Roman" w:hAnsi="Times New Roman"/>
          <w:sz w:val="20"/>
          <w:szCs w:val="20"/>
          <w:u w:val="single" w:color="auto"/>
          <w:color w:val="0000FF"/>
        </w:rPr>
        <w:t>Consent of PricewaterhouseCoopers LLP</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 xml:space="preserve">24.1  </w:t>
      </w:r>
      <w:r>
        <w:rPr>
          <w:rFonts w:ascii="Times New Roman" w:cs="Times New Roman" w:eastAsia="Times New Roman" w:hAnsi="Times New Roman"/>
          <w:sz w:val="20"/>
          <w:szCs w:val="20"/>
          <w:u w:val="single" w:color="auto"/>
          <w:color w:val="0000FF"/>
        </w:rPr>
        <w:t>Power of Attorney (included on the signature page)</w:t>
      </w:r>
    </w:p>
    <w:p>
      <w:pPr>
        <w:spacing w:after="0" w:line="27" w:lineRule="exact"/>
        <w:rPr>
          <w:sz w:val="20"/>
          <w:szCs w:val="20"/>
          <w:color w:val="auto"/>
        </w:rPr>
      </w:pPr>
    </w:p>
    <w:p>
      <w:pPr>
        <w:ind w:left="1100" w:hanging="448"/>
        <w:spacing w:after="0"/>
        <w:tabs>
          <w:tab w:leader="none" w:pos="11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Filing Fee Table</w:t>
      </w:r>
    </w:p>
    <w:p>
      <w:pPr>
        <w:sectPr>
          <w:pgSz w:w="11900" w:h="16838" w:orient="portrait"/>
          <w:cols w:equalWidth="0" w:num="1">
            <w:col w:w="11240"/>
          </w:cols>
          <w:pgMar w:left="320" w:top="88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Item 9. Undertakings</w:t>
      </w:r>
    </w:p>
    <w:p>
      <w:pPr>
        <w:spacing w:after="0" w:line="260"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Registrant hereby undertakes:</w:t>
      </w:r>
    </w:p>
    <w:p>
      <w:pPr>
        <w:spacing w:after="0" w:line="24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file, during any period in which offers or sales are being made, a post-effective amendment to this registration statement:</w:t>
      </w:r>
    </w:p>
    <w:p>
      <w:pPr>
        <w:spacing w:after="0" w:line="267"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include any prospectus required by Section 10(a)(3) of the Securities Act;</w:t>
      </w:r>
    </w:p>
    <w:p>
      <w:pPr>
        <w:spacing w:after="0" w:line="24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43"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Filing Fee Tables” table in the effective registration statement; and</w:t>
      </w:r>
    </w:p>
    <w:p>
      <w:pPr>
        <w:spacing w:after="0" w:line="219"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44"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include any material information with respect to the plan of distribution not previously disclosed in this registration statement or any material change to such information in this registration statement; provided, however, that paragraphs (a)(1)(i) and (a)(1)(ii) do not apply if this registration statement is on Form S-8 and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w:t>
      </w:r>
    </w:p>
    <w:p>
      <w:pPr>
        <w:spacing w:after="0" w:line="218"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remove from registration by means of a post-effective amendment any of the securities being registered which remain unsold at the termination of the offering.</w:t>
      </w:r>
    </w:p>
    <w:p>
      <w:pPr>
        <w:spacing w:after="0" w:line="173" w:lineRule="exact"/>
        <w:rPr>
          <w:rFonts w:ascii="Times New Roman" w:cs="Times New Roman" w:eastAsia="Times New Roman" w:hAnsi="Times New Roman"/>
          <w:sz w:val="20"/>
          <w:szCs w:val="20"/>
          <w:color w:val="auto"/>
        </w:rPr>
      </w:pPr>
    </w:p>
    <w:p>
      <w:pPr>
        <w:jc w:val="both"/>
        <w:ind w:firstLine="8"/>
        <w:spacing w:after="0" w:line="257" w:lineRule="auto"/>
        <w:tabs>
          <w:tab w:leader="none" w:pos="63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99" w:lineRule="exact"/>
        <w:rPr>
          <w:rFonts w:ascii="Times New Roman" w:cs="Times New Roman" w:eastAsia="Times New Roman" w:hAnsi="Times New Roman"/>
          <w:sz w:val="20"/>
          <w:szCs w:val="20"/>
          <w:color w:val="auto"/>
        </w:rPr>
      </w:pPr>
    </w:p>
    <w:p>
      <w:pPr>
        <w:jc w:val="both"/>
        <w:ind w:firstLine="8"/>
        <w:spacing w:after="0" w:line="253" w:lineRule="auto"/>
        <w:tabs>
          <w:tab w:leader="none" w:pos="63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40"/>
          </w:cols>
          <w:pgMar w:left="320" w:top="88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7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Tampa, State of Florida, on April 24, 2026.</w:t>
      </w:r>
    </w:p>
    <w:p>
      <w:pPr>
        <w:spacing w:after="0" w:line="27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87" w:lineRule="exact"/>
        <w:rPr>
          <w:sz w:val="20"/>
          <w:szCs w:val="20"/>
          <w:color w:val="auto"/>
        </w:rPr>
      </w:pPr>
    </w:p>
    <w:tbl>
      <w:tblPr>
        <w:tblLayout w:type="fixed"/>
        <w:tblInd w:w="6460" w:type="dxa"/>
        <w:tblCellMar>
          <w:top w:w="0" w:type="dxa"/>
          <w:left w:w="0" w:type="dxa"/>
          <w:bottom w:w="0" w:type="dxa"/>
          <w:right w:w="0" w:type="dxa"/>
        </w:tblCellMar>
      </w:tblPr>
      <w:tr>
        <w:trPr>
          <w:trHeight w:val="273"/>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Michael L. Spanos</w:t>
            </w: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8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Michael L. Spanos</w:t>
            </w:r>
          </w:p>
        </w:tc>
      </w:tr>
      <w:tr>
        <w:trPr>
          <w:trHeight w:val="257"/>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8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258"/>
        </w:trPr>
        <w:tc>
          <w:tcPr>
            <w:tcW w:w="860" w:type="dxa"/>
            <w:vAlign w:val="bottom"/>
          </w:tcPr>
          <w:p>
            <w:pPr>
              <w:spacing w:after="0"/>
              <w:rPr>
                <w:sz w:val="22"/>
                <w:szCs w:val="22"/>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(Principal Executive Officer)</w:t>
            </w:r>
          </w:p>
        </w:tc>
      </w:tr>
    </w:tbl>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the undersigned officers and directors of Bloomin’ Brands, Inc., hereby severally constitute and appoint Michael L. Spanos, Eric Christel and Kelly Lefferts, and each of them singly (with full power to each of them to act alone), our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20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Pursuant to the requirements of the Securities Act of 1933, this registration statement has been signed by the following persons in the capacities held on the dates indicated.</w:t>
      </w:r>
    </w:p>
    <w:tbl>
      <w:tblPr>
        <w:tblLayout w:type="fixed"/>
        <w:tblInd w:w="0" w:type="dxa"/>
        <w:tblCellMar>
          <w:top w:w="0" w:type="dxa"/>
          <w:left w:w="0" w:type="dxa"/>
          <w:bottom w:w="0" w:type="dxa"/>
          <w:right w:w="0" w:type="dxa"/>
        </w:tblCellMar>
      </w:tblPr>
      <w:tr>
        <w:trPr>
          <w:trHeight w:val="217"/>
        </w:trPr>
        <w:tc>
          <w:tcPr>
            <w:tcW w:w="1320" w:type="dxa"/>
            <w:vAlign w:val="bottom"/>
          </w:tcPr>
          <w:p>
            <w:pPr>
              <w:spacing w:after="0"/>
              <w:rPr>
                <w:sz w:val="18"/>
                <w:szCs w:val="18"/>
                <w:color w:val="auto"/>
              </w:rPr>
            </w:pPr>
          </w:p>
        </w:tc>
        <w:tc>
          <w:tcPr>
            <w:tcW w:w="2140" w:type="dxa"/>
            <w:vAlign w:val="bottom"/>
            <w:gridSpan w:val="2"/>
          </w:tcPr>
          <w:p>
            <w:pPr>
              <w:spacing w:after="0" w:line="217" w:lineRule="exact"/>
              <w:rPr>
                <w:sz w:val="20"/>
                <w:szCs w:val="20"/>
                <w:color w:val="auto"/>
              </w:rPr>
            </w:pPr>
            <w:r>
              <w:rPr>
                <w:rFonts w:ascii="Times New Roman" w:cs="Times New Roman" w:eastAsia="Times New Roman" w:hAnsi="Times New Roman"/>
                <w:sz w:val="20"/>
                <w:szCs w:val="20"/>
                <w:b w:val="1"/>
                <w:bCs w:val="1"/>
                <w:color w:val="auto"/>
              </w:rPr>
              <w:t>Signature</w:t>
            </w:r>
          </w:p>
        </w:tc>
        <w:tc>
          <w:tcPr>
            <w:tcW w:w="6520" w:type="dxa"/>
            <w:vAlign w:val="bottom"/>
            <w:gridSpan w:val="3"/>
          </w:tcPr>
          <w:p>
            <w:pPr>
              <w:ind w:left="2660"/>
              <w:spacing w:after="0" w:line="217" w:lineRule="exact"/>
              <w:rPr>
                <w:sz w:val="20"/>
                <w:szCs w:val="20"/>
                <w:color w:val="auto"/>
              </w:rPr>
            </w:pPr>
            <w:r>
              <w:rPr>
                <w:rFonts w:ascii="Times New Roman" w:cs="Times New Roman" w:eastAsia="Times New Roman" w:hAnsi="Times New Roman"/>
                <w:sz w:val="20"/>
                <w:szCs w:val="20"/>
                <w:b w:val="1"/>
                <w:bCs w:val="1"/>
                <w:color w:val="auto"/>
              </w:rPr>
              <w:t>Title</w:t>
            </w:r>
          </w:p>
        </w:tc>
        <w:tc>
          <w:tcPr>
            <w:tcW w:w="1200" w:type="dxa"/>
            <w:vAlign w:val="bottom"/>
            <w:gridSpan w:val="2"/>
          </w:tcPr>
          <w:p>
            <w:pPr>
              <w:spacing w:after="0" w:line="217" w:lineRule="exact"/>
              <w:rPr>
                <w:sz w:val="20"/>
                <w:szCs w:val="20"/>
                <w:color w:val="auto"/>
              </w:rPr>
            </w:pPr>
            <w:r>
              <w:rPr>
                <w:rFonts w:ascii="Times New Roman" w:cs="Times New Roman" w:eastAsia="Times New Roman" w:hAnsi="Times New Roman"/>
                <w:sz w:val="20"/>
                <w:szCs w:val="20"/>
                <w:b w:val="1"/>
                <w:bCs w:val="1"/>
                <w:color w:val="auto"/>
              </w:rPr>
              <w:t>Date</w:t>
            </w:r>
          </w:p>
        </w:tc>
      </w:tr>
      <w:tr>
        <w:trPr>
          <w:trHeight w:val="20"/>
        </w:trPr>
        <w:tc>
          <w:tcPr>
            <w:tcW w:w="1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46"/>
        </w:trPr>
        <w:tc>
          <w:tcPr>
            <w:tcW w:w="3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/s/ Michael L. Spanos</w:t>
            </w:r>
          </w:p>
        </w:tc>
        <w:tc>
          <w:tcPr>
            <w:tcW w:w="65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Chief Executive Officer and Director</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7"/>
              </w:rPr>
              <w:t>April 24, 2026</w:t>
            </w:r>
          </w:p>
        </w:tc>
      </w:tr>
      <w:tr>
        <w:trPr>
          <w:trHeight w:val="258"/>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Michael L. Spanos</w:t>
            </w:r>
          </w:p>
        </w:tc>
        <w:tc>
          <w:tcPr>
            <w:tcW w:w="65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410"/>
        </w:trPr>
        <w:tc>
          <w:tcPr>
            <w:tcW w:w="3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/s/ Eric Christel</w:t>
            </w:r>
          </w:p>
        </w:tc>
        <w:tc>
          <w:tcPr>
            <w:tcW w:w="65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7"/>
              </w:rPr>
              <w:t>April 24, 2026</w:t>
            </w:r>
          </w:p>
        </w:tc>
      </w:tr>
      <w:tr>
        <w:trPr>
          <w:trHeight w:val="258"/>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Eric Christel</w:t>
            </w:r>
          </w:p>
        </w:tc>
        <w:tc>
          <w:tcPr>
            <w:tcW w:w="65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(Principal Financial Officer)</w:t>
            </w: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410"/>
        </w:trPr>
        <w:tc>
          <w:tcPr>
            <w:tcW w:w="3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/s/ Philip Pace</w:t>
            </w:r>
          </w:p>
        </w:tc>
        <w:tc>
          <w:tcPr>
            <w:tcW w:w="65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Senior Vice President, Chief Accounting Officer</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7"/>
              </w:rPr>
              <w:t>April 24, 2026</w:t>
            </w:r>
          </w:p>
        </w:tc>
      </w:tr>
      <w:tr>
        <w:trPr>
          <w:trHeight w:val="258"/>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Philip Pace</w:t>
            </w:r>
          </w:p>
        </w:tc>
        <w:tc>
          <w:tcPr>
            <w:tcW w:w="65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(Principal Accounting Officer)</w:t>
            </w: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410"/>
        </w:trPr>
        <w:tc>
          <w:tcPr>
            <w:tcW w:w="3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/s/ R. Michael Mohan</w:t>
            </w:r>
          </w:p>
        </w:tc>
        <w:tc>
          <w:tcPr>
            <w:tcW w:w="65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Director and Chairman of the Board</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7"/>
              </w:rPr>
              <w:t>April 24, 2026</w:t>
            </w:r>
          </w:p>
        </w:tc>
      </w:tr>
      <w:tr>
        <w:trPr>
          <w:trHeight w:val="258"/>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R. Michael Mohan</w:t>
            </w:r>
          </w:p>
        </w:tc>
        <w:tc>
          <w:tcPr>
            <w:tcW w:w="2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410"/>
        </w:trPr>
        <w:tc>
          <w:tcPr>
            <w:tcW w:w="3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/s/ James L. Dinkins</w:t>
            </w:r>
          </w:p>
        </w:tc>
        <w:tc>
          <w:tcPr>
            <w:tcW w:w="65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7"/>
              </w:rPr>
              <w:t>April 24, 2026</w:t>
            </w:r>
          </w:p>
        </w:tc>
      </w:tr>
      <w:tr>
        <w:trPr>
          <w:trHeight w:val="258"/>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James L. Dinkins</w:t>
            </w:r>
          </w:p>
        </w:tc>
        <w:tc>
          <w:tcPr>
            <w:tcW w:w="2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410"/>
        </w:trPr>
        <w:tc>
          <w:tcPr>
            <w:tcW w:w="3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/s/ David George</w:t>
            </w:r>
          </w:p>
        </w:tc>
        <w:tc>
          <w:tcPr>
            <w:tcW w:w="65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7"/>
              </w:rPr>
              <w:t>April 24, 2026</w:t>
            </w:r>
          </w:p>
        </w:tc>
      </w:tr>
      <w:tr>
        <w:trPr>
          <w:trHeight w:val="258"/>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David George</w:t>
            </w:r>
          </w:p>
        </w:tc>
        <w:tc>
          <w:tcPr>
            <w:tcW w:w="2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410"/>
        </w:trPr>
        <w:tc>
          <w:tcPr>
            <w:tcW w:w="3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/s/ Colleen Keating</w:t>
            </w:r>
          </w:p>
        </w:tc>
        <w:tc>
          <w:tcPr>
            <w:tcW w:w="65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7"/>
              </w:rPr>
              <w:t>April 24, 2026</w:t>
            </w:r>
          </w:p>
        </w:tc>
      </w:tr>
      <w:tr>
        <w:trPr>
          <w:trHeight w:val="258"/>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Colleen Keating</w:t>
            </w:r>
          </w:p>
        </w:tc>
        <w:tc>
          <w:tcPr>
            <w:tcW w:w="2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518"/>
        </w:trPr>
        <w:tc>
          <w:tcPr>
            <w:tcW w:w="3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/s/ Julie Kunkel</w:t>
            </w:r>
          </w:p>
        </w:tc>
        <w:tc>
          <w:tcPr>
            <w:tcW w:w="65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7"/>
              </w:rPr>
              <w:t>April 24, 2026</w:t>
            </w:r>
          </w:p>
        </w:tc>
      </w:tr>
      <w:tr>
        <w:trPr>
          <w:trHeight w:val="258"/>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Julie Kunkel</w:t>
            </w:r>
          </w:p>
        </w:tc>
        <w:tc>
          <w:tcPr>
            <w:tcW w:w="2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410"/>
        </w:trPr>
        <w:tc>
          <w:tcPr>
            <w:tcW w:w="3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/s/ Rohit Lal</w:t>
            </w:r>
          </w:p>
        </w:tc>
        <w:tc>
          <w:tcPr>
            <w:tcW w:w="65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7"/>
              </w:rPr>
              <w:t>April 24, 2026</w:t>
            </w:r>
          </w:p>
        </w:tc>
      </w:tr>
      <w:tr>
        <w:trPr>
          <w:trHeight w:val="258"/>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Rohit Lal</w:t>
            </w:r>
          </w:p>
        </w:tc>
        <w:tc>
          <w:tcPr>
            <w:tcW w:w="2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410"/>
        </w:trPr>
        <w:tc>
          <w:tcPr>
            <w:tcW w:w="3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/s/ John J. Mahoney</w:t>
            </w:r>
          </w:p>
        </w:tc>
        <w:tc>
          <w:tcPr>
            <w:tcW w:w="65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7"/>
              </w:rPr>
              <w:t>April 24, 2026</w:t>
            </w:r>
          </w:p>
        </w:tc>
      </w:tr>
      <w:tr>
        <w:trPr>
          <w:trHeight w:val="258"/>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John J. Mahoney</w:t>
            </w:r>
          </w:p>
        </w:tc>
        <w:tc>
          <w:tcPr>
            <w:tcW w:w="2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410"/>
        </w:trPr>
        <w:tc>
          <w:tcPr>
            <w:tcW w:w="3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/s/ Melanie Marein-Efron</w:t>
            </w:r>
          </w:p>
        </w:tc>
        <w:tc>
          <w:tcPr>
            <w:tcW w:w="65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7"/>
              </w:rPr>
              <w:t>April 24, 2026</w:t>
            </w:r>
          </w:p>
        </w:tc>
      </w:tr>
      <w:tr>
        <w:trPr>
          <w:trHeight w:val="258"/>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Melanie Marein-Efron</w:t>
            </w:r>
          </w:p>
        </w:tc>
        <w:tc>
          <w:tcPr>
            <w:tcW w:w="2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r>
    </w:tbl>
    <w:p>
      <w:pPr>
        <w:sectPr>
          <w:pgSz w:w="11900" w:h="16838" w:orient="portrait"/>
          <w:cols w:equalWidth="0" w:num="1">
            <w:col w:w="11240"/>
          </w:cols>
          <w:pgMar w:left="320" w:top="882" w:right="339" w:bottom="823" w:gutter="0" w:footer="0" w:header="0"/>
        </w:sectPr>
      </w:pPr>
    </w:p>
    <w:bookmarkStart w:id="6" w:name="page7"/>
    <w:bookmarkEnd w:id="6"/>
    <w:p>
      <w:pPr>
        <w:ind w:left="10260"/>
        <w:spacing w:after="0"/>
        <w:rPr>
          <w:sz w:val="20"/>
          <w:szCs w:val="20"/>
          <w:color w:val="auto"/>
        </w:rPr>
      </w:pPr>
      <w:r>
        <w:rPr>
          <w:rFonts w:ascii="Times New Roman" w:cs="Times New Roman" w:eastAsia="Times New Roman" w:hAnsi="Times New Roman"/>
          <w:sz w:val="20"/>
          <w:szCs w:val="20"/>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b w:val="1"/>
          <w:bCs w:val="1"/>
          <w:color w:val="auto"/>
        </w:rPr>
        <w:t>CALCULATION OF FILING FEE TABLE</w:t>
      </w:r>
    </w:p>
    <w:p>
      <w:pPr>
        <w:spacing w:after="0" w:line="22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Form S-8</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(Form Type)</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BLOOMIN' BRANDS,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Table 1: Newly Registered and Carry Forward Securities</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820" w:type="dxa"/>
            <w:vAlign w:val="bottom"/>
            <w:tcBorders>
              <w:top w:val="single" w:sz="8" w:color="auto"/>
              <w:left w:val="single" w:sz="8" w:color="auto"/>
              <w:right w:val="single" w:sz="8" w:color="auto"/>
            </w:tcBorders>
          </w:tcPr>
          <w:p>
            <w:pPr>
              <w:spacing w:after="0"/>
              <w:rPr>
                <w:sz w:val="20"/>
                <w:szCs w:val="20"/>
                <w:color w:val="auto"/>
              </w:rPr>
            </w:pPr>
          </w:p>
        </w:tc>
        <w:tc>
          <w:tcPr>
            <w:tcW w:w="90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8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Fee</w:t>
            </w: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Proposed Maximum</w:t>
            </w:r>
          </w:p>
        </w:tc>
        <w:tc>
          <w:tcPr>
            <w:tcW w:w="1480" w:type="dxa"/>
            <w:vAlign w:val="bottom"/>
            <w:tcBorders>
              <w:top w:val="single" w:sz="8" w:color="auto"/>
              <w:right w:val="single" w:sz="8" w:color="auto"/>
            </w:tcBorders>
          </w:tcPr>
          <w:p>
            <w:pPr>
              <w:spacing w:after="0"/>
              <w:rPr>
                <w:sz w:val="20"/>
                <w:szCs w:val="20"/>
                <w:color w:val="auto"/>
              </w:rPr>
            </w:pPr>
          </w:p>
        </w:tc>
        <w:tc>
          <w:tcPr>
            <w:tcW w:w="1320" w:type="dxa"/>
            <w:vAlign w:val="bottom"/>
            <w:tcBorders>
              <w:top w:val="single" w:sz="8" w:color="auto"/>
              <w:right w:val="single" w:sz="8" w:color="auto"/>
            </w:tcBorders>
          </w:tcPr>
          <w:p>
            <w:pPr>
              <w:spacing w:after="0"/>
              <w:rPr>
                <w:sz w:val="20"/>
                <w:szCs w:val="20"/>
                <w:color w:val="auto"/>
              </w:rPr>
            </w:pPr>
          </w:p>
        </w:tc>
        <w:tc>
          <w:tcPr>
            <w:tcW w:w="1020" w:type="dxa"/>
            <w:vAlign w:val="bottom"/>
            <w:tcBorders>
              <w:top w:val="single" w:sz="8" w:color="auto"/>
              <w:right w:val="single" w:sz="8" w:color="auto"/>
            </w:tcBorders>
          </w:tcPr>
          <w:p>
            <w:pPr>
              <w:spacing w:after="0"/>
              <w:rPr>
                <w:sz w:val="20"/>
                <w:szCs w:val="20"/>
                <w:color w:val="auto"/>
              </w:rPr>
            </w:pPr>
          </w:p>
        </w:tc>
      </w:tr>
      <w:tr>
        <w:trPr>
          <w:trHeight w:val="162"/>
        </w:trPr>
        <w:tc>
          <w:tcPr>
            <w:tcW w:w="820" w:type="dxa"/>
            <w:vAlign w:val="bottom"/>
            <w:tcBorders>
              <w:left w:val="single" w:sz="8" w:color="auto"/>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Calculation or Carry</w:t>
            </w:r>
          </w:p>
        </w:tc>
        <w:tc>
          <w:tcPr>
            <w:tcW w:w="200" w:type="dxa"/>
            <w:vAlign w:val="bottom"/>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Offering Price Per</w:t>
            </w:r>
          </w:p>
        </w:tc>
        <w:tc>
          <w:tcPr>
            <w:tcW w:w="1480" w:type="dxa"/>
            <w:vAlign w:val="bottom"/>
            <w:tcBorders>
              <w:right w:val="single" w:sz="8" w:color="auto"/>
            </w:tcBorders>
          </w:tcPr>
          <w:p>
            <w:pPr>
              <w:jc w:val="center"/>
              <w:ind w:left="8"/>
              <w:spacing w:after="0"/>
              <w:rPr>
                <w:sz w:val="20"/>
                <w:szCs w:val="20"/>
                <w:color w:val="auto"/>
              </w:rPr>
            </w:pPr>
            <w:r>
              <w:rPr>
                <w:rFonts w:ascii="Times New Roman" w:cs="Times New Roman" w:eastAsia="Times New Roman" w:hAnsi="Times New Roman"/>
                <w:sz w:val="13"/>
                <w:szCs w:val="13"/>
                <w:color w:val="auto"/>
                <w:w w:val="96"/>
              </w:rPr>
              <w:t>Maximum Aggregate</w:t>
            </w:r>
          </w:p>
        </w:tc>
        <w:tc>
          <w:tcPr>
            <w:tcW w:w="13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Amount of</w:t>
            </w:r>
          </w:p>
        </w:tc>
      </w:tr>
      <w:tr>
        <w:trPr>
          <w:trHeight w:val="187"/>
        </w:trPr>
        <w:tc>
          <w:tcPr>
            <w:tcW w:w="820" w:type="dxa"/>
            <w:vAlign w:val="bottom"/>
            <w:tcBorders>
              <w:left w:val="single" w:sz="8" w:color="auto"/>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Security Type</w:t>
            </w:r>
          </w:p>
        </w:tc>
        <w:tc>
          <w:tcPr>
            <w:tcW w:w="1240" w:type="dxa"/>
            <w:vAlign w:val="bottom"/>
            <w:tcBorders>
              <w:bottom w:val="single" w:sz="8" w:color="auto"/>
            </w:tcBorders>
          </w:tcPr>
          <w:p>
            <w:pPr>
              <w:jc w:val="center"/>
              <w:ind w:left="83"/>
              <w:spacing w:after="0"/>
              <w:rPr>
                <w:sz w:val="20"/>
                <w:szCs w:val="20"/>
                <w:color w:val="auto"/>
              </w:rPr>
            </w:pPr>
            <w:r>
              <w:rPr>
                <w:rFonts w:ascii="Times New Roman" w:cs="Times New Roman" w:eastAsia="Times New Roman" w:hAnsi="Times New Roman"/>
                <w:sz w:val="13"/>
                <w:szCs w:val="13"/>
                <w:color w:val="auto"/>
                <w:w w:val="97"/>
              </w:rPr>
              <w:t>Security Class Title</w:t>
            </w:r>
          </w:p>
        </w:tc>
        <w:tc>
          <w:tcPr>
            <w:tcW w:w="8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Forward Rule</w:t>
            </w: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jc w:val="center"/>
              <w:ind w:right="111"/>
              <w:spacing w:after="0"/>
              <w:rPr>
                <w:sz w:val="20"/>
                <w:szCs w:val="20"/>
                <w:color w:val="auto"/>
              </w:rPr>
            </w:pPr>
            <w:r>
              <w:rPr>
                <w:rFonts w:ascii="Times New Roman" w:cs="Times New Roman" w:eastAsia="Times New Roman" w:hAnsi="Times New Roman"/>
                <w:sz w:val="13"/>
                <w:szCs w:val="13"/>
                <w:color w:val="auto"/>
                <w:w w:val="96"/>
              </w:rPr>
              <w:t>Amount Registered (1)</w:t>
            </w: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Share</w:t>
            </w:r>
          </w:p>
        </w:tc>
        <w:tc>
          <w:tcPr>
            <w:tcW w:w="148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3"/>
                <w:szCs w:val="13"/>
                <w:color w:val="auto"/>
                <w:w w:val="96"/>
              </w:rPr>
              <w:t>Offering Price</w:t>
            </w:r>
          </w:p>
        </w:tc>
        <w:tc>
          <w:tcPr>
            <w:tcW w:w="132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3"/>
                <w:szCs w:val="13"/>
                <w:color w:val="auto"/>
                <w:w w:val="95"/>
              </w:rPr>
              <w:t>Fee Rate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Registration Fee</w:t>
            </w:r>
          </w:p>
        </w:tc>
      </w:tr>
      <w:tr>
        <w:trPr>
          <w:trHeight w:val="170"/>
        </w:trPr>
        <w:tc>
          <w:tcPr>
            <w:tcW w:w="820" w:type="dxa"/>
            <w:vAlign w:val="bottom"/>
            <w:tcBorders>
              <w:left w:val="single" w:sz="8" w:color="auto"/>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3"/>
                <w:szCs w:val="13"/>
                <w:color w:val="auto"/>
                <w:w w:val="95"/>
              </w:rPr>
              <w:t>Newly Registered Securities</w:t>
            </w:r>
          </w:p>
        </w:tc>
        <w:tc>
          <w:tcPr>
            <w:tcW w:w="10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r>
      <w:tr>
        <w:trPr>
          <w:trHeight w:val="161"/>
        </w:trPr>
        <w:tc>
          <w:tcPr>
            <w:tcW w:w="820" w:type="dxa"/>
            <w:vAlign w:val="bottom"/>
            <w:tcBorders>
              <w:left w:val="single" w:sz="8" w:color="auto"/>
              <w:right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color w:val="auto"/>
              </w:rPr>
              <w:t>Fees to</w:t>
            </w:r>
          </w:p>
        </w:tc>
        <w:tc>
          <w:tcPr>
            <w:tcW w:w="900" w:type="dxa"/>
            <w:vAlign w:val="bottom"/>
            <w:tcBorders>
              <w:right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color w:val="auto"/>
              </w:rPr>
              <w:t>Equity</w:t>
            </w:r>
          </w:p>
        </w:tc>
        <w:tc>
          <w:tcPr>
            <w:tcW w:w="1240" w:type="dxa"/>
            <w:vAlign w:val="bottom"/>
          </w:tcPr>
          <w:p>
            <w:pPr>
              <w:jc w:val="center"/>
              <w:ind w:left="83"/>
              <w:spacing w:after="0" w:line="161" w:lineRule="exact"/>
              <w:rPr>
                <w:sz w:val="20"/>
                <w:szCs w:val="20"/>
                <w:color w:val="auto"/>
              </w:rPr>
            </w:pPr>
            <w:r>
              <w:rPr>
                <w:rFonts w:ascii="Times New Roman" w:cs="Times New Roman" w:eastAsia="Times New Roman" w:hAnsi="Times New Roman"/>
                <w:sz w:val="16"/>
                <w:szCs w:val="16"/>
                <w:color w:val="auto"/>
              </w:rPr>
              <w:t>Common stock,</w:t>
            </w:r>
          </w:p>
        </w:tc>
        <w:tc>
          <w:tcPr>
            <w:tcW w:w="8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color w:val="auto"/>
              </w:rPr>
              <w:t>Rule 457(c) and</w:t>
            </w:r>
          </w:p>
        </w:tc>
        <w:tc>
          <w:tcPr>
            <w:tcW w:w="200" w:type="dxa"/>
            <w:vAlign w:val="bottom"/>
          </w:tcPr>
          <w:p>
            <w:pPr>
              <w:spacing w:after="0"/>
              <w:rPr>
                <w:sz w:val="14"/>
                <w:szCs w:val="14"/>
                <w:color w:val="auto"/>
              </w:rPr>
            </w:pPr>
          </w:p>
        </w:tc>
        <w:tc>
          <w:tcPr>
            <w:tcW w:w="1820" w:type="dxa"/>
            <w:vAlign w:val="bottom"/>
            <w:tcBorders>
              <w:right w:val="single" w:sz="8" w:color="auto"/>
            </w:tcBorders>
          </w:tcPr>
          <w:p>
            <w:pPr>
              <w:jc w:val="center"/>
              <w:ind w:right="111"/>
              <w:spacing w:after="0" w:line="161" w:lineRule="exact"/>
              <w:rPr>
                <w:sz w:val="20"/>
                <w:szCs w:val="20"/>
                <w:color w:val="auto"/>
              </w:rPr>
            </w:pPr>
            <w:r>
              <w:rPr>
                <w:rFonts w:ascii="Times New Roman" w:cs="Times New Roman" w:eastAsia="Times New Roman" w:hAnsi="Times New Roman"/>
                <w:sz w:val="16"/>
                <w:szCs w:val="16"/>
                <w:color w:val="auto"/>
              </w:rPr>
              <w:t>4,965,000 shares (2)</w:t>
            </w:r>
          </w:p>
        </w:tc>
        <w:tc>
          <w:tcPr>
            <w:tcW w:w="80" w:type="dxa"/>
            <w:vAlign w:val="bottom"/>
          </w:tcPr>
          <w:p>
            <w:pPr>
              <w:spacing w:after="0"/>
              <w:rPr>
                <w:sz w:val="14"/>
                <w:szCs w:val="14"/>
                <w:color w:val="auto"/>
              </w:rPr>
            </w:pPr>
          </w:p>
        </w:tc>
        <w:tc>
          <w:tcPr>
            <w:tcW w:w="1080" w:type="dxa"/>
            <w:vAlign w:val="bottom"/>
            <w:tcBorders>
              <w:right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$6.61</w:t>
            </w:r>
          </w:p>
        </w:tc>
        <w:tc>
          <w:tcPr>
            <w:tcW w:w="1480" w:type="dxa"/>
            <w:vAlign w:val="bottom"/>
            <w:tcBorders>
              <w:right w:val="single" w:sz="8" w:color="auto"/>
            </w:tcBorders>
          </w:tcPr>
          <w:p>
            <w:pPr>
              <w:jc w:val="center"/>
              <w:ind w:left="8"/>
              <w:spacing w:after="0" w:line="161" w:lineRule="exact"/>
              <w:rPr>
                <w:sz w:val="20"/>
                <w:szCs w:val="20"/>
                <w:color w:val="auto"/>
              </w:rPr>
            </w:pPr>
            <w:r>
              <w:rPr>
                <w:rFonts w:ascii="Times New Roman" w:cs="Times New Roman" w:eastAsia="Times New Roman" w:hAnsi="Times New Roman"/>
                <w:sz w:val="16"/>
                <w:szCs w:val="16"/>
                <w:color w:val="auto"/>
                <w:w w:val="99"/>
              </w:rPr>
              <w:t>$32,818,650</w:t>
            </w:r>
          </w:p>
        </w:tc>
        <w:tc>
          <w:tcPr>
            <w:tcW w:w="1320" w:type="dxa"/>
            <w:vAlign w:val="bottom"/>
            <w:tcBorders>
              <w:right w:val="single" w:sz="8" w:color="auto"/>
            </w:tcBorders>
          </w:tcPr>
          <w:p>
            <w:pPr>
              <w:jc w:val="right"/>
              <w:ind w:right="168"/>
              <w:spacing w:after="0" w:line="161" w:lineRule="exact"/>
              <w:rPr>
                <w:sz w:val="20"/>
                <w:szCs w:val="20"/>
                <w:color w:val="auto"/>
              </w:rPr>
            </w:pPr>
            <w:r>
              <w:rPr>
                <w:rFonts w:ascii="Times New Roman" w:cs="Times New Roman" w:eastAsia="Times New Roman" w:hAnsi="Times New Roman"/>
                <w:sz w:val="16"/>
                <w:szCs w:val="16"/>
                <w:color w:val="auto"/>
              </w:rPr>
              <w:t>$0.0001381</w:t>
            </w:r>
          </w:p>
        </w:tc>
        <w:tc>
          <w:tcPr>
            <w:tcW w:w="1020" w:type="dxa"/>
            <w:vAlign w:val="bottom"/>
            <w:tcBorders>
              <w:right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$4,533</w:t>
            </w:r>
          </w:p>
        </w:tc>
      </w:tr>
      <w:tr>
        <w:trPr>
          <w:trHeight w:val="162"/>
        </w:trPr>
        <w:tc>
          <w:tcPr>
            <w:tcW w:w="820" w:type="dxa"/>
            <w:vAlign w:val="bottom"/>
            <w:tcBorders>
              <w:left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Be Paid</w:t>
            </w:r>
          </w:p>
        </w:tc>
        <w:tc>
          <w:tcPr>
            <w:tcW w:w="900" w:type="dxa"/>
            <w:vAlign w:val="bottom"/>
            <w:tcBorders>
              <w:right w:val="single" w:sz="8" w:color="auto"/>
            </w:tcBorders>
          </w:tcPr>
          <w:p>
            <w:pPr>
              <w:spacing w:after="0"/>
              <w:rPr>
                <w:sz w:val="14"/>
                <w:szCs w:val="14"/>
                <w:color w:val="auto"/>
              </w:rPr>
            </w:pPr>
          </w:p>
        </w:tc>
        <w:tc>
          <w:tcPr>
            <w:tcW w:w="1240" w:type="dxa"/>
            <w:vAlign w:val="bottom"/>
          </w:tcPr>
          <w:p>
            <w:pPr>
              <w:jc w:val="center"/>
              <w:ind w:left="83"/>
              <w:spacing w:after="0" w:line="162" w:lineRule="exact"/>
              <w:rPr>
                <w:sz w:val="20"/>
                <w:szCs w:val="20"/>
                <w:color w:val="auto"/>
              </w:rPr>
            </w:pPr>
            <w:r>
              <w:rPr>
                <w:rFonts w:ascii="Times New Roman" w:cs="Times New Roman" w:eastAsia="Times New Roman" w:hAnsi="Times New Roman"/>
                <w:sz w:val="16"/>
                <w:szCs w:val="16"/>
                <w:color w:val="auto"/>
              </w:rPr>
              <w:t>$0.01 par value</w:t>
            </w:r>
          </w:p>
        </w:tc>
        <w:tc>
          <w:tcPr>
            <w:tcW w:w="8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Rule 457(h)</w:t>
            </w:r>
          </w:p>
        </w:tc>
        <w:tc>
          <w:tcPr>
            <w:tcW w:w="200" w:type="dxa"/>
            <w:vAlign w:val="bottom"/>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r>
      <w:tr>
        <w:trPr>
          <w:trHeight w:val="210"/>
        </w:trPr>
        <w:tc>
          <w:tcPr>
            <w:tcW w:w="82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240" w:type="dxa"/>
            <w:vAlign w:val="bottom"/>
          </w:tcPr>
          <w:p>
            <w:pPr>
              <w:jc w:val="center"/>
              <w:ind w:left="83"/>
              <w:spacing w:after="0"/>
              <w:rPr>
                <w:sz w:val="20"/>
                <w:szCs w:val="20"/>
                <w:color w:val="auto"/>
              </w:rPr>
            </w:pPr>
            <w:r>
              <w:rPr>
                <w:rFonts w:ascii="Times New Roman" w:cs="Times New Roman" w:eastAsia="Times New Roman" w:hAnsi="Times New Roman"/>
                <w:sz w:val="16"/>
                <w:szCs w:val="16"/>
                <w:color w:val="auto"/>
              </w:rPr>
              <w:t>per share</w:t>
            </w:r>
          </w:p>
        </w:tc>
        <w:tc>
          <w:tcPr>
            <w:tcW w:w="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60"/>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33"/>
        </w:trPr>
        <w:tc>
          <w:tcPr>
            <w:tcW w:w="820" w:type="dxa"/>
            <w:vAlign w:val="bottom"/>
            <w:tcBorders>
              <w:left w:val="single" w:sz="8" w:color="auto"/>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center"/>
              <w:ind w:left="783"/>
              <w:spacing w:after="0"/>
              <w:rPr>
                <w:sz w:val="20"/>
                <w:szCs w:val="20"/>
                <w:color w:val="auto"/>
              </w:rPr>
            </w:pPr>
            <w:r>
              <w:rPr>
                <w:rFonts w:ascii="Times New Roman" w:cs="Times New Roman" w:eastAsia="Times New Roman" w:hAnsi="Times New Roman"/>
                <w:sz w:val="16"/>
                <w:szCs w:val="16"/>
                <w:color w:val="auto"/>
              </w:rPr>
              <w:t>Total Offering Amounts</w:t>
            </w:r>
          </w:p>
        </w:tc>
        <w:tc>
          <w:tcPr>
            <w:tcW w:w="18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6"/>
                <w:szCs w:val="16"/>
                <w:color w:val="auto"/>
                <w:w w:val="99"/>
              </w:rPr>
              <w:t>$32,818,650</w:t>
            </w:r>
          </w:p>
        </w:tc>
        <w:tc>
          <w:tcPr>
            <w:tcW w:w="13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$4,533</w:t>
            </w:r>
          </w:p>
        </w:tc>
      </w:tr>
      <w:tr>
        <w:trPr>
          <w:trHeight w:val="236"/>
        </w:trPr>
        <w:tc>
          <w:tcPr>
            <w:tcW w:w="820" w:type="dxa"/>
            <w:vAlign w:val="bottom"/>
            <w:tcBorders>
              <w:left w:val="single" w:sz="8" w:color="auto"/>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Total Fee Offsets</w:t>
            </w:r>
          </w:p>
        </w:tc>
        <w:tc>
          <w:tcPr>
            <w:tcW w:w="18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7"/>
        </w:trPr>
        <w:tc>
          <w:tcPr>
            <w:tcW w:w="820" w:type="dxa"/>
            <w:vAlign w:val="bottom"/>
            <w:tcBorders>
              <w:left w:val="single" w:sz="8" w:color="auto"/>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Net Fee Due</w:t>
            </w:r>
          </w:p>
        </w:tc>
        <w:tc>
          <w:tcPr>
            <w:tcW w:w="18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$4,533</w:t>
            </w:r>
          </w:p>
        </w:tc>
      </w:tr>
    </w:tbl>
    <w:p>
      <w:pPr>
        <w:spacing w:after="0" w:line="337" w:lineRule="exact"/>
        <w:rPr>
          <w:sz w:val="20"/>
          <w:szCs w:val="20"/>
          <w:color w:val="auto"/>
        </w:rPr>
      </w:pPr>
    </w:p>
    <w:p>
      <w:pPr>
        <w:jc w:val="both"/>
        <w:ind w:left="340" w:right="20" w:hanging="332"/>
        <w:spacing w:after="0" w:line="252" w:lineRule="auto"/>
        <w:tabs>
          <w:tab w:leader="none" w:pos="33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Rule 416 under the Securities Act of 1933, as amended (the “Securities Act”), this registration statement also registers an indeterminate number of additional shares that may be issued as the result of any future stock dividend, stock split, recapitalization or any other similar transaction effected without the receipt of consideration which results in an increase in the number of our outstanding shares of common stock.</w:t>
      </w:r>
    </w:p>
    <w:p>
      <w:pPr>
        <w:jc w:val="both"/>
        <w:ind w:left="340" w:right="20" w:hanging="332"/>
        <w:spacing w:after="0" w:line="245" w:lineRule="auto"/>
        <w:tabs>
          <w:tab w:leader="none" w:pos="33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estimate is made pursuant to Rule 457 of the Securities Act solely for purposes of calculating the registration fee. The Proposed Maximum Offering Price Per Share is $6.61 which is the average of the high and low prices for the registrant’s common stock as reported on The Nasdaq Global Select Market on April 21, 2026.</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Table 2: Fee Offset Claims and Sources</w:t>
      </w:r>
    </w:p>
    <w:p>
      <w:pPr>
        <w:spacing w:after="0" w:line="12" w:lineRule="exact"/>
        <w:rPr>
          <w:sz w:val="20"/>
          <w:szCs w:val="20"/>
          <w:color w:val="auto"/>
        </w:rPr>
      </w:pPr>
    </w:p>
    <w:p>
      <w:pPr>
        <w:jc w:val="right"/>
        <w:ind w:righ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Not Applicable</w:t>
      </w:r>
    </w:p>
    <w:p>
      <w:pPr>
        <w:spacing w:after="0" w:line="41"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1160" w:type="dxa"/>
            <w:vAlign w:val="bottom"/>
            <w:tcBorders>
              <w:top w:val="single" w:sz="8" w:color="auto"/>
              <w:left w:val="single" w:sz="8" w:color="auto"/>
              <w:right w:val="single" w:sz="8" w:color="auto"/>
            </w:tcBorders>
          </w:tcPr>
          <w:p>
            <w:pPr>
              <w:spacing w:after="0"/>
              <w:rPr>
                <w:sz w:val="13"/>
                <w:szCs w:val="13"/>
                <w:color w:val="auto"/>
              </w:rPr>
            </w:pPr>
          </w:p>
        </w:tc>
        <w:tc>
          <w:tcPr>
            <w:tcW w:w="920" w:type="dxa"/>
            <w:vAlign w:val="bottom"/>
            <w:tcBorders>
              <w:top w:val="single" w:sz="8" w:color="auto"/>
              <w:right w:val="single" w:sz="8" w:color="auto"/>
            </w:tcBorders>
          </w:tcPr>
          <w:p>
            <w:pPr>
              <w:spacing w:after="0"/>
              <w:rPr>
                <w:sz w:val="13"/>
                <w:szCs w:val="13"/>
                <w:color w:val="auto"/>
              </w:rPr>
            </w:pPr>
          </w:p>
        </w:tc>
        <w:tc>
          <w:tcPr>
            <w:tcW w:w="900" w:type="dxa"/>
            <w:vAlign w:val="bottom"/>
            <w:tcBorders>
              <w:top w:val="single" w:sz="8" w:color="auto"/>
              <w:right w:val="single" w:sz="8" w:color="auto"/>
            </w:tcBorders>
          </w:tcPr>
          <w:p>
            <w:pPr>
              <w:spacing w:after="0"/>
              <w:rPr>
                <w:sz w:val="13"/>
                <w:szCs w:val="13"/>
                <w:color w:val="auto"/>
              </w:rPr>
            </w:pPr>
          </w:p>
        </w:tc>
        <w:tc>
          <w:tcPr>
            <w:tcW w:w="820" w:type="dxa"/>
            <w:vAlign w:val="bottom"/>
            <w:tcBorders>
              <w:top w:val="single" w:sz="8" w:color="auto"/>
              <w:right w:val="single" w:sz="8" w:color="auto"/>
            </w:tcBorders>
          </w:tcPr>
          <w:p>
            <w:pPr>
              <w:spacing w:after="0"/>
              <w:rPr>
                <w:sz w:val="13"/>
                <w:szCs w:val="13"/>
                <w:color w:val="auto"/>
              </w:rPr>
            </w:pPr>
          </w:p>
        </w:tc>
        <w:tc>
          <w:tcPr>
            <w:tcW w:w="920" w:type="dxa"/>
            <w:vAlign w:val="bottom"/>
            <w:tcBorders>
              <w:top w:val="single" w:sz="8" w:color="auto"/>
              <w:right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80" w:type="dxa"/>
            <w:vAlign w:val="bottom"/>
            <w:tcBorders>
              <w:top w:val="single" w:sz="8" w:color="auto"/>
              <w:right w:val="single" w:sz="8" w:color="auto"/>
            </w:tcBorders>
          </w:tcPr>
          <w:p>
            <w:pPr>
              <w:spacing w:after="0"/>
              <w:rPr>
                <w:sz w:val="13"/>
                <w:szCs w:val="13"/>
                <w:color w:val="auto"/>
              </w:rPr>
            </w:pPr>
          </w:p>
        </w:tc>
        <w:tc>
          <w:tcPr>
            <w:tcW w:w="800" w:type="dxa"/>
            <w:vAlign w:val="bottom"/>
            <w:tcBorders>
              <w:top w:val="single" w:sz="8" w:color="auto"/>
              <w:right w:val="single" w:sz="8" w:color="auto"/>
            </w:tcBorders>
          </w:tcPr>
          <w:p>
            <w:pPr>
              <w:spacing w:after="0"/>
              <w:rPr>
                <w:sz w:val="13"/>
                <w:szCs w:val="13"/>
                <w:color w:val="auto"/>
              </w:rPr>
            </w:pPr>
          </w:p>
        </w:tc>
        <w:tc>
          <w:tcPr>
            <w:tcW w:w="960" w:type="dxa"/>
            <w:vAlign w:val="bottom"/>
            <w:tcBorders>
              <w:top w:val="single" w:sz="8" w:color="auto"/>
              <w:right w:val="single" w:sz="8" w:color="auto"/>
            </w:tcBorders>
          </w:tcPr>
          <w:p>
            <w:pPr>
              <w:jc w:val="center"/>
              <w:ind w:right="28"/>
              <w:spacing w:after="0"/>
              <w:rPr>
                <w:sz w:val="20"/>
                <w:szCs w:val="20"/>
                <w:color w:val="auto"/>
              </w:rPr>
            </w:pPr>
            <w:r>
              <w:rPr>
                <w:rFonts w:ascii="Times New Roman" w:cs="Times New Roman" w:eastAsia="Times New Roman" w:hAnsi="Times New Roman"/>
                <w:sz w:val="13"/>
                <w:szCs w:val="13"/>
                <w:color w:val="auto"/>
                <w:w w:val="95"/>
              </w:rPr>
              <w:t>Security Type</w:t>
            </w:r>
          </w:p>
        </w:tc>
        <w:tc>
          <w:tcPr>
            <w:tcW w:w="960" w:type="dxa"/>
            <w:vAlign w:val="bottom"/>
            <w:tcBorders>
              <w:top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3"/>
                <w:szCs w:val="13"/>
                <w:color w:val="auto"/>
                <w:w w:val="95"/>
              </w:rPr>
              <w:t>Security Title</w:t>
            </w:r>
          </w:p>
        </w:tc>
        <w:tc>
          <w:tcPr>
            <w:tcW w:w="960" w:type="dxa"/>
            <w:vAlign w:val="bottom"/>
            <w:tcBorders>
              <w:top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3"/>
                <w:szCs w:val="13"/>
                <w:color w:val="auto"/>
                <w:w w:val="95"/>
              </w:rPr>
              <w:t>Unsold</w:t>
            </w:r>
          </w:p>
        </w:tc>
        <w:tc>
          <w:tcPr>
            <w:tcW w:w="1320" w:type="dxa"/>
            <w:vAlign w:val="bottom"/>
            <w:tcBorders>
              <w:top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3"/>
                <w:szCs w:val="13"/>
                <w:color w:val="auto"/>
                <w:w w:val="96"/>
              </w:rPr>
              <w:t>Unsold Aggregate</w:t>
            </w:r>
          </w:p>
        </w:tc>
        <w:tc>
          <w:tcPr>
            <w:tcW w:w="90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160" w:type="dxa"/>
            <w:vAlign w:val="bottom"/>
            <w:tcBorders>
              <w:left w:val="single" w:sz="8" w:color="auto"/>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vMerge w:val="restart"/>
          </w:tcPr>
          <w:p>
            <w:pPr>
              <w:jc w:val="center"/>
              <w:ind w:right="48"/>
              <w:spacing w:after="0"/>
              <w:rPr>
                <w:sz w:val="20"/>
                <w:szCs w:val="20"/>
                <w:color w:val="auto"/>
              </w:rPr>
            </w:pPr>
            <w:r>
              <w:rPr>
                <w:rFonts w:ascii="Times New Roman" w:cs="Times New Roman" w:eastAsia="Times New Roman" w:hAnsi="Times New Roman"/>
                <w:sz w:val="13"/>
                <w:szCs w:val="13"/>
                <w:color w:val="auto"/>
                <w:w w:val="95"/>
              </w:rPr>
              <w:t>Associated with</w:t>
            </w:r>
          </w:p>
        </w:tc>
        <w:tc>
          <w:tcPr>
            <w:tcW w:w="960" w:type="dxa"/>
            <w:vAlign w:val="bottom"/>
            <w:tcBorders>
              <w:right w:val="single" w:sz="8" w:color="auto"/>
            </w:tcBorders>
            <w:vMerge w:val="restart"/>
          </w:tcPr>
          <w:p>
            <w:pPr>
              <w:jc w:val="center"/>
              <w:ind w:right="48"/>
              <w:spacing w:after="0"/>
              <w:rPr>
                <w:sz w:val="20"/>
                <w:szCs w:val="20"/>
                <w:color w:val="auto"/>
              </w:rPr>
            </w:pPr>
            <w:r>
              <w:rPr>
                <w:rFonts w:ascii="Times New Roman" w:cs="Times New Roman" w:eastAsia="Times New Roman" w:hAnsi="Times New Roman"/>
                <w:sz w:val="13"/>
                <w:szCs w:val="13"/>
                <w:color w:val="auto"/>
                <w:w w:val="98"/>
              </w:rPr>
              <w:t>Associated</w:t>
            </w:r>
          </w:p>
        </w:tc>
        <w:tc>
          <w:tcPr>
            <w:tcW w:w="960" w:type="dxa"/>
            <w:vAlign w:val="bottom"/>
            <w:tcBorders>
              <w:right w:val="single" w:sz="8" w:color="auto"/>
            </w:tcBorders>
          </w:tcPr>
          <w:p>
            <w:pPr>
              <w:jc w:val="center"/>
              <w:ind w:right="50"/>
              <w:spacing w:after="0" w:line="95" w:lineRule="exact"/>
              <w:rPr>
                <w:sz w:val="20"/>
                <w:szCs w:val="20"/>
                <w:color w:val="auto"/>
              </w:rPr>
            </w:pPr>
            <w:r>
              <w:rPr>
                <w:rFonts w:ascii="Times New Roman" w:cs="Times New Roman" w:eastAsia="Times New Roman" w:hAnsi="Times New Roman"/>
                <w:sz w:val="10"/>
                <w:szCs w:val="10"/>
                <w:color w:val="auto"/>
              </w:rPr>
              <w:t>Securities</w:t>
            </w:r>
          </w:p>
        </w:tc>
        <w:tc>
          <w:tcPr>
            <w:tcW w:w="1320" w:type="dxa"/>
            <w:vAlign w:val="bottom"/>
            <w:tcBorders>
              <w:right w:val="single" w:sz="8" w:color="auto"/>
            </w:tcBorders>
            <w:vMerge w:val="restart"/>
          </w:tcPr>
          <w:p>
            <w:pPr>
              <w:jc w:val="center"/>
              <w:ind w:right="48"/>
              <w:spacing w:after="0"/>
              <w:rPr>
                <w:sz w:val="20"/>
                <w:szCs w:val="20"/>
                <w:color w:val="auto"/>
              </w:rPr>
            </w:pPr>
            <w:r>
              <w:rPr>
                <w:rFonts w:ascii="Times New Roman" w:cs="Times New Roman" w:eastAsia="Times New Roman" w:hAnsi="Times New Roman"/>
                <w:sz w:val="13"/>
                <w:szCs w:val="13"/>
                <w:color w:val="auto"/>
                <w:w w:val="97"/>
              </w:rPr>
              <w:t>Offering Amount</w:t>
            </w:r>
          </w:p>
        </w:tc>
        <w:tc>
          <w:tcPr>
            <w:tcW w:w="9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160" w:type="dxa"/>
            <w:vAlign w:val="bottom"/>
            <w:tcBorders>
              <w:left w:val="single" w:sz="8" w:color="auto"/>
              <w:right w:val="single" w:sz="8" w:color="auto"/>
            </w:tcBorders>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restart"/>
          </w:tcPr>
          <w:p>
            <w:pPr>
              <w:jc w:val="center"/>
              <w:ind w:right="50"/>
              <w:spacing w:after="0" w:line="122" w:lineRule="exact"/>
              <w:rPr>
                <w:sz w:val="20"/>
                <w:szCs w:val="20"/>
                <w:color w:val="auto"/>
              </w:rPr>
            </w:pPr>
            <w:r>
              <w:rPr>
                <w:rFonts w:ascii="Times New Roman" w:cs="Times New Roman" w:eastAsia="Times New Roman" w:hAnsi="Times New Roman"/>
                <w:sz w:val="13"/>
                <w:szCs w:val="13"/>
                <w:color w:val="auto"/>
                <w:w w:val="95"/>
              </w:rPr>
              <w:t>Associated with</w:t>
            </w:r>
          </w:p>
        </w:tc>
        <w:tc>
          <w:tcPr>
            <w:tcW w:w="132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1160" w:type="dxa"/>
            <w:vAlign w:val="bottom"/>
            <w:tcBorders>
              <w:left w:val="single" w:sz="8" w:color="auto"/>
              <w:right w:val="single" w:sz="8" w:color="auto"/>
            </w:tcBorders>
          </w:tcPr>
          <w:p>
            <w:pPr>
              <w:spacing w:after="0"/>
              <w:rPr>
                <w:sz w:val="2"/>
                <w:szCs w:val="2"/>
                <w:color w:val="auto"/>
              </w:rPr>
            </w:pPr>
          </w:p>
        </w:tc>
        <w:tc>
          <w:tcPr>
            <w:tcW w:w="920" w:type="dxa"/>
            <w:vAlign w:val="bottom"/>
            <w:tcBorders>
              <w:right w:val="single" w:sz="8" w:color="auto"/>
            </w:tcBorders>
            <w:vMerge w:val="restart"/>
          </w:tcPr>
          <w:p>
            <w:pPr>
              <w:jc w:val="center"/>
              <w:ind w:right="45"/>
              <w:spacing w:after="0"/>
              <w:rPr>
                <w:sz w:val="20"/>
                <w:szCs w:val="20"/>
                <w:color w:val="auto"/>
              </w:rPr>
            </w:pPr>
            <w:r>
              <w:rPr>
                <w:rFonts w:ascii="Times New Roman" w:cs="Times New Roman" w:eastAsia="Times New Roman" w:hAnsi="Times New Roman"/>
                <w:sz w:val="13"/>
                <w:szCs w:val="13"/>
                <w:color w:val="auto"/>
                <w:w w:val="94"/>
              </w:rPr>
              <w:t>Registrant or</w:t>
            </w:r>
          </w:p>
        </w:tc>
        <w:tc>
          <w:tcPr>
            <w:tcW w:w="900" w:type="dxa"/>
            <w:vAlign w:val="bottom"/>
            <w:tcBorders>
              <w:right w:val="single" w:sz="8" w:color="auto"/>
            </w:tcBorders>
            <w:vMerge w:val="restart"/>
          </w:tcPr>
          <w:p>
            <w:pPr>
              <w:jc w:val="center"/>
              <w:ind w:right="45"/>
              <w:spacing w:after="0"/>
              <w:rPr>
                <w:sz w:val="20"/>
                <w:szCs w:val="20"/>
                <w:color w:val="auto"/>
              </w:rPr>
            </w:pPr>
            <w:r>
              <w:rPr>
                <w:rFonts w:ascii="Times New Roman" w:cs="Times New Roman" w:eastAsia="Times New Roman" w:hAnsi="Times New Roman"/>
                <w:sz w:val="13"/>
                <w:szCs w:val="13"/>
                <w:color w:val="auto"/>
                <w:w w:val="96"/>
              </w:rPr>
              <w:t>Form or Filing</w:t>
            </w:r>
          </w:p>
        </w:tc>
        <w:tc>
          <w:tcPr>
            <w:tcW w:w="820" w:type="dxa"/>
            <w:vAlign w:val="bottom"/>
            <w:tcBorders>
              <w:right w:val="single" w:sz="8" w:color="auto"/>
            </w:tcBorders>
          </w:tcPr>
          <w:p>
            <w:pPr>
              <w:spacing w:after="0"/>
              <w:rPr>
                <w:sz w:val="2"/>
                <w:szCs w:val="2"/>
                <w:color w:val="auto"/>
              </w:rPr>
            </w:pPr>
          </w:p>
        </w:tc>
        <w:tc>
          <w:tcPr>
            <w:tcW w:w="920" w:type="dxa"/>
            <w:vAlign w:val="bottom"/>
            <w:tcBorders>
              <w:right w:val="single" w:sz="8" w:color="auto"/>
            </w:tcBorders>
            <w:vMerge w:val="restart"/>
          </w:tcPr>
          <w:p>
            <w:pPr>
              <w:jc w:val="center"/>
              <w:ind w:right="65"/>
              <w:spacing w:after="0"/>
              <w:rPr>
                <w:sz w:val="20"/>
                <w:szCs w:val="20"/>
                <w:color w:val="auto"/>
              </w:rPr>
            </w:pPr>
            <w:r>
              <w:rPr>
                <w:rFonts w:ascii="Times New Roman" w:cs="Times New Roman" w:eastAsia="Times New Roman" w:hAnsi="Times New Roman"/>
                <w:sz w:val="13"/>
                <w:szCs w:val="13"/>
                <w:color w:val="auto"/>
                <w:w w:val="94"/>
              </w:rPr>
              <w:t>Initial Filing</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Filing</w:t>
            </w:r>
          </w:p>
        </w:tc>
        <w:tc>
          <w:tcPr>
            <w:tcW w:w="180" w:type="dxa"/>
            <w:vAlign w:val="bottom"/>
            <w:tcBorders>
              <w:right w:val="single" w:sz="8" w:color="auto"/>
            </w:tcBorders>
          </w:tcPr>
          <w:p>
            <w:pPr>
              <w:spacing w:after="0"/>
              <w:rPr>
                <w:sz w:val="2"/>
                <w:szCs w:val="2"/>
                <w:color w:val="auto"/>
              </w:rPr>
            </w:pPr>
          </w:p>
        </w:tc>
        <w:tc>
          <w:tcPr>
            <w:tcW w:w="800" w:type="dxa"/>
            <w:vAlign w:val="bottom"/>
            <w:tcBorders>
              <w:right w:val="single" w:sz="8" w:color="auto"/>
            </w:tcBorders>
            <w:vMerge w:val="restart"/>
          </w:tcPr>
          <w:p>
            <w:pPr>
              <w:jc w:val="center"/>
              <w:ind w:right="45"/>
              <w:spacing w:after="0"/>
              <w:rPr>
                <w:sz w:val="20"/>
                <w:szCs w:val="20"/>
                <w:color w:val="auto"/>
              </w:rPr>
            </w:pPr>
            <w:r>
              <w:rPr>
                <w:rFonts w:ascii="Times New Roman" w:cs="Times New Roman" w:eastAsia="Times New Roman" w:hAnsi="Times New Roman"/>
                <w:sz w:val="13"/>
                <w:szCs w:val="13"/>
                <w:color w:val="auto"/>
                <w:w w:val="95"/>
              </w:rPr>
              <w:t>Fee Offset</w:t>
            </w:r>
          </w:p>
        </w:tc>
        <w:tc>
          <w:tcPr>
            <w:tcW w:w="960" w:type="dxa"/>
            <w:vAlign w:val="bottom"/>
            <w:tcBorders>
              <w:right w:val="single" w:sz="8" w:color="auto"/>
            </w:tcBorders>
            <w:vMerge w:val="restart"/>
          </w:tcPr>
          <w:p>
            <w:pPr>
              <w:jc w:val="center"/>
              <w:ind w:right="48"/>
              <w:spacing w:after="0"/>
              <w:rPr>
                <w:sz w:val="20"/>
                <w:szCs w:val="20"/>
                <w:color w:val="auto"/>
              </w:rPr>
            </w:pPr>
            <w:r>
              <w:rPr>
                <w:rFonts w:ascii="Times New Roman" w:cs="Times New Roman" w:eastAsia="Times New Roman" w:hAnsi="Times New Roman"/>
                <w:sz w:val="13"/>
                <w:szCs w:val="13"/>
                <w:color w:val="auto"/>
                <w:w w:val="95"/>
              </w:rPr>
              <w:t>Fee Offset</w:t>
            </w:r>
          </w:p>
        </w:tc>
        <w:tc>
          <w:tcPr>
            <w:tcW w:w="960" w:type="dxa"/>
            <w:vAlign w:val="bottom"/>
            <w:tcBorders>
              <w:right w:val="single" w:sz="8" w:color="auto"/>
            </w:tcBorders>
            <w:vMerge w:val="restart"/>
          </w:tcPr>
          <w:p>
            <w:pPr>
              <w:jc w:val="center"/>
              <w:ind w:right="28"/>
              <w:spacing w:after="0"/>
              <w:rPr>
                <w:sz w:val="20"/>
                <w:szCs w:val="20"/>
                <w:color w:val="auto"/>
              </w:rPr>
            </w:pPr>
            <w:r>
              <w:rPr>
                <w:rFonts w:ascii="Times New Roman" w:cs="Times New Roman" w:eastAsia="Times New Roman" w:hAnsi="Times New Roman"/>
                <w:sz w:val="13"/>
                <w:szCs w:val="13"/>
                <w:color w:val="auto"/>
                <w:w w:val="96"/>
              </w:rPr>
              <w:t>with Fee Offset</w:t>
            </w:r>
          </w:p>
        </w:tc>
        <w:tc>
          <w:tcPr>
            <w:tcW w:w="960" w:type="dxa"/>
            <w:vAlign w:val="bottom"/>
            <w:tcBorders>
              <w:right w:val="single" w:sz="8" w:color="auto"/>
            </w:tcBorders>
            <w:vMerge w:val="continue"/>
          </w:tcPr>
          <w:p>
            <w:pPr>
              <w:spacing w:after="0"/>
              <w:rPr>
                <w:sz w:val="2"/>
                <w:szCs w:val="2"/>
                <w:color w:val="auto"/>
              </w:rPr>
            </w:pPr>
          </w:p>
        </w:tc>
        <w:tc>
          <w:tcPr>
            <w:tcW w:w="1320" w:type="dxa"/>
            <w:vAlign w:val="bottom"/>
            <w:tcBorders>
              <w:right w:val="single" w:sz="8" w:color="auto"/>
            </w:tcBorders>
            <w:vMerge w:val="restart"/>
          </w:tcPr>
          <w:p>
            <w:pPr>
              <w:jc w:val="center"/>
              <w:ind w:right="48"/>
              <w:spacing w:after="0"/>
              <w:rPr>
                <w:sz w:val="20"/>
                <w:szCs w:val="20"/>
                <w:color w:val="auto"/>
              </w:rPr>
            </w:pPr>
            <w:r>
              <w:rPr>
                <w:rFonts w:ascii="Times New Roman" w:cs="Times New Roman" w:eastAsia="Times New Roman" w:hAnsi="Times New Roman"/>
                <w:sz w:val="13"/>
                <w:szCs w:val="13"/>
                <w:color w:val="auto"/>
                <w:w w:val="98"/>
              </w:rPr>
              <w:t>Associated with Fee</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Fee Paid with</w:t>
            </w:r>
          </w:p>
        </w:tc>
        <w:tc>
          <w:tcPr>
            <w:tcW w:w="0" w:type="dxa"/>
            <w:vAlign w:val="bottom"/>
          </w:tcPr>
          <w:p>
            <w:pPr>
              <w:spacing w:after="0" w:line="20" w:lineRule="exact"/>
              <w:rPr>
                <w:sz w:val="1"/>
                <w:szCs w:val="1"/>
                <w:color w:val="auto"/>
              </w:rPr>
            </w:pPr>
          </w:p>
        </w:tc>
      </w:tr>
      <w:tr>
        <w:trPr>
          <w:trHeight w:val="121"/>
        </w:trPr>
        <w:tc>
          <w:tcPr>
            <w:tcW w:w="1160" w:type="dxa"/>
            <w:vAlign w:val="bottom"/>
            <w:tcBorders>
              <w:left w:val="single" w:sz="8" w:color="auto"/>
              <w:right w:val="single" w:sz="8" w:color="auto"/>
            </w:tcBorders>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tcPr>
          <w:p>
            <w:pPr>
              <w:jc w:val="center"/>
              <w:ind w:right="50"/>
              <w:spacing w:after="0" w:line="122" w:lineRule="exact"/>
              <w:rPr>
                <w:sz w:val="20"/>
                <w:szCs w:val="20"/>
                <w:color w:val="auto"/>
              </w:rPr>
            </w:pPr>
            <w:r>
              <w:rPr>
                <w:rFonts w:ascii="Times New Roman" w:cs="Times New Roman" w:eastAsia="Times New Roman" w:hAnsi="Times New Roman"/>
                <w:sz w:val="13"/>
                <w:szCs w:val="13"/>
                <w:color w:val="auto"/>
                <w:w w:val="95"/>
              </w:rPr>
              <w:t>Fee Offset</w:t>
            </w:r>
          </w:p>
        </w:tc>
        <w:tc>
          <w:tcPr>
            <w:tcW w:w="132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160" w:type="dxa"/>
            <w:vAlign w:val="bottom"/>
            <w:tcBorders>
              <w:left w:val="single" w:sz="8" w:color="auto"/>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jc w:val="center"/>
              <w:ind w:right="45"/>
              <w:spacing w:after="0"/>
              <w:rPr>
                <w:sz w:val="20"/>
                <w:szCs w:val="20"/>
                <w:color w:val="auto"/>
              </w:rPr>
            </w:pPr>
            <w:r>
              <w:rPr>
                <w:rFonts w:ascii="Times New Roman" w:cs="Times New Roman" w:eastAsia="Times New Roman" w:hAnsi="Times New Roman"/>
                <w:sz w:val="13"/>
                <w:szCs w:val="13"/>
                <w:color w:val="auto"/>
                <w:w w:val="95"/>
              </w:rPr>
              <w:t>Filer Name</w:t>
            </w:r>
          </w:p>
        </w:tc>
        <w:tc>
          <w:tcPr>
            <w:tcW w:w="900" w:type="dxa"/>
            <w:vAlign w:val="bottom"/>
            <w:tcBorders>
              <w:bottom w:val="single" w:sz="8" w:color="auto"/>
              <w:right w:val="single" w:sz="8" w:color="auto"/>
            </w:tcBorders>
          </w:tcPr>
          <w:p>
            <w:pPr>
              <w:jc w:val="center"/>
              <w:ind w:right="45"/>
              <w:spacing w:after="0"/>
              <w:rPr>
                <w:sz w:val="20"/>
                <w:szCs w:val="20"/>
                <w:color w:val="auto"/>
              </w:rPr>
            </w:pPr>
            <w:r>
              <w:rPr>
                <w:rFonts w:ascii="Times New Roman" w:cs="Times New Roman" w:eastAsia="Times New Roman" w:hAnsi="Times New Roman"/>
                <w:sz w:val="13"/>
                <w:szCs w:val="13"/>
                <w:color w:val="auto"/>
                <w:w w:val="97"/>
              </w:rPr>
              <w:t>Type</w:t>
            </w:r>
          </w:p>
        </w:tc>
        <w:tc>
          <w:tcPr>
            <w:tcW w:w="820" w:type="dxa"/>
            <w:vAlign w:val="bottom"/>
            <w:tcBorders>
              <w:bottom w:val="single" w:sz="8" w:color="auto"/>
              <w:right w:val="single" w:sz="8" w:color="auto"/>
            </w:tcBorders>
          </w:tcPr>
          <w:p>
            <w:pPr>
              <w:jc w:val="center"/>
              <w:ind w:right="63"/>
              <w:spacing w:after="0"/>
              <w:rPr>
                <w:sz w:val="20"/>
                <w:szCs w:val="20"/>
                <w:color w:val="auto"/>
              </w:rPr>
            </w:pPr>
            <w:r>
              <w:rPr>
                <w:rFonts w:ascii="Times New Roman" w:cs="Times New Roman" w:eastAsia="Times New Roman" w:hAnsi="Times New Roman"/>
                <w:sz w:val="13"/>
                <w:szCs w:val="13"/>
                <w:color w:val="auto"/>
                <w:w w:val="96"/>
              </w:rPr>
              <w:t>File Number</w:t>
            </w:r>
          </w:p>
        </w:tc>
        <w:tc>
          <w:tcPr>
            <w:tcW w:w="920" w:type="dxa"/>
            <w:vAlign w:val="bottom"/>
            <w:tcBorders>
              <w:bottom w:val="single" w:sz="8" w:color="auto"/>
              <w:right w:val="single" w:sz="8" w:color="auto"/>
            </w:tcBorders>
          </w:tcPr>
          <w:p>
            <w:pPr>
              <w:jc w:val="center"/>
              <w:ind w:right="45"/>
              <w:spacing w:after="0"/>
              <w:rPr>
                <w:sz w:val="20"/>
                <w:szCs w:val="20"/>
                <w:color w:val="auto"/>
              </w:rPr>
            </w:pPr>
            <w:r>
              <w:rPr>
                <w:rFonts w:ascii="Times New Roman" w:cs="Times New Roman" w:eastAsia="Times New Roman" w:hAnsi="Times New Roman"/>
                <w:sz w:val="13"/>
                <w:szCs w:val="13"/>
                <w:color w:val="auto"/>
                <w:w w:val="97"/>
              </w:rPr>
              <w:t>Date</w:t>
            </w: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18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jc w:val="center"/>
              <w:ind w:right="45"/>
              <w:spacing w:after="0"/>
              <w:rPr>
                <w:sz w:val="20"/>
                <w:szCs w:val="20"/>
                <w:color w:val="auto"/>
              </w:rPr>
            </w:pPr>
            <w:r>
              <w:rPr>
                <w:rFonts w:ascii="Times New Roman" w:cs="Times New Roman" w:eastAsia="Times New Roman" w:hAnsi="Times New Roman"/>
                <w:sz w:val="13"/>
                <w:szCs w:val="13"/>
                <w:color w:val="auto"/>
                <w:w w:val="99"/>
              </w:rPr>
              <w:t>Claimed</w:t>
            </w:r>
          </w:p>
        </w:tc>
        <w:tc>
          <w:tcPr>
            <w:tcW w:w="96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3"/>
                <w:szCs w:val="13"/>
                <w:color w:val="auto"/>
                <w:w w:val="99"/>
              </w:rPr>
              <w:t>Claimed</w:t>
            </w:r>
          </w:p>
        </w:tc>
        <w:tc>
          <w:tcPr>
            <w:tcW w:w="96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3"/>
                <w:szCs w:val="13"/>
                <w:color w:val="auto"/>
                <w:w w:val="99"/>
              </w:rPr>
              <w:t>Claimed</w:t>
            </w:r>
          </w:p>
        </w:tc>
        <w:tc>
          <w:tcPr>
            <w:tcW w:w="96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3"/>
                <w:szCs w:val="13"/>
                <w:color w:val="auto"/>
                <w:w w:val="99"/>
              </w:rPr>
              <w:t>Claimed</w:t>
            </w:r>
          </w:p>
        </w:tc>
        <w:tc>
          <w:tcPr>
            <w:tcW w:w="132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3"/>
                <w:szCs w:val="13"/>
                <w:color w:val="auto"/>
                <w:w w:val="95"/>
              </w:rPr>
              <w:t>Offset Claimed</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Offset Source</w:t>
            </w:r>
          </w:p>
        </w:tc>
        <w:tc>
          <w:tcPr>
            <w:tcW w:w="0" w:type="dxa"/>
            <w:vAlign w:val="bottom"/>
          </w:tcPr>
          <w:p>
            <w:pPr>
              <w:spacing w:after="0"/>
              <w:rPr>
                <w:sz w:val="1"/>
                <w:szCs w:val="1"/>
                <w:color w:val="auto"/>
              </w:rPr>
            </w:pPr>
          </w:p>
        </w:tc>
      </w:tr>
      <w:tr>
        <w:trPr>
          <w:trHeight w:val="213"/>
        </w:trPr>
        <w:tc>
          <w:tcPr>
            <w:tcW w:w="1160" w:type="dxa"/>
            <w:vAlign w:val="bottom"/>
            <w:tcBorders>
              <w:left w:val="single" w:sz="8" w:color="auto"/>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center"/>
              <w:ind w:right="508"/>
              <w:spacing w:after="0"/>
              <w:rPr>
                <w:sz w:val="20"/>
                <w:szCs w:val="20"/>
                <w:color w:val="auto"/>
              </w:rPr>
            </w:pPr>
            <w:r>
              <w:rPr>
                <w:rFonts w:ascii="Times New Roman" w:cs="Times New Roman" w:eastAsia="Times New Roman" w:hAnsi="Times New Roman"/>
                <w:sz w:val="16"/>
                <w:szCs w:val="16"/>
                <w:color w:val="auto"/>
              </w:rPr>
              <w:t>Rules 457(b) and 0-11(a)(2)</w:t>
            </w:r>
          </w:p>
        </w:tc>
        <w:tc>
          <w:tcPr>
            <w:tcW w:w="9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160" w:type="dxa"/>
            <w:vAlign w:val="bottom"/>
            <w:tcBorders>
              <w:left w:val="single" w:sz="8" w:color="auto"/>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Fee Offset</w:t>
            </w:r>
          </w:p>
        </w:tc>
        <w:tc>
          <w:tcPr>
            <w:tcW w:w="920" w:type="dxa"/>
            <w:vAlign w:val="bottom"/>
            <w:tcBorders>
              <w:right w:val="single" w:sz="8" w:color="auto"/>
            </w:tcBorders>
          </w:tcPr>
          <w:p>
            <w:pPr>
              <w:jc w:val="center"/>
              <w:ind w:right="45"/>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900" w:type="dxa"/>
            <w:vAlign w:val="bottom"/>
            <w:tcBorders>
              <w:right w:val="single" w:sz="8" w:color="auto"/>
            </w:tcBorders>
          </w:tcPr>
          <w:p>
            <w:pPr>
              <w:jc w:val="center"/>
              <w:ind w:right="25"/>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820" w:type="dxa"/>
            <w:vAlign w:val="bottom"/>
            <w:tcBorders>
              <w:right w:val="single" w:sz="8" w:color="auto"/>
            </w:tcBorders>
          </w:tcPr>
          <w:p>
            <w:pPr>
              <w:jc w:val="center"/>
              <w:ind w:right="63"/>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920" w:type="dxa"/>
            <w:vAlign w:val="bottom"/>
            <w:tcBorders>
              <w:right w:val="single" w:sz="8" w:color="auto"/>
            </w:tcBorders>
          </w:tcPr>
          <w:p>
            <w:pPr>
              <w:jc w:val="center"/>
              <w:ind w:right="45"/>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4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1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jc w:val="center"/>
              <w:ind w:right="45"/>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960" w:type="dxa"/>
            <w:vAlign w:val="bottom"/>
            <w:tcBorders>
              <w:right w:val="single" w:sz="8" w:color="auto"/>
            </w:tcBorders>
          </w:tcPr>
          <w:p>
            <w:pPr>
              <w:jc w:val="center"/>
              <w:ind w:right="48"/>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960" w:type="dxa"/>
            <w:vAlign w:val="bottom"/>
            <w:tcBorders>
              <w:right w:val="single" w:sz="8" w:color="auto"/>
            </w:tcBorders>
          </w:tcPr>
          <w:p>
            <w:pPr>
              <w:jc w:val="center"/>
              <w:ind w:right="48"/>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960" w:type="dxa"/>
            <w:vAlign w:val="bottom"/>
            <w:tcBorders>
              <w:right w:val="single" w:sz="8" w:color="auto"/>
            </w:tcBorders>
          </w:tcPr>
          <w:p>
            <w:pPr>
              <w:jc w:val="center"/>
              <w:ind w:right="50"/>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1320" w:type="dxa"/>
            <w:vAlign w:val="bottom"/>
            <w:tcBorders>
              <w:right w:val="single" w:sz="8" w:color="auto"/>
            </w:tcBorders>
          </w:tcPr>
          <w:p>
            <w:pPr>
              <w:jc w:val="center"/>
              <w:ind w:right="48"/>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90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Claims</w:t>
            </w:r>
          </w:p>
        </w:tc>
        <w:tc>
          <w:tcPr>
            <w:tcW w:w="9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160" w:type="dxa"/>
            <w:vAlign w:val="bottom"/>
            <w:tcBorders>
              <w:left w:val="single" w:sz="8" w:color="auto"/>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Fee Offset</w:t>
            </w:r>
          </w:p>
        </w:tc>
        <w:tc>
          <w:tcPr>
            <w:tcW w:w="920" w:type="dxa"/>
            <w:vAlign w:val="bottom"/>
            <w:tcBorders>
              <w:right w:val="single" w:sz="8" w:color="auto"/>
            </w:tcBorders>
          </w:tcPr>
          <w:p>
            <w:pPr>
              <w:jc w:val="center"/>
              <w:ind w:right="45"/>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900" w:type="dxa"/>
            <w:vAlign w:val="bottom"/>
            <w:tcBorders>
              <w:right w:val="single" w:sz="8" w:color="auto"/>
            </w:tcBorders>
          </w:tcPr>
          <w:p>
            <w:pPr>
              <w:jc w:val="center"/>
              <w:ind w:right="25"/>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820" w:type="dxa"/>
            <w:vAlign w:val="bottom"/>
            <w:tcBorders>
              <w:right w:val="single" w:sz="8" w:color="auto"/>
            </w:tcBorders>
          </w:tcPr>
          <w:p>
            <w:pPr>
              <w:jc w:val="center"/>
              <w:ind w:right="63"/>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920" w:type="dxa"/>
            <w:vAlign w:val="bottom"/>
            <w:tcBorders>
              <w:right w:val="single" w:sz="8" w:color="auto"/>
            </w:tcBorders>
          </w:tcPr>
          <w:p>
            <w:pPr>
              <w:jc w:val="center"/>
              <w:ind w:right="45"/>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4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1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jc w:val="center"/>
              <w:ind w:right="45"/>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960" w:type="dxa"/>
            <w:vAlign w:val="bottom"/>
            <w:tcBorders>
              <w:right w:val="single" w:sz="8" w:color="auto"/>
            </w:tcBorders>
          </w:tcPr>
          <w:p>
            <w:pPr>
              <w:jc w:val="center"/>
              <w:ind w:right="48"/>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960" w:type="dxa"/>
            <w:vAlign w:val="bottom"/>
            <w:tcBorders>
              <w:right w:val="single" w:sz="8" w:color="auto"/>
            </w:tcBorders>
          </w:tcPr>
          <w:p>
            <w:pPr>
              <w:jc w:val="center"/>
              <w:ind w:right="48"/>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960" w:type="dxa"/>
            <w:vAlign w:val="bottom"/>
            <w:tcBorders>
              <w:right w:val="single" w:sz="8" w:color="auto"/>
            </w:tcBorders>
          </w:tcPr>
          <w:p>
            <w:pPr>
              <w:jc w:val="center"/>
              <w:ind w:right="50"/>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1320" w:type="dxa"/>
            <w:vAlign w:val="bottom"/>
            <w:tcBorders>
              <w:right w:val="single" w:sz="8" w:color="auto"/>
            </w:tcBorders>
          </w:tcPr>
          <w:p>
            <w:pPr>
              <w:jc w:val="center"/>
              <w:ind w:right="48"/>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90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Sources</w:t>
            </w:r>
          </w:p>
        </w:tc>
        <w:tc>
          <w:tcPr>
            <w:tcW w:w="9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5"/>
              <w:spacing w:after="0"/>
              <w:rPr>
                <w:sz w:val="20"/>
                <w:szCs w:val="20"/>
                <w:color w:val="auto"/>
              </w:rPr>
            </w:pPr>
            <w:r>
              <w:rPr>
                <w:rFonts w:ascii="Times New Roman" w:cs="Times New Roman" w:eastAsia="Times New Roman" w:hAnsi="Times New Roman"/>
                <w:sz w:val="16"/>
                <w:szCs w:val="16"/>
                <w:color w:val="auto"/>
              </w:rPr>
              <w:t>Rule 457(p)</w:t>
            </w:r>
          </w:p>
        </w:tc>
        <w:tc>
          <w:tcPr>
            <w:tcW w:w="9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160" w:type="dxa"/>
            <w:vAlign w:val="bottom"/>
            <w:tcBorders>
              <w:left w:val="single" w:sz="8" w:color="auto"/>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Fee Offset</w:t>
            </w:r>
          </w:p>
        </w:tc>
        <w:tc>
          <w:tcPr>
            <w:tcW w:w="920" w:type="dxa"/>
            <w:vAlign w:val="bottom"/>
            <w:tcBorders>
              <w:right w:val="single" w:sz="8" w:color="auto"/>
            </w:tcBorders>
          </w:tcPr>
          <w:p>
            <w:pPr>
              <w:jc w:val="center"/>
              <w:ind w:right="45"/>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900" w:type="dxa"/>
            <w:vAlign w:val="bottom"/>
            <w:tcBorders>
              <w:right w:val="single" w:sz="8" w:color="auto"/>
            </w:tcBorders>
          </w:tcPr>
          <w:p>
            <w:pPr>
              <w:jc w:val="center"/>
              <w:ind w:right="25"/>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820" w:type="dxa"/>
            <w:vAlign w:val="bottom"/>
            <w:tcBorders>
              <w:right w:val="single" w:sz="8" w:color="auto"/>
            </w:tcBorders>
          </w:tcPr>
          <w:p>
            <w:pPr>
              <w:jc w:val="center"/>
              <w:ind w:right="63"/>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920" w:type="dxa"/>
            <w:vAlign w:val="bottom"/>
            <w:tcBorders>
              <w:right w:val="single" w:sz="8" w:color="auto"/>
            </w:tcBorders>
          </w:tcPr>
          <w:p>
            <w:pPr>
              <w:jc w:val="center"/>
              <w:ind w:right="45"/>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4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1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jc w:val="center"/>
              <w:ind w:right="45"/>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960" w:type="dxa"/>
            <w:vAlign w:val="bottom"/>
            <w:tcBorders>
              <w:right w:val="single" w:sz="8" w:color="auto"/>
            </w:tcBorders>
          </w:tcPr>
          <w:p>
            <w:pPr>
              <w:jc w:val="center"/>
              <w:ind w:right="48"/>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960" w:type="dxa"/>
            <w:vAlign w:val="bottom"/>
            <w:tcBorders>
              <w:right w:val="single" w:sz="8" w:color="auto"/>
            </w:tcBorders>
          </w:tcPr>
          <w:p>
            <w:pPr>
              <w:jc w:val="center"/>
              <w:ind w:right="48"/>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960" w:type="dxa"/>
            <w:vAlign w:val="bottom"/>
            <w:tcBorders>
              <w:right w:val="single" w:sz="8" w:color="auto"/>
            </w:tcBorders>
          </w:tcPr>
          <w:p>
            <w:pPr>
              <w:jc w:val="center"/>
              <w:ind w:right="50"/>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1320" w:type="dxa"/>
            <w:vAlign w:val="bottom"/>
            <w:tcBorders>
              <w:right w:val="single" w:sz="8" w:color="auto"/>
            </w:tcBorders>
          </w:tcPr>
          <w:p>
            <w:pPr>
              <w:jc w:val="center"/>
              <w:ind w:right="48"/>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90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Claims</w:t>
            </w:r>
          </w:p>
        </w:tc>
        <w:tc>
          <w:tcPr>
            <w:tcW w:w="9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160" w:type="dxa"/>
            <w:vAlign w:val="bottom"/>
            <w:tcBorders>
              <w:left w:val="single" w:sz="8" w:color="auto"/>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Fee Offset</w:t>
            </w:r>
          </w:p>
        </w:tc>
        <w:tc>
          <w:tcPr>
            <w:tcW w:w="920" w:type="dxa"/>
            <w:vAlign w:val="bottom"/>
            <w:tcBorders>
              <w:right w:val="single" w:sz="8" w:color="auto"/>
            </w:tcBorders>
          </w:tcPr>
          <w:p>
            <w:pPr>
              <w:jc w:val="center"/>
              <w:ind w:right="45"/>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900" w:type="dxa"/>
            <w:vAlign w:val="bottom"/>
            <w:tcBorders>
              <w:right w:val="single" w:sz="8" w:color="auto"/>
            </w:tcBorders>
          </w:tcPr>
          <w:p>
            <w:pPr>
              <w:jc w:val="center"/>
              <w:ind w:right="25"/>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820" w:type="dxa"/>
            <w:vAlign w:val="bottom"/>
            <w:tcBorders>
              <w:right w:val="single" w:sz="8" w:color="auto"/>
            </w:tcBorders>
          </w:tcPr>
          <w:p>
            <w:pPr>
              <w:jc w:val="center"/>
              <w:ind w:right="63"/>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920" w:type="dxa"/>
            <w:vAlign w:val="bottom"/>
            <w:tcBorders>
              <w:right w:val="single" w:sz="8" w:color="auto"/>
            </w:tcBorders>
          </w:tcPr>
          <w:p>
            <w:pPr>
              <w:jc w:val="center"/>
              <w:ind w:right="45"/>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4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1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jc w:val="center"/>
              <w:ind w:right="45"/>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960" w:type="dxa"/>
            <w:vAlign w:val="bottom"/>
            <w:tcBorders>
              <w:right w:val="single" w:sz="8" w:color="auto"/>
            </w:tcBorders>
          </w:tcPr>
          <w:p>
            <w:pPr>
              <w:jc w:val="center"/>
              <w:ind w:right="48"/>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960" w:type="dxa"/>
            <w:vAlign w:val="bottom"/>
            <w:tcBorders>
              <w:right w:val="single" w:sz="8" w:color="auto"/>
            </w:tcBorders>
          </w:tcPr>
          <w:p>
            <w:pPr>
              <w:jc w:val="center"/>
              <w:ind w:right="48"/>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960" w:type="dxa"/>
            <w:vAlign w:val="bottom"/>
            <w:tcBorders>
              <w:right w:val="single" w:sz="8" w:color="auto"/>
            </w:tcBorders>
          </w:tcPr>
          <w:p>
            <w:pPr>
              <w:jc w:val="center"/>
              <w:ind w:right="50"/>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1320" w:type="dxa"/>
            <w:vAlign w:val="bottom"/>
            <w:tcBorders>
              <w:right w:val="single" w:sz="8" w:color="auto"/>
            </w:tcBorders>
          </w:tcPr>
          <w:p>
            <w:pPr>
              <w:jc w:val="center"/>
              <w:ind w:right="48"/>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90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Sources</w:t>
            </w:r>
          </w:p>
        </w:tc>
        <w:tc>
          <w:tcPr>
            <w:tcW w:w="9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14" w:right="3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5"/>
          <w:szCs w:val="25"/>
          <w:color w:val="auto"/>
        </w:rPr>
        <w:t>BakerHostetler</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April 24, 2026</w:t>
      </w:r>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Bloomin’ Brands, Inc.</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2202 North West Shore Boulevard, Suite 500</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Tampa, Florida 33607</w:t>
      </w:r>
    </w:p>
    <w:p>
      <w:pPr>
        <w:spacing w:after="0" w:line="200" w:lineRule="exact"/>
        <w:rPr>
          <w:sz w:val="20"/>
          <w:szCs w:val="20"/>
          <w:color w:val="auto"/>
        </w:rPr>
      </w:pPr>
    </w:p>
    <w:p>
      <w:pPr>
        <w:spacing w:after="0" w:line="205" w:lineRule="exact"/>
        <w:rPr>
          <w:sz w:val="20"/>
          <w:szCs w:val="20"/>
          <w:color w:val="auto"/>
        </w:rPr>
      </w:pPr>
    </w:p>
    <w:p>
      <w:pPr>
        <w:ind w:left="40" w:right="4240"/>
        <w:spacing w:after="0" w:line="381" w:lineRule="auto"/>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0"/>
          <w:szCs w:val="20"/>
          <w:u w:val="single" w:color="auto"/>
          <w:color w:val="auto"/>
        </w:rPr>
        <w:t>Registration Statement on Form S-8; 4,965,000 shares of Common Stock, par value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$0.000001 per share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addressees set forth above: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We have acted as counsel to Bloomin’ Brands, Inc., a Delaware corporation (the “Company”), in connection with the proposed issuance of an aggregate of 4,965,000 additional shares of common stock, $0.01 par value per share (the “Shares”), of the Company, pursuant to the Company’s Amended &amp; Restated 2025 Omnibus Incentive Compensation Plan (the “Plan”). The Shares are included in a Registration Statement on Form S-8 under the Securities Act of 1933, as amended (the “Act”), filed with the Securities and Exchange Commission (the “Commission”) on April 24, 2026 (the “Registration Statement”). This opinion is being furnished in connection with the requirements of Item 601(b)(5) of Regulation S-K under the Act, and no opinion is expressed herein as to any matter pertaining to the contents of the Registration Statement or related prospectuses, other than as expressly stated herein with respect to the issuance of the Shares.</w:t>
      </w:r>
    </w:p>
    <w:p>
      <w:pPr>
        <w:spacing w:after="0" w:line="2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 In our examination, we have assumed the genuineness of all signatures, the authenticity of all documents submitted to us as originals and the conformity to authentic original documents of all documents submitted to us as copies.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Subject to the foregoing and the other matters set forth herein, it is our opinion that, as of the date hereof, subject to the Company completing all actions and proceedings required on its part to be taken prior to the issuance of the Shares, and when the Shares have been issued by the Company in the circumstances contemplated by the Plan for legal consideration in excess of par value, the issuance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ectPr>
          <w:pgSz w:w="11900" w:h="16838" w:orient="portrait"/>
          <w:cols w:equalWidth="0" w:num="1">
            <w:col w:w="11240"/>
          </w:cols>
          <w:pgMar w:left="320" w:top="114" w:right="339" w:bottom="1440" w:gutter="0" w:footer="0" w:header="0"/>
        </w:sectPr>
      </w:pPr>
    </w:p>
    <w:bookmarkStart w:id="8" w:name="page9"/>
    <w:bookmarkEnd w:id="8"/>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Baker &amp; Hostetler LLP</w:t>
      </w:r>
    </w:p>
    <w:p>
      <w:pPr>
        <w:sectPr>
          <w:pgSz w:w="11900" w:h="16838" w:orient="portrait"/>
          <w:cols w:equalWidth="0" w:num="1">
            <w:col w:w="11240"/>
          </w:cols>
          <w:pgMar w:left="320" w:top="886"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We hereby consent to the incorporation by reference in this Registration Statement on Form S-8 of Bloomin’ Brands, Inc. of our report dated February 25, 2026 relating to the financial statements and the effectiveness of internal control over financial reporting, which appears in Bloomin’ Brands, Inc.’s Annual Report on Form 10-K for the year ended December 28, 2025.</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Tampa, Florida</w:t>
      </w: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April 24, 2026</w:t>
      </w:r>
    </w:p>
    <w:sectPr>
      <w:pgSz w:w="11900" w:h="16838" w:orient="portrait"/>
      <w:cols w:equalWidth="0" w:num="1">
        <w:col w:w="11240"/>
      </w:cols>
      <w:pgMar w:left="320" w:top="9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07"/>
    </w:lvl>
  </w:abstractNum>
  <w:abstractNum w:abstractNumId="2">
    <w:nsid w:val="2AE8944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hyperlink" Target="https://www.sec.gov/ix?doc=/Archives/edgar/data/1546417/000154641726000009/blmn-20251228.htm" TargetMode="External"/><Relationship Id="rId19" Type="http://schemas.openxmlformats.org/officeDocument/2006/relationships/hyperlink" Target="https://www.sec.gov/ix?doc=/Archives/edgar/data/1546417/000154641726000002/blmn-20260211.htm" TargetMode="External"/><Relationship Id="rId20" Type="http://schemas.openxmlformats.org/officeDocument/2006/relationships/hyperlink" Target="https://www.sec.gov/ix?doc=/Archives/edgar/data/1546417/000154641726000004/blmn-20260210.htm" TargetMode="External"/><Relationship Id="rId21" Type="http://schemas.openxmlformats.org/officeDocument/2006/relationships/hyperlink" Target="https://www.sec.gov/ix?doc=/Archives/edgar/data/1546417/000154641726000019/blmn-20260422.htm" TargetMode="External"/><Relationship Id="rId22" Type="http://schemas.openxmlformats.org/officeDocument/2006/relationships/hyperlink" Target="https://www.sec.gov/Archives/edgar/data/1546417/000154641723000086/blmn-032623_ex41.htm" TargetMode="External"/><Relationship Id="rId23" Type="http://schemas.openxmlformats.org/officeDocument/2006/relationships/hyperlink" Target="https://www.sec.gov/Archives/edgar/data/1546417/000162828023012060/blmn-041923_ex31xfifthamen.htm" TargetMode="External"/><Relationship Id="rId24" Type="http://schemas.openxmlformats.org/officeDocument/2006/relationships/hyperlink" Target="https://www.sec.gov/Archives/edgar/data/1546417/000162828023012060/blmn-041923_ex32xfourthame.htm" TargetMode="External"/><Relationship Id="rId25" Type="http://schemas.openxmlformats.org/officeDocument/2006/relationships/hyperlink" Target="https://www.sec.gov/Archives/edgar/data/1546417/000119312512306157/d319863dex41.htm" TargetMode="External"/><Relationship Id="rId26" Type="http://schemas.openxmlformats.org/officeDocument/2006/relationships/hyperlink" Target="https://www.sec.gov/ix?doc=/Archives/edgar/data/1546417/000154641726000015/blmn-20260302.htm#i0e6f10cd1aca4eaa8365ea332d599b32_3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2026-04-24T07:12:22Z</dcterms:created>
  <dcterms:modified xsi:type="dcterms:W3CDTF">2026-04-24T07:12:22Z</dcterms:modified>
</cp:coreProperties>
</file>