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9161407.xml.htm"/>
      <w:bookmarkStart w:id="1" w:name="kswkform4a_17891614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Lefferts Kelly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2202 N. WEST SHORE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TAMPA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Bloomin' Brands, Inc.</w:t>
              </w:r>
            </w:hyperlink>
            <w:r>
              <w:rPr/>
              <w:t xml:space="preserve"> [ </w:t>
            </w:r>
            <w:r>
              <w:rPr>
                <w:rFonts w:ascii="Times;serif" w:hAnsi="Times;serif"/>
                <w:color w:val="0000FF"/>
                <w:sz w:val="24"/>
                <w:shd w:fill="FFFFFF" w:val="clear"/>
              </w:rPr>
              <w:t>BLMN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09/04/2026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893"/>
        <w:gridCol w:w="459"/>
        <w:gridCol w:w="673"/>
        <w:gridCol w:w="1202"/>
        <w:gridCol w:w="1003"/>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6,054</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9.93</w:t>
            </w:r>
          </w:p>
        </w:tc>
        <w:tc>
          <w:tcPr>
            <w:tcW w:w="12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126,935</w:t>
            </w:r>
            <w:r>
              <w:rPr>
                <w:rFonts w:ascii="Times;serif" w:hAnsi="Times;serif"/>
                <w:color w:val="008000"/>
                <w:position w:val="7"/>
                <w:sz w:val="16"/>
                <w:sz w:val="20"/>
                <w:shd w:fill="FFFFFF" w:val="clear"/>
              </w:rPr>
              <w:t>(1)</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4/A is filed to correct the number of shares withheld to satisfy tax withholding obligations in connection with the September 2, 2026 vesting of restricted stock units. This amendment reflects the corrected withholding amount and corresponding amount of Securities Beneficially Owned following the transaction after the original settlement was cancelled and reprocessed to reflect the reporting person's standing tax withholding election. All other information remains unchanged.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Allison Hicks,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0396" TargetMode="External"/><Relationship Id="rId5" Type="http://schemas.openxmlformats.org/officeDocument/2006/relationships/hyperlink" Target="http://www.sec.gov/cgi-bin/browse-edgar?action=getcompany&amp;CIK=00015464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639</Words>
  <Characters>3523</Characters>
  <CharactersWithSpaces>4093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