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0"/>
          <w:szCs w:val="20"/>
          <w:b w:val="1"/>
          <w:bCs w:val="1"/>
          <w:color w:val="auto"/>
        </w:rPr>
        <w:t>(Mark One)</w:t>
      </w:r>
    </w:p>
    <w:p>
      <w:pPr>
        <w:spacing w:after="0" w:line="54" w:lineRule="exact"/>
        <w:rPr>
          <w:sz w:val="24"/>
          <w:szCs w:val="24"/>
          <w:color w:val="auto"/>
        </w:rPr>
      </w:pPr>
    </w:p>
    <w:p>
      <w:pPr>
        <w:ind w:left="1700" w:right="860" w:hanging="796"/>
        <w:spacing w:after="0" w:line="267" w:lineRule="auto"/>
        <w:tabs>
          <w:tab w:leader="none" w:pos="170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7" w:lineRule="exact"/>
        <w:rPr>
          <w:rFonts w:ascii="Arial" w:cs="Arial" w:eastAsia="Arial" w:hAnsi="Arial"/>
          <w:sz w:val="20"/>
          <w:szCs w:val="20"/>
          <w:color w:val="auto"/>
        </w:rPr>
      </w:pPr>
    </w:p>
    <w:p>
      <w:pPr>
        <w:ind w:left="1700"/>
        <w:spacing w:after="0"/>
        <w:rPr>
          <w:rFonts w:ascii="Arial" w:cs="Arial" w:eastAsia="Arial" w:hAnsi="Arial"/>
          <w:sz w:val="20"/>
          <w:szCs w:val="20"/>
          <w:color w:val="auto"/>
        </w:rPr>
      </w:pPr>
      <w:r>
        <w:rPr>
          <w:rFonts w:ascii="Arial" w:cs="Arial" w:eastAsia="Arial" w:hAnsi="Arial"/>
          <w:sz w:val="20"/>
          <w:szCs w:val="20"/>
          <w:color w:val="auto"/>
        </w:rPr>
        <w:t>For the quarterly period ended September 30, 2018</w:t>
      </w:r>
    </w:p>
    <w:p>
      <w:pPr>
        <w:spacing w:after="0" w:line="54" w:lineRule="exact"/>
        <w:rPr>
          <w:sz w:val="24"/>
          <w:szCs w:val="24"/>
          <w:color w:val="auto"/>
        </w:rPr>
      </w:pPr>
    </w:p>
    <w:p>
      <w:pPr>
        <w:ind w:left="6180"/>
        <w:spacing w:after="0"/>
        <w:rPr>
          <w:sz w:val="20"/>
          <w:szCs w:val="20"/>
          <w:color w:val="auto"/>
        </w:rPr>
      </w:pPr>
      <w:r>
        <w:rPr>
          <w:rFonts w:ascii="Arial" w:cs="Arial" w:eastAsia="Arial" w:hAnsi="Arial"/>
          <w:sz w:val="20"/>
          <w:szCs w:val="20"/>
          <w:color w:val="auto"/>
        </w:rPr>
        <w:t>or</w:t>
      </w:r>
    </w:p>
    <w:p>
      <w:pPr>
        <w:spacing w:after="0" w:line="48" w:lineRule="exact"/>
        <w:rPr>
          <w:sz w:val="24"/>
          <w:szCs w:val="24"/>
          <w:color w:val="auto"/>
        </w:rPr>
      </w:pPr>
    </w:p>
    <w:p>
      <w:pPr>
        <w:ind w:left="1100" w:hanging="174"/>
        <w:spacing w:after="0"/>
        <w:tabs>
          <w:tab w:leader="none" w:pos="1100" w:val="left"/>
        </w:tabs>
        <w:numPr>
          <w:ilvl w:val="0"/>
          <w:numId w:val="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9"/>
          <w:szCs w:val="19"/>
          <w:b w:val="1"/>
          <w:bCs w:val="1"/>
          <w:color w:val="auto"/>
        </w:rPr>
        <w:t>TRANSITION REPORT PURSUANT TO SECTION 13 OR 15(d) OF THE SECURITIES EXCHANGE</w:t>
      </w:r>
    </w:p>
    <w:p>
      <w:pPr>
        <w:spacing w:after="0" w:line="21" w:lineRule="exact"/>
        <w:rPr>
          <w:rFonts w:ascii="Arial" w:cs="Arial" w:eastAsia="Arial" w:hAnsi="Arial"/>
          <w:sz w:val="20"/>
          <w:szCs w:val="20"/>
          <w:color w:val="auto"/>
        </w:rPr>
      </w:pPr>
    </w:p>
    <w:p>
      <w:pPr>
        <w:ind w:left="1700"/>
        <w:spacing w:after="0"/>
        <w:rPr>
          <w:rFonts w:ascii="Arial" w:cs="Arial" w:eastAsia="Arial" w:hAnsi="Arial"/>
          <w:sz w:val="20"/>
          <w:szCs w:val="20"/>
          <w:color w:val="auto"/>
        </w:rPr>
      </w:pPr>
      <w:r>
        <w:rPr>
          <w:rFonts w:ascii="Arial" w:cs="Arial" w:eastAsia="Arial" w:hAnsi="Arial"/>
          <w:sz w:val="20"/>
          <w:szCs w:val="20"/>
          <w:b w:val="1"/>
          <w:bCs w:val="1"/>
          <w:color w:val="auto"/>
        </w:rPr>
        <w:t>ACT OF 1934</w:t>
      </w:r>
    </w:p>
    <w:p>
      <w:pPr>
        <w:spacing w:after="0" w:line="38" w:lineRule="exact"/>
        <w:rPr>
          <w:sz w:val="24"/>
          <w:szCs w:val="24"/>
          <w:color w:val="auto"/>
        </w:rPr>
      </w:pPr>
    </w:p>
    <w:p>
      <w:pPr>
        <w:ind w:left="1700"/>
        <w:spacing w:after="0"/>
        <w:rPr>
          <w:sz w:val="20"/>
          <w:szCs w:val="20"/>
          <w:color w:val="auto"/>
        </w:rPr>
      </w:pPr>
      <w:r>
        <w:rPr>
          <w:rFonts w:ascii="Arial" w:cs="Arial" w:eastAsia="Arial" w:hAnsi="Arial"/>
          <w:sz w:val="20"/>
          <w:szCs w:val="20"/>
          <w:color w:val="auto"/>
        </w:rPr>
        <w:t>For the transition period from ______ to ______</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156210</wp:posOffset>
            </wp:positionV>
            <wp:extent cx="866140"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1380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BLOOMIN’ BRANDS, INC.</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380"/>
          </w:cols>
          <w:pgMar w:left="240" w:top="724" w:right="279" w:bottom="1440" w:gutter="0" w:footer="0" w:header="0"/>
        </w:sectPr>
      </w:pPr>
    </w:p>
    <w:p>
      <w:pPr>
        <w:spacing w:after="0" w:line="149" w:lineRule="exact"/>
        <w:rPr>
          <w:sz w:val="24"/>
          <w:szCs w:val="24"/>
          <w:color w:val="auto"/>
        </w:rPr>
      </w:pPr>
    </w:p>
    <w:p>
      <w:pPr>
        <w:ind w:left="25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20-8023465</w:t>
      </w:r>
    </w:p>
    <w:p>
      <w:pPr>
        <w:spacing w:after="0" w:line="113" w:lineRule="exact"/>
        <w:rPr>
          <w:sz w:val="24"/>
          <w:szCs w:val="24"/>
          <w:color w:val="auto"/>
        </w:rPr>
      </w:pPr>
    </w:p>
    <w:p>
      <w:pPr>
        <w:sectPr>
          <w:pgSz w:w="11900" w:h="16838" w:orient="portrait"/>
          <w:cols w:equalWidth="0" w:num="2">
            <w:col w:w="7420" w:space="720"/>
            <w:col w:w="3240"/>
          </w:cols>
          <w:pgMar w:left="240" w:top="724" w:right="279" w:bottom="1440" w:gutter="0" w:footer="0" w:header="0"/>
          <w:type w:val="continuous"/>
        </w:sectPr>
      </w:pPr>
    </w:p>
    <w:p>
      <w:pPr>
        <w:ind w:left="96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58" w:lineRule="exact"/>
        <w:rPr>
          <w:sz w:val="24"/>
          <w:szCs w:val="24"/>
          <w:color w:val="auto"/>
        </w:rPr>
      </w:pPr>
    </w:p>
    <w:p>
      <w:pPr>
        <w:sectPr>
          <w:pgSz w:w="11900" w:h="16838" w:orient="portrait"/>
          <w:cols w:equalWidth="0" w:num="2">
            <w:col w:w="6700" w:space="720"/>
            <w:col w:w="3960"/>
          </w:cols>
          <w:pgMar w:left="240" w:top="724" w:right="279" w:bottom="1440" w:gutter="0" w:footer="0" w:header="0"/>
          <w:type w:val="continuous"/>
        </w:sectPr>
      </w:pPr>
    </w:p>
    <w:p>
      <w:pPr>
        <w:jc w:val="center"/>
        <w:ind w:right="-59"/>
        <w:spacing w:after="0"/>
        <w:rPr>
          <w:sz w:val="20"/>
          <w:szCs w:val="20"/>
          <w:color w:val="auto"/>
        </w:rPr>
      </w:pPr>
      <w:r>
        <w:rPr>
          <w:rFonts w:ascii="Arial" w:cs="Arial" w:eastAsia="Arial" w:hAnsi="Arial"/>
          <w:sz w:val="20"/>
          <w:szCs w:val="20"/>
          <w:b w:val="1"/>
          <w:bCs w:val="1"/>
          <w:color w:val="auto"/>
        </w:rPr>
        <w:t>2202 North West Shore Boulevard, Suite 500, Tampa, Florida 33607</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194"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(813) 282-1225</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N/A</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3"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8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Large accelerated filer x Accelerated filer o Non-accelerated filer o</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Smaller reporting company o Emerging growth company o</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October 30, 2018, 91,901,387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24" w:right="279" w:bottom="1440" w:gutter="0" w:footer="0" w:header="0"/>
          <w:type w:val="continuous"/>
        </w:sectPr>
      </w:pPr>
    </w:p>
    <w:bookmarkStart w:id="1" w:name="page2"/>
    <w:bookmarkEnd w:id="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76"/>
        </w:trPr>
        <w:tc>
          <w:tcPr>
            <w:tcW w:w="10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gridSpan w:val="11"/>
          </w:tcPr>
          <w:p>
            <w:pPr>
              <w:jc w:val="center"/>
              <w:ind w:right="2520"/>
              <w:spacing w:after="0"/>
              <w:rPr>
                <w:sz w:val="20"/>
                <w:szCs w:val="20"/>
                <w:color w:val="auto"/>
              </w:rPr>
            </w:pPr>
            <w:r>
              <w:rPr>
                <w:rFonts w:ascii="Arial" w:cs="Arial" w:eastAsia="Arial" w:hAnsi="Arial"/>
                <w:sz w:val="20"/>
                <w:szCs w:val="20"/>
                <w:b w:val="1"/>
                <w:bCs w:val="1"/>
                <w:color w:val="auto"/>
                <w:w w:val="99"/>
              </w:rPr>
              <w:t>BLOOMIN’ BRANDS, INC.</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62"/>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00" w:type="dxa"/>
            <w:vAlign w:val="bottom"/>
            <w:gridSpan w:val="15"/>
          </w:tcPr>
          <w:p>
            <w:pPr>
              <w:jc w:val="center"/>
              <w:ind w:right="1520"/>
              <w:spacing w:after="0"/>
              <w:rPr>
                <w:sz w:val="20"/>
                <w:szCs w:val="20"/>
                <w:color w:val="auto"/>
              </w:rPr>
            </w:pPr>
            <w:r>
              <w:rPr>
                <w:rFonts w:ascii="Arial" w:cs="Arial" w:eastAsia="Arial" w:hAnsi="Arial"/>
                <w:sz w:val="20"/>
                <w:szCs w:val="20"/>
                <w:color w:val="auto"/>
                <w:w w:val="94"/>
              </w:rPr>
              <w:t>INDEX TO QUARTERLY REPORT ON FORM 10-Q</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700" w:type="dxa"/>
            <w:vAlign w:val="bottom"/>
            <w:gridSpan w:val="15"/>
          </w:tcPr>
          <w:p>
            <w:pPr>
              <w:jc w:val="center"/>
              <w:ind w:right="1520"/>
              <w:spacing w:after="0"/>
              <w:rPr>
                <w:sz w:val="20"/>
                <w:szCs w:val="20"/>
                <w:color w:val="auto"/>
              </w:rPr>
            </w:pPr>
            <w:r>
              <w:rPr>
                <w:rFonts w:ascii="Arial" w:cs="Arial" w:eastAsia="Arial" w:hAnsi="Arial"/>
                <w:sz w:val="20"/>
                <w:szCs w:val="20"/>
                <w:color w:val="auto"/>
                <w:w w:val="89"/>
              </w:rPr>
              <w:t>For the Quarterly Period Ended September 30, 2018</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0"/>
        </w:trPr>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20" w:type="dxa"/>
            <w:vAlign w:val="bottom"/>
            <w:gridSpan w:val="10"/>
          </w:tcPr>
          <w:p>
            <w:pPr>
              <w:jc w:val="center"/>
              <w:ind w:right="3380"/>
              <w:spacing w:after="0"/>
              <w:rPr>
                <w:sz w:val="20"/>
                <w:szCs w:val="20"/>
                <w:color w:val="auto"/>
              </w:rPr>
            </w:pPr>
            <w:r>
              <w:rPr>
                <w:rFonts w:ascii="Arial" w:cs="Arial" w:eastAsia="Arial" w:hAnsi="Arial"/>
                <w:sz w:val="20"/>
                <w:szCs w:val="20"/>
                <w:color w:val="auto"/>
                <w:w w:val="91"/>
              </w:rPr>
              <w:t>(Unaudited)</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46"/>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gridSpan w:val="11"/>
          </w:tcPr>
          <w:p>
            <w:pPr>
              <w:jc w:val="center"/>
              <w:ind w:right="2500"/>
              <w:spacing w:after="0"/>
              <w:rPr>
                <w:sz w:val="20"/>
                <w:szCs w:val="20"/>
                <w:color w:val="auto"/>
              </w:rPr>
            </w:pPr>
            <w:r>
              <w:rPr>
                <w:rFonts w:ascii="Arial" w:cs="Arial" w:eastAsia="Arial" w:hAnsi="Arial"/>
                <w:sz w:val="20"/>
                <w:szCs w:val="20"/>
                <w:color w:val="auto"/>
                <w:w w:val="94"/>
              </w:rPr>
              <w:t>TABLE OF CONTENTS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63"/>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00" w:type="dxa"/>
            <w:vAlign w:val="bottom"/>
            <w:gridSpan w:val="15"/>
          </w:tcPr>
          <w:p>
            <w:pPr>
              <w:jc w:val="center"/>
              <w:ind w:right="1960"/>
              <w:spacing w:after="0"/>
              <w:rPr>
                <w:rFonts w:ascii="Arial" w:cs="Arial" w:eastAsia="Arial" w:hAnsi="Arial"/>
                <w:sz w:val="20"/>
                <w:szCs w:val="20"/>
                <w:color w:val="0000FF"/>
                <w:w w:val="97"/>
              </w:rPr>
            </w:pPr>
            <w:hyperlink w:anchor="page3">
              <w:r>
                <w:rPr>
                  <w:rFonts w:ascii="Arial" w:cs="Arial" w:eastAsia="Arial" w:hAnsi="Arial"/>
                  <w:sz w:val="20"/>
                  <w:szCs w:val="20"/>
                  <w:color w:val="0000FF"/>
                  <w:w w:val="97"/>
                </w:rPr>
                <w:t>PART I — FINANCIAL INFORMATION</w:t>
              </w:r>
            </w:hyperlink>
          </w:p>
        </w:tc>
        <w:tc>
          <w:tcPr>
            <w:tcW w:w="1600" w:type="dxa"/>
            <w:vAlign w:val="bottom"/>
            <w:gridSpan w:val="3"/>
          </w:tcPr>
          <w:p>
            <w:pPr>
              <w:ind w:left="440"/>
              <w:spacing w:after="0"/>
              <w:rPr>
                <w:sz w:val="20"/>
                <w:szCs w:val="20"/>
                <w:color w:val="auto"/>
              </w:rPr>
            </w:pPr>
            <w:r>
              <w:rPr>
                <w:rFonts w:ascii="Arial" w:cs="Arial" w:eastAsia="Arial" w:hAnsi="Arial"/>
                <w:sz w:val="20"/>
                <w:szCs w:val="20"/>
                <w:color w:val="auto"/>
              </w:rPr>
              <w:t>Page No.</w:t>
            </w:r>
          </w:p>
        </w:tc>
      </w:tr>
      <w:tr>
        <w:trPr>
          <w:trHeight w:val="55"/>
        </w:trPr>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338"/>
        </w:trPr>
        <w:tc>
          <w:tcPr>
            <w:tcW w:w="1020" w:type="dxa"/>
            <w:vAlign w:val="bottom"/>
          </w:tcPr>
          <w:p>
            <w:pPr>
              <w:ind w:left="40"/>
              <w:spacing w:after="0"/>
              <w:rPr>
                <w:sz w:val="20"/>
                <w:szCs w:val="20"/>
                <w:color w:val="auto"/>
              </w:rPr>
            </w:pPr>
            <w:r>
              <w:rPr>
                <w:rFonts w:ascii="Arial" w:cs="Arial" w:eastAsia="Arial" w:hAnsi="Arial"/>
                <w:sz w:val="20"/>
                <w:szCs w:val="20"/>
                <w:color w:val="auto"/>
              </w:rPr>
              <w:t>Item 1.</w:t>
            </w:r>
          </w:p>
        </w:tc>
        <w:tc>
          <w:tcPr>
            <w:tcW w:w="160" w:type="dxa"/>
            <w:vAlign w:val="bottom"/>
          </w:tcPr>
          <w:p>
            <w:pPr>
              <w:spacing w:after="0"/>
              <w:rPr>
                <w:sz w:val="24"/>
                <w:szCs w:val="24"/>
                <w:color w:val="auto"/>
              </w:rPr>
            </w:pPr>
          </w:p>
        </w:tc>
        <w:tc>
          <w:tcPr>
            <w:tcW w:w="8640" w:type="dxa"/>
            <w:vAlign w:val="bottom"/>
            <w:gridSpan w:val="22"/>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Financial Statements (Unaudited)</w:t>
              </w:r>
            </w:hyperlink>
          </w:p>
        </w:tc>
        <w:tc>
          <w:tcPr>
            <w:tcW w:w="860" w:type="dxa"/>
            <w:vAlign w:val="bottom"/>
            <w:gridSpan w:val="2"/>
          </w:tcPr>
          <w:p>
            <w:pPr>
              <w:jc w:val="center"/>
              <w:ind w:left="661"/>
              <w:spacing w:after="0"/>
              <w:rPr>
                <w:rFonts w:ascii="Arial" w:cs="Arial" w:eastAsia="Arial" w:hAnsi="Arial"/>
                <w:sz w:val="20"/>
                <w:szCs w:val="20"/>
                <w:color w:val="0000EE"/>
                <w:w w:val="89"/>
              </w:rPr>
            </w:pPr>
            <w:hyperlink w:anchor="page3">
              <w:r>
                <w:rPr>
                  <w:rFonts w:ascii="Arial" w:cs="Arial" w:eastAsia="Arial" w:hAnsi="Arial"/>
                  <w:sz w:val="20"/>
                  <w:szCs w:val="20"/>
                  <w:color w:val="0000EE"/>
                  <w:w w:val="89"/>
                </w:rPr>
                <w:t>3</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gridSpan w:val="22"/>
          </w:tcPr>
          <w:p>
            <w:pPr>
              <w:ind w:left="140"/>
              <w:spacing w:after="0"/>
              <w:rPr>
                <w:rFonts w:ascii="Arial" w:cs="Arial" w:eastAsia="Arial" w:hAnsi="Arial"/>
                <w:sz w:val="20"/>
                <w:szCs w:val="20"/>
                <w:color w:val="0000EE"/>
              </w:rPr>
            </w:pPr>
            <w:hyperlink w:anchor="page3">
              <w:r>
                <w:rPr>
                  <w:rFonts w:ascii="Arial" w:cs="Arial" w:eastAsia="Arial" w:hAnsi="Arial"/>
                  <w:sz w:val="20"/>
                  <w:szCs w:val="20"/>
                  <w:color w:val="0000EE"/>
                </w:rPr>
                <w:t>Consolidated Financial Statements:</w:t>
              </w:r>
            </w:hyperlink>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20" w:type="dxa"/>
            <w:vAlign w:val="bottom"/>
            <w:gridSpan w:val="15"/>
          </w:tcPr>
          <w:p>
            <w:pPr>
              <w:spacing w:after="0"/>
              <w:rPr>
                <w:rFonts w:ascii="Arial" w:cs="Arial" w:eastAsia="Arial" w:hAnsi="Arial"/>
                <w:sz w:val="20"/>
                <w:szCs w:val="20"/>
                <w:color w:val="0000EE"/>
                <w:w w:val="87"/>
              </w:rPr>
            </w:pPr>
            <w:hyperlink w:anchor="page3">
              <w:r>
                <w:rPr>
                  <w:rFonts w:ascii="Arial" w:cs="Arial" w:eastAsia="Arial" w:hAnsi="Arial"/>
                  <w:sz w:val="20"/>
                  <w:szCs w:val="20"/>
                  <w:color w:val="0000EE"/>
                  <w:w w:val="87"/>
                </w:rPr>
                <w:t>Consolidated Balance Sheets — September 30, 2018 and December 31, 2017</w:t>
              </w:r>
            </w:hyperlink>
          </w:p>
        </w:tc>
        <w:tc>
          <w:tcPr>
            <w:tcW w:w="2160" w:type="dxa"/>
            <w:vAlign w:val="bottom"/>
            <w:gridSpan w:val="5"/>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3">
              <w:r>
                <w:rPr>
                  <w:rFonts w:ascii="Arial" w:cs="Arial" w:eastAsia="Arial" w:hAnsi="Arial"/>
                  <w:sz w:val="20"/>
                  <w:szCs w:val="20"/>
                  <w:color w:val="0000EE"/>
                  <w:w w:val="89"/>
                </w:rPr>
                <w:t>3</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80" w:type="dxa"/>
            <w:vAlign w:val="bottom"/>
            <w:gridSpan w:val="20"/>
          </w:tcPr>
          <w:p>
            <w:pPr>
              <w:spacing w:after="0"/>
              <w:rPr>
                <w:rFonts w:ascii="Arial" w:cs="Arial" w:eastAsia="Arial" w:hAnsi="Arial"/>
                <w:sz w:val="20"/>
                <w:szCs w:val="20"/>
                <w:color w:val="0000EE"/>
              </w:rPr>
            </w:pPr>
            <w:hyperlink w:anchor="page4">
              <w:r>
                <w:rPr>
                  <w:rFonts w:ascii="Arial" w:cs="Arial" w:eastAsia="Arial" w:hAnsi="Arial"/>
                  <w:sz w:val="20"/>
                  <w:szCs w:val="20"/>
                  <w:color w:val="0000EE"/>
                </w:rPr>
                <w:t>Consolidated Statements of Operations and Comprehensive (Loss) Income —</w:t>
              </w:r>
            </w:hyperlink>
          </w:p>
        </w:tc>
        <w:tc>
          <w:tcPr>
            <w:tcW w:w="860" w:type="dxa"/>
            <w:vAlign w:val="bottom"/>
            <w:gridSpan w:val="2"/>
          </w:tcPr>
          <w:p>
            <w:pPr>
              <w:jc w:val="center"/>
              <w:ind w:left="661"/>
              <w:spacing w:after="0"/>
              <w:rPr>
                <w:rFonts w:ascii="Arial" w:cs="Arial" w:eastAsia="Arial" w:hAnsi="Arial"/>
                <w:sz w:val="20"/>
                <w:szCs w:val="20"/>
                <w:color w:val="0000EE"/>
                <w:w w:val="89"/>
              </w:rPr>
            </w:pPr>
            <w:hyperlink w:anchor="page4">
              <w:r>
                <w:rPr>
                  <w:rFonts w:ascii="Arial" w:cs="Arial" w:eastAsia="Arial" w:hAnsi="Arial"/>
                  <w:sz w:val="20"/>
                  <w:szCs w:val="20"/>
                  <w:color w:val="0000EE"/>
                  <w:w w:val="89"/>
                </w:rPr>
                <w:t>4</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gridSpan w:val="20"/>
          </w:tcPr>
          <w:p>
            <w:pPr>
              <w:spacing w:after="0" w:line="209" w:lineRule="exact"/>
              <w:rPr>
                <w:rFonts w:ascii="Arial" w:cs="Arial" w:eastAsia="Arial" w:hAnsi="Arial"/>
                <w:sz w:val="20"/>
                <w:szCs w:val="20"/>
                <w:color w:val="0000EE"/>
                <w:w w:val="99"/>
              </w:rPr>
            </w:pPr>
            <w:hyperlink w:anchor="page4">
              <w:r>
                <w:rPr>
                  <w:rFonts w:ascii="Arial" w:cs="Arial" w:eastAsia="Arial" w:hAnsi="Arial"/>
                  <w:sz w:val="20"/>
                  <w:szCs w:val="20"/>
                  <w:color w:val="0000EE"/>
                  <w:w w:val="99"/>
                </w:rPr>
                <w:t>For the Thirteen and Thirty-Nine Weeks Ended September 30, 2018 and September 24, 2017</w:t>
              </w:r>
            </w:hyperlink>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Borders>
              <w:top w:val="single" w:sz="8" w:color="0000EE"/>
            </w:tcBorders>
            <w:gridSpan w:val="12"/>
          </w:tcPr>
          <w:p>
            <w:pPr>
              <w:spacing w:after="0"/>
              <w:rPr>
                <w:rFonts w:ascii="Arial" w:cs="Arial" w:eastAsia="Arial" w:hAnsi="Arial"/>
                <w:sz w:val="20"/>
                <w:szCs w:val="20"/>
                <w:color w:val="0000EE"/>
                <w:w w:val="89"/>
              </w:rPr>
            </w:pPr>
            <w:hyperlink w:anchor="page5">
              <w:r>
                <w:rPr>
                  <w:rFonts w:ascii="Arial" w:cs="Arial" w:eastAsia="Arial" w:hAnsi="Arial"/>
                  <w:sz w:val="20"/>
                  <w:szCs w:val="20"/>
                  <w:color w:val="0000EE"/>
                  <w:w w:val="89"/>
                </w:rPr>
                <w:t>Consolidated Statements of Changes in Stockholders’ Equity —</w:t>
              </w:r>
            </w:hyperlink>
          </w:p>
        </w:tc>
        <w:tc>
          <w:tcPr>
            <w:tcW w:w="2260" w:type="dxa"/>
            <w:vAlign w:val="bottom"/>
            <w:tcBorders>
              <w:top w:val="single" w:sz="8" w:color="0000EE"/>
            </w:tcBorders>
            <w:gridSpan w:val="7"/>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5">
              <w:r>
                <w:rPr>
                  <w:rFonts w:ascii="Arial" w:cs="Arial" w:eastAsia="Arial" w:hAnsi="Arial"/>
                  <w:sz w:val="20"/>
                  <w:szCs w:val="20"/>
                  <w:color w:val="0000EE"/>
                  <w:w w:val="89"/>
                </w:rPr>
                <w:t>5</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00" w:type="dxa"/>
            <w:vAlign w:val="bottom"/>
            <w:tcBorders>
              <w:bottom w:val="single" w:sz="8" w:color="0000EE"/>
            </w:tcBorders>
            <w:gridSpan w:val="17"/>
          </w:tcPr>
          <w:p>
            <w:pPr>
              <w:spacing w:after="0" w:line="209" w:lineRule="exact"/>
              <w:rPr>
                <w:rFonts w:ascii="Arial" w:cs="Arial" w:eastAsia="Arial" w:hAnsi="Arial"/>
                <w:sz w:val="20"/>
                <w:szCs w:val="20"/>
                <w:color w:val="0000EE"/>
                <w:w w:val="88"/>
              </w:rPr>
            </w:pPr>
            <w:hyperlink w:anchor="page5">
              <w:r>
                <w:rPr>
                  <w:rFonts w:ascii="Arial" w:cs="Arial" w:eastAsia="Arial" w:hAnsi="Arial"/>
                  <w:sz w:val="20"/>
                  <w:szCs w:val="20"/>
                  <w:color w:val="0000EE"/>
                  <w:w w:val="88"/>
                </w:rPr>
                <w:t>For the Thirty-Nine Weeks Ended September 30, 2018 and September 24, 2017</w:t>
              </w:r>
            </w:hyperlink>
          </w:p>
        </w:tc>
        <w:tc>
          <w:tcPr>
            <w:tcW w:w="1980" w:type="dxa"/>
            <w:vAlign w:val="bottom"/>
            <w:gridSpan w:val="3"/>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11"/>
          </w:tcPr>
          <w:p>
            <w:pPr>
              <w:spacing w:after="0"/>
              <w:rPr>
                <w:rFonts w:ascii="Arial" w:cs="Arial" w:eastAsia="Arial" w:hAnsi="Arial"/>
                <w:sz w:val="20"/>
                <w:szCs w:val="20"/>
                <w:color w:val="0000EE"/>
                <w:w w:val="88"/>
              </w:rPr>
            </w:pPr>
            <w:hyperlink w:anchor="page7">
              <w:r>
                <w:rPr>
                  <w:rFonts w:ascii="Arial" w:cs="Arial" w:eastAsia="Arial" w:hAnsi="Arial"/>
                  <w:sz w:val="20"/>
                  <w:szCs w:val="20"/>
                  <w:color w:val="0000EE"/>
                  <w:w w:val="88"/>
                </w:rPr>
                <w:t>Condensed Consolidated Statements of Cash Flows —</w:t>
              </w:r>
            </w:hyperlink>
          </w:p>
        </w:tc>
        <w:tc>
          <w:tcPr>
            <w:tcW w:w="3900" w:type="dxa"/>
            <w:vAlign w:val="bottom"/>
            <w:gridSpan w:val="9"/>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7">
              <w:r>
                <w:rPr>
                  <w:rFonts w:ascii="Arial" w:cs="Arial" w:eastAsia="Arial" w:hAnsi="Arial"/>
                  <w:sz w:val="20"/>
                  <w:szCs w:val="20"/>
                  <w:color w:val="0000EE"/>
                  <w:w w:val="89"/>
                </w:rPr>
                <w:t>7</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00" w:type="dxa"/>
            <w:vAlign w:val="bottom"/>
            <w:tcBorders>
              <w:bottom w:val="single" w:sz="8" w:color="0000EE"/>
            </w:tcBorders>
            <w:gridSpan w:val="17"/>
          </w:tcPr>
          <w:p>
            <w:pPr>
              <w:spacing w:after="0" w:line="209" w:lineRule="exact"/>
              <w:rPr>
                <w:rFonts w:ascii="Arial" w:cs="Arial" w:eastAsia="Arial" w:hAnsi="Arial"/>
                <w:sz w:val="20"/>
                <w:szCs w:val="20"/>
                <w:color w:val="0000EE"/>
                <w:w w:val="88"/>
              </w:rPr>
            </w:pPr>
            <w:hyperlink w:anchor="page7">
              <w:r>
                <w:rPr>
                  <w:rFonts w:ascii="Arial" w:cs="Arial" w:eastAsia="Arial" w:hAnsi="Arial"/>
                  <w:sz w:val="20"/>
                  <w:szCs w:val="20"/>
                  <w:color w:val="0000EE"/>
                  <w:w w:val="88"/>
                </w:rPr>
                <w:t>For the Thirty-Nine Weeks Ended September 30, 2018 and September 24, 2017</w:t>
              </w:r>
            </w:hyperlink>
          </w:p>
        </w:tc>
        <w:tc>
          <w:tcPr>
            <w:tcW w:w="1980" w:type="dxa"/>
            <w:vAlign w:val="bottom"/>
            <w:gridSpan w:val="3"/>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gridSpan w:val="10"/>
          </w:tcPr>
          <w:p>
            <w:pPr>
              <w:spacing w:after="0"/>
              <w:rPr>
                <w:rFonts w:ascii="Arial" w:cs="Arial" w:eastAsia="Arial" w:hAnsi="Arial"/>
                <w:sz w:val="20"/>
                <w:szCs w:val="20"/>
                <w:color w:val="0000EE"/>
                <w:w w:val="88"/>
              </w:rPr>
            </w:pPr>
            <w:hyperlink w:anchor="page9">
              <w:r>
                <w:rPr>
                  <w:rFonts w:ascii="Arial" w:cs="Arial" w:eastAsia="Arial" w:hAnsi="Arial"/>
                  <w:sz w:val="20"/>
                  <w:szCs w:val="20"/>
                  <w:color w:val="0000EE"/>
                  <w:w w:val="88"/>
                </w:rPr>
                <w:t>Notes to Consolidated Financial Statements</w:t>
              </w:r>
            </w:hyperlink>
          </w:p>
        </w:tc>
        <w:tc>
          <w:tcPr>
            <w:tcW w:w="4820" w:type="dxa"/>
            <w:vAlign w:val="bottom"/>
            <w:gridSpan w:val="10"/>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9">
              <w:r>
                <w:rPr>
                  <w:rFonts w:ascii="Arial" w:cs="Arial" w:eastAsia="Arial" w:hAnsi="Arial"/>
                  <w:sz w:val="20"/>
                  <w:szCs w:val="20"/>
                  <w:color w:val="0000EE"/>
                  <w:w w:val="89"/>
                </w:rPr>
                <w:t>9</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2.</w:t>
            </w:r>
          </w:p>
        </w:tc>
        <w:tc>
          <w:tcPr>
            <w:tcW w:w="160" w:type="dxa"/>
            <w:vAlign w:val="bottom"/>
          </w:tcPr>
          <w:p>
            <w:pPr>
              <w:spacing w:after="0"/>
              <w:rPr>
                <w:sz w:val="24"/>
                <w:szCs w:val="24"/>
                <w:color w:val="auto"/>
              </w:rPr>
            </w:pPr>
          </w:p>
        </w:tc>
        <w:tc>
          <w:tcPr>
            <w:tcW w:w="8640" w:type="dxa"/>
            <w:vAlign w:val="bottom"/>
            <w:gridSpan w:val="22"/>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Management’s Discussion and Analysis of Financial Condition and Results of Operations</w:t>
              </w:r>
            </w:hyperlink>
          </w:p>
        </w:tc>
        <w:tc>
          <w:tcPr>
            <w:tcW w:w="1600" w:type="dxa"/>
            <w:vAlign w:val="bottom"/>
            <w:gridSpan w:val="3"/>
          </w:tcPr>
          <w:p>
            <w:pPr>
              <w:jc w:val="center"/>
              <w:spacing w:after="0"/>
              <w:rPr>
                <w:rFonts w:ascii="Arial" w:cs="Arial" w:eastAsia="Arial" w:hAnsi="Arial"/>
                <w:sz w:val="20"/>
                <w:szCs w:val="20"/>
                <w:color w:val="0000EE"/>
                <w:w w:val="89"/>
              </w:rPr>
            </w:pPr>
            <w:hyperlink w:anchor="page30">
              <w:r>
                <w:rPr>
                  <w:rFonts w:ascii="Arial" w:cs="Arial" w:eastAsia="Arial" w:hAnsi="Arial"/>
                  <w:sz w:val="20"/>
                  <w:szCs w:val="20"/>
                  <w:color w:val="0000EE"/>
                  <w:w w:val="89"/>
                </w:rPr>
                <w:t>30</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3.</w:t>
            </w:r>
          </w:p>
        </w:tc>
        <w:tc>
          <w:tcPr>
            <w:tcW w:w="160" w:type="dxa"/>
            <w:vAlign w:val="bottom"/>
          </w:tcPr>
          <w:p>
            <w:pPr>
              <w:spacing w:after="0"/>
              <w:rPr>
                <w:sz w:val="24"/>
                <w:szCs w:val="24"/>
                <w:color w:val="auto"/>
              </w:rPr>
            </w:pPr>
          </w:p>
        </w:tc>
        <w:tc>
          <w:tcPr>
            <w:tcW w:w="4740" w:type="dxa"/>
            <w:vAlign w:val="bottom"/>
            <w:gridSpan w:val="13"/>
          </w:tcPr>
          <w:p>
            <w:pPr>
              <w:spacing w:after="0"/>
              <w:rPr>
                <w:rFonts w:ascii="Arial" w:cs="Arial" w:eastAsia="Arial" w:hAnsi="Arial"/>
                <w:sz w:val="20"/>
                <w:szCs w:val="20"/>
                <w:color w:val="0000EE"/>
                <w:w w:val="89"/>
              </w:rPr>
            </w:pPr>
            <w:hyperlink w:anchor="page52">
              <w:r>
                <w:rPr>
                  <w:rFonts w:ascii="Arial" w:cs="Arial" w:eastAsia="Arial" w:hAnsi="Arial"/>
                  <w:sz w:val="20"/>
                  <w:szCs w:val="20"/>
                  <w:color w:val="0000EE"/>
                  <w:w w:val="89"/>
                </w:rPr>
                <w:t>Quantitative and Qualitative Disclosures About Market Risk</w:t>
              </w:r>
            </w:hyperlink>
          </w:p>
        </w:tc>
        <w:tc>
          <w:tcPr>
            <w:tcW w:w="2360" w:type="dxa"/>
            <w:vAlign w:val="bottom"/>
            <w:gridSpan w:val="7"/>
          </w:tcPr>
          <w:p>
            <w:pPr>
              <w:spacing w:after="0"/>
              <w:rPr>
                <w:sz w:val="24"/>
                <w:szCs w:val="24"/>
                <w:color w:val="auto"/>
              </w:rPr>
            </w:pPr>
          </w:p>
        </w:tc>
        <w:tc>
          <w:tcPr>
            <w:tcW w:w="154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52">
              <w:r>
                <w:rPr>
                  <w:rFonts w:ascii="Arial" w:cs="Arial" w:eastAsia="Arial" w:hAnsi="Arial"/>
                  <w:sz w:val="16"/>
                  <w:szCs w:val="16"/>
                  <w:color w:val="0000EE"/>
                  <w:w w:val="78"/>
                </w:rPr>
                <w:t>52</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4.</w:t>
            </w:r>
          </w:p>
        </w:tc>
        <w:tc>
          <w:tcPr>
            <w:tcW w:w="160" w:type="dxa"/>
            <w:vAlign w:val="bottom"/>
          </w:tcPr>
          <w:p>
            <w:pPr>
              <w:spacing w:after="0"/>
              <w:rPr>
                <w:sz w:val="24"/>
                <w:szCs w:val="24"/>
                <w:color w:val="auto"/>
              </w:rPr>
            </w:pPr>
          </w:p>
        </w:tc>
        <w:tc>
          <w:tcPr>
            <w:tcW w:w="4740" w:type="dxa"/>
            <w:vAlign w:val="bottom"/>
            <w:gridSpan w:val="13"/>
          </w:tcPr>
          <w:p>
            <w:pPr>
              <w:spacing w:after="0"/>
              <w:rPr>
                <w:rFonts w:ascii="Arial" w:cs="Arial" w:eastAsia="Arial" w:hAnsi="Arial"/>
                <w:sz w:val="20"/>
                <w:szCs w:val="20"/>
                <w:color w:val="0000FF"/>
              </w:rPr>
            </w:pPr>
            <w:hyperlink w:anchor="page52">
              <w:r>
                <w:rPr>
                  <w:rFonts w:ascii="Arial" w:cs="Arial" w:eastAsia="Arial" w:hAnsi="Arial"/>
                  <w:sz w:val="20"/>
                  <w:szCs w:val="20"/>
                  <w:color w:val="0000FF"/>
                </w:rPr>
                <w:t>Controls and Procedures</w:t>
              </w:r>
            </w:hyperlink>
          </w:p>
        </w:tc>
        <w:tc>
          <w:tcPr>
            <w:tcW w:w="3900" w:type="dxa"/>
            <w:vAlign w:val="bottom"/>
            <w:gridSpan w:val="9"/>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52">
              <w:r>
                <w:rPr>
                  <w:rFonts w:ascii="Arial" w:cs="Arial" w:eastAsia="Arial" w:hAnsi="Arial"/>
                  <w:sz w:val="16"/>
                  <w:szCs w:val="16"/>
                  <w:color w:val="0000EE"/>
                  <w:w w:val="78"/>
                </w:rPr>
                <w:t>52</w:t>
              </w:r>
            </w:hyperlink>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gridSpan w:val="12"/>
          </w:tcPr>
          <w:p>
            <w:pPr>
              <w:jc w:val="center"/>
              <w:ind w:right="2820"/>
              <w:spacing w:after="0"/>
              <w:rPr>
                <w:rFonts w:ascii="Arial" w:cs="Arial" w:eastAsia="Arial" w:hAnsi="Arial"/>
                <w:sz w:val="20"/>
                <w:szCs w:val="20"/>
                <w:color w:val="0000FF"/>
                <w:w w:val="95"/>
              </w:rPr>
            </w:pPr>
            <w:hyperlink w:anchor="page53">
              <w:r>
                <w:rPr>
                  <w:rFonts w:ascii="Arial" w:cs="Arial" w:eastAsia="Arial" w:hAnsi="Arial"/>
                  <w:sz w:val="20"/>
                  <w:szCs w:val="20"/>
                  <w:color w:val="0000FF"/>
                  <w:w w:val="95"/>
                </w:rPr>
                <w:t>PART II — OTHER INFORMATION</w:t>
              </w:r>
            </w:hyperlink>
          </w:p>
        </w:tc>
        <w:tc>
          <w:tcPr>
            <w:tcW w:w="7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r>
      <w:tr>
        <w:trPr>
          <w:trHeight w:val="264"/>
        </w:trPr>
        <w:tc>
          <w:tcPr>
            <w:tcW w:w="1020" w:type="dxa"/>
            <w:vAlign w:val="bottom"/>
          </w:tcPr>
          <w:p>
            <w:pPr>
              <w:ind w:left="40"/>
              <w:spacing w:after="0"/>
              <w:rPr>
                <w:sz w:val="20"/>
                <w:szCs w:val="20"/>
                <w:color w:val="auto"/>
              </w:rPr>
            </w:pPr>
            <w:r>
              <w:rPr>
                <w:rFonts w:ascii="Arial" w:cs="Arial" w:eastAsia="Arial" w:hAnsi="Arial"/>
                <w:sz w:val="20"/>
                <w:szCs w:val="20"/>
                <w:color w:val="auto"/>
              </w:rPr>
              <w:t>Item 1.</w:t>
            </w:r>
          </w:p>
        </w:tc>
        <w:tc>
          <w:tcPr>
            <w:tcW w:w="160" w:type="dxa"/>
            <w:vAlign w:val="bottom"/>
          </w:tcPr>
          <w:p>
            <w:pPr>
              <w:spacing w:after="0"/>
              <w:rPr>
                <w:sz w:val="22"/>
                <w:szCs w:val="22"/>
                <w:color w:val="auto"/>
              </w:rPr>
            </w:pPr>
          </w:p>
        </w:tc>
        <w:tc>
          <w:tcPr>
            <w:tcW w:w="1480" w:type="dxa"/>
            <w:vAlign w:val="bottom"/>
            <w:gridSpan w:val="6"/>
          </w:tcPr>
          <w:p>
            <w:pPr>
              <w:spacing w:after="0"/>
              <w:rPr>
                <w:rFonts w:ascii="Arial" w:cs="Arial" w:eastAsia="Arial" w:hAnsi="Arial"/>
                <w:sz w:val="20"/>
                <w:szCs w:val="20"/>
                <w:color w:val="0000FF"/>
                <w:w w:val="88"/>
              </w:rPr>
            </w:pPr>
            <w:hyperlink w:anchor="page53">
              <w:r>
                <w:rPr>
                  <w:rFonts w:ascii="Arial" w:cs="Arial" w:eastAsia="Arial" w:hAnsi="Arial"/>
                  <w:sz w:val="20"/>
                  <w:szCs w:val="20"/>
                  <w:color w:val="0000FF"/>
                  <w:w w:val="88"/>
                </w:rPr>
                <w:t>Legal Proceedings</w:t>
              </w:r>
            </w:hyperlink>
          </w:p>
        </w:tc>
        <w:tc>
          <w:tcPr>
            <w:tcW w:w="1320" w:type="dxa"/>
            <w:vAlign w:val="bottom"/>
            <w:gridSpan w:val="4"/>
          </w:tcPr>
          <w:p>
            <w:pPr>
              <w:spacing w:after="0"/>
              <w:rPr>
                <w:sz w:val="22"/>
                <w:szCs w:val="22"/>
                <w:color w:val="auto"/>
              </w:rPr>
            </w:pPr>
          </w:p>
        </w:tc>
        <w:tc>
          <w:tcPr>
            <w:tcW w:w="3020" w:type="dxa"/>
            <w:vAlign w:val="bottom"/>
            <w:tcBorders>
              <w:top w:val="single" w:sz="8" w:color="0000FF"/>
            </w:tcBorders>
            <w:gridSpan w:val="5"/>
          </w:tcPr>
          <w:p>
            <w:pPr>
              <w:spacing w:after="0"/>
              <w:rPr>
                <w:sz w:val="22"/>
                <w:szCs w:val="22"/>
                <w:color w:val="auto"/>
              </w:rPr>
            </w:pPr>
          </w:p>
        </w:tc>
        <w:tc>
          <w:tcPr>
            <w:tcW w:w="2820" w:type="dxa"/>
            <w:vAlign w:val="bottom"/>
            <w:gridSpan w:val="7"/>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53">
              <w:r>
                <w:rPr>
                  <w:rFonts w:ascii="Arial" w:cs="Arial" w:eastAsia="Arial" w:hAnsi="Arial"/>
                  <w:sz w:val="16"/>
                  <w:szCs w:val="16"/>
                  <w:color w:val="0000EE"/>
                  <w:w w:val="78"/>
                </w:rPr>
                <w:t>53</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1A.</w:t>
            </w:r>
          </w:p>
        </w:tc>
        <w:tc>
          <w:tcPr>
            <w:tcW w:w="16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20"/>
                <w:szCs w:val="20"/>
                <w:color w:val="0000FF"/>
                <w:w w:val="88"/>
              </w:rPr>
            </w:pPr>
            <w:hyperlink w:anchor="page53">
              <w:r>
                <w:rPr>
                  <w:rFonts w:ascii="Arial" w:cs="Arial" w:eastAsia="Arial" w:hAnsi="Arial"/>
                  <w:sz w:val="20"/>
                  <w:szCs w:val="20"/>
                  <w:color w:val="0000FF"/>
                  <w:w w:val="88"/>
                </w:rPr>
                <w:t>Risk Factors</w:t>
              </w:r>
            </w:hyperlink>
          </w:p>
        </w:tc>
        <w:tc>
          <w:tcPr>
            <w:tcW w:w="480" w:type="dxa"/>
            <w:vAlign w:val="bottom"/>
          </w:tcPr>
          <w:p>
            <w:pPr>
              <w:spacing w:after="0"/>
              <w:rPr>
                <w:sz w:val="24"/>
                <w:szCs w:val="24"/>
                <w:color w:val="auto"/>
              </w:rPr>
            </w:pPr>
          </w:p>
        </w:tc>
        <w:tc>
          <w:tcPr>
            <w:tcW w:w="7160" w:type="dxa"/>
            <w:vAlign w:val="bottom"/>
            <w:gridSpan w:val="16"/>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53">
              <w:r>
                <w:rPr>
                  <w:rFonts w:ascii="Arial" w:cs="Arial" w:eastAsia="Arial" w:hAnsi="Arial"/>
                  <w:sz w:val="16"/>
                  <w:szCs w:val="16"/>
                  <w:color w:val="0000EE"/>
                  <w:w w:val="78"/>
                </w:rPr>
                <w:t>53</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2.</w:t>
            </w:r>
          </w:p>
        </w:tc>
        <w:tc>
          <w:tcPr>
            <w:tcW w:w="160" w:type="dxa"/>
            <w:vAlign w:val="bottom"/>
          </w:tcPr>
          <w:p>
            <w:pPr>
              <w:spacing w:after="0"/>
              <w:rPr>
                <w:sz w:val="24"/>
                <w:szCs w:val="24"/>
                <w:color w:val="auto"/>
              </w:rPr>
            </w:pPr>
          </w:p>
        </w:tc>
        <w:tc>
          <w:tcPr>
            <w:tcW w:w="8640" w:type="dxa"/>
            <w:vAlign w:val="bottom"/>
            <w:gridSpan w:val="22"/>
          </w:tcPr>
          <w:p>
            <w:pPr>
              <w:spacing w:after="0"/>
              <w:rPr>
                <w:rFonts w:ascii="Arial" w:cs="Arial" w:eastAsia="Arial" w:hAnsi="Arial"/>
                <w:sz w:val="20"/>
                <w:szCs w:val="20"/>
                <w:color w:val="0000FF"/>
              </w:rPr>
            </w:pPr>
            <w:hyperlink w:anchor="page53">
              <w:r>
                <w:rPr>
                  <w:rFonts w:ascii="Arial" w:cs="Arial" w:eastAsia="Arial" w:hAnsi="Arial"/>
                  <w:sz w:val="20"/>
                  <w:szCs w:val="20"/>
                  <w:color w:val="0000FF"/>
                </w:rPr>
                <w:t>Unregistered Sales of Equity Securities and Use of Proceeds</w:t>
              </w:r>
            </w:hyperlink>
          </w:p>
        </w:tc>
        <w:tc>
          <w:tcPr>
            <w:tcW w:w="1600" w:type="dxa"/>
            <w:vAlign w:val="bottom"/>
            <w:gridSpan w:val="3"/>
          </w:tcPr>
          <w:p>
            <w:pPr>
              <w:jc w:val="center"/>
              <w:spacing w:after="0"/>
              <w:rPr>
                <w:rFonts w:ascii="Arial" w:cs="Arial" w:eastAsia="Arial" w:hAnsi="Arial"/>
                <w:sz w:val="20"/>
                <w:szCs w:val="20"/>
                <w:color w:val="0000EE"/>
                <w:w w:val="89"/>
              </w:rPr>
            </w:pPr>
            <w:hyperlink w:anchor="page53">
              <w:r>
                <w:rPr>
                  <w:rFonts w:ascii="Arial" w:cs="Arial" w:eastAsia="Arial" w:hAnsi="Arial"/>
                  <w:sz w:val="20"/>
                  <w:szCs w:val="20"/>
                  <w:color w:val="0000EE"/>
                  <w:w w:val="89"/>
                </w:rPr>
                <w:t>53</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6.</w:t>
            </w:r>
          </w:p>
        </w:tc>
        <w:tc>
          <w:tcPr>
            <w:tcW w:w="160" w:type="dxa"/>
            <w:vAlign w:val="bottom"/>
          </w:tcPr>
          <w:p>
            <w:pPr>
              <w:spacing w:after="0"/>
              <w:rPr>
                <w:sz w:val="24"/>
                <w:szCs w:val="24"/>
                <w:color w:val="auto"/>
              </w:rPr>
            </w:pPr>
          </w:p>
        </w:tc>
        <w:tc>
          <w:tcPr>
            <w:tcW w:w="4740" w:type="dxa"/>
            <w:vAlign w:val="bottom"/>
            <w:gridSpan w:val="13"/>
          </w:tcPr>
          <w:p>
            <w:pPr>
              <w:spacing w:after="0"/>
              <w:rPr>
                <w:rFonts w:ascii="Arial" w:cs="Arial" w:eastAsia="Arial" w:hAnsi="Arial"/>
                <w:sz w:val="20"/>
                <w:szCs w:val="20"/>
                <w:color w:val="0000FF"/>
              </w:rPr>
            </w:pPr>
            <w:hyperlink w:anchor="page54">
              <w:r>
                <w:rPr>
                  <w:rFonts w:ascii="Arial" w:cs="Arial" w:eastAsia="Arial" w:hAnsi="Arial"/>
                  <w:sz w:val="20"/>
                  <w:szCs w:val="20"/>
                  <w:color w:val="0000FF"/>
                </w:rPr>
                <w:t>Exhibits</w:t>
              </w:r>
            </w:hyperlink>
          </w:p>
        </w:tc>
        <w:tc>
          <w:tcPr>
            <w:tcW w:w="3900" w:type="dxa"/>
            <w:vAlign w:val="bottom"/>
            <w:gridSpan w:val="9"/>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54">
              <w:r>
                <w:rPr>
                  <w:rFonts w:ascii="Arial" w:cs="Arial" w:eastAsia="Arial" w:hAnsi="Arial"/>
                  <w:sz w:val="16"/>
                  <w:szCs w:val="16"/>
                  <w:color w:val="0000EE"/>
                  <w:w w:val="78"/>
                </w:rPr>
                <w:t>54</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gridSpan w:val="18"/>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gridSpan w:val="22"/>
          </w:tcPr>
          <w:p>
            <w:pPr>
              <w:spacing w:after="0"/>
              <w:rPr>
                <w:rFonts w:ascii="Arial" w:cs="Arial" w:eastAsia="Arial" w:hAnsi="Arial"/>
                <w:sz w:val="20"/>
                <w:szCs w:val="20"/>
                <w:color w:val="0000FF"/>
              </w:rPr>
            </w:pPr>
            <w:hyperlink w:anchor="page55">
              <w:r>
                <w:rPr>
                  <w:rFonts w:ascii="Arial" w:cs="Arial" w:eastAsia="Arial" w:hAnsi="Arial"/>
                  <w:sz w:val="20"/>
                  <w:szCs w:val="20"/>
                  <w:color w:val="0000FF"/>
                </w:rPr>
                <w:t>Signature</w:t>
              </w:r>
            </w:hyperlink>
          </w:p>
        </w:tc>
        <w:tc>
          <w:tcPr>
            <w:tcW w:w="1600" w:type="dxa"/>
            <w:vAlign w:val="bottom"/>
            <w:gridSpan w:val="3"/>
          </w:tcPr>
          <w:p>
            <w:pPr>
              <w:jc w:val="center"/>
              <w:spacing w:after="0"/>
              <w:rPr>
                <w:rFonts w:ascii="Arial" w:cs="Arial" w:eastAsia="Arial" w:hAnsi="Arial"/>
                <w:sz w:val="20"/>
                <w:szCs w:val="20"/>
                <w:color w:val="0000EE"/>
                <w:w w:val="89"/>
              </w:rPr>
            </w:pPr>
            <w:hyperlink w:anchor="page55">
              <w:r>
                <w:rPr>
                  <w:rFonts w:ascii="Arial" w:cs="Arial" w:eastAsia="Arial" w:hAnsi="Arial"/>
                  <w:sz w:val="20"/>
                  <w:szCs w:val="20"/>
                  <w:color w:val="0000EE"/>
                  <w:w w:val="89"/>
                </w:rPr>
                <w:t>55</w:t>
              </w:r>
            </w:hyperlink>
          </w:p>
        </w:tc>
      </w:tr>
      <w:tr>
        <w:trPr>
          <w:trHeight w:val="50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4"/>
                <w:szCs w:val="24"/>
                <w:color w:val="auto"/>
              </w:rPr>
            </w:pPr>
          </w:p>
        </w:tc>
        <w:tc>
          <w:tcPr>
            <w:tcW w:w="3980" w:type="dxa"/>
            <w:vAlign w:val="bottom"/>
            <w:gridSpan w:val="9"/>
          </w:tcPr>
          <w:p>
            <w:pPr>
              <w:jc w:val="center"/>
              <w:ind w:left="3470"/>
              <w:spacing w:after="0"/>
              <w:rPr>
                <w:sz w:val="20"/>
                <w:szCs w:val="20"/>
                <w:color w:val="auto"/>
              </w:rPr>
            </w:pPr>
            <w:r>
              <w:rPr>
                <w:rFonts w:ascii="Arial" w:cs="Arial" w:eastAsia="Arial" w:hAnsi="Arial"/>
                <w:sz w:val="18"/>
                <w:szCs w:val="18"/>
                <w:color w:val="auto"/>
                <w:w w:val="99"/>
              </w:rPr>
              <w:t>2</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 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2018</w:t>
            </w:r>
          </w:p>
        </w:tc>
        <w:tc>
          <w:tcPr>
            <w:tcW w:w="180" w:type="dxa"/>
            <w:vAlign w:val="bottom"/>
          </w:tcPr>
          <w:p>
            <w:pPr>
              <w:spacing w:after="0"/>
              <w:rPr>
                <w:sz w:val="18"/>
                <w:szCs w:val="18"/>
                <w:color w:val="auto"/>
              </w:rPr>
            </w:pPr>
          </w:p>
        </w:tc>
        <w:tc>
          <w:tcPr>
            <w:tcW w:w="1740" w:type="dxa"/>
            <w:vAlign w:val="bottom"/>
          </w:tcPr>
          <w:p>
            <w:pPr>
              <w:jc w:val="right"/>
              <w:ind w:right="139"/>
              <w:spacing w:after="0"/>
              <w:rPr>
                <w:sz w:val="20"/>
                <w:szCs w:val="20"/>
                <w:color w:val="auto"/>
              </w:rPr>
            </w:pPr>
            <w:r>
              <w:rPr>
                <w:rFonts w:ascii="Arial" w:cs="Arial" w:eastAsia="Arial" w:hAnsi="Arial"/>
                <w:sz w:val="15"/>
                <w:szCs w:val="15"/>
                <w:b w:val="1"/>
                <w:bCs w:val="1"/>
                <w:color w:val="auto"/>
              </w:rPr>
              <w:t>DECEMBER 31, 2017</w:t>
            </w:r>
          </w:p>
        </w:tc>
        <w:tc>
          <w:tcPr>
            <w:tcW w:w="0" w:type="dxa"/>
            <w:vAlign w:val="bottom"/>
          </w:tcPr>
          <w:p>
            <w:pPr>
              <w:spacing w:after="0"/>
              <w:rPr>
                <w:sz w:val="1"/>
                <w:szCs w:val="1"/>
                <w:color w:val="auto"/>
              </w:rPr>
            </w:pPr>
          </w:p>
        </w:tc>
      </w:tr>
      <w:tr>
        <w:trPr>
          <w:trHeight w:val="237"/>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9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128,263</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6"/>
                <w:szCs w:val="16"/>
                <w:color w:val="auto"/>
              </w:rPr>
              <w:t>Current portion of restricted cash and cash equivalents</w:t>
            </w:r>
          </w:p>
        </w:tc>
        <w:tc>
          <w:tcPr>
            <w:tcW w:w="180" w:type="dxa"/>
            <w:vAlign w:val="bottom"/>
          </w:tcPr>
          <w:p>
            <w:pPr>
              <w:spacing w:after="0"/>
              <w:rPr>
                <w:sz w:val="20"/>
                <w:szCs w:val="20"/>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1,280</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51,264</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101,324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179,402</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228,454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360,209</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Property, fixtures and equipment, net</w:t>
            </w:r>
          </w:p>
        </w:tc>
        <w:tc>
          <w:tcPr>
            <w:tcW w:w="1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1,129,347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1,173,414</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291,822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310,234</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505,855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522,290</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60,486</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 net</w:t>
            </w:r>
          </w:p>
        </w:tc>
        <w:tc>
          <w:tcPr>
            <w:tcW w:w="1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119,080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135,261</w:t>
            </w: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2,350,794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2,561,894</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40"/>
              <w:spacing w:after="0"/>
              <w:rPr>
                <w:sz w:val="20"/>
                <w:szCs w:val="20"/>
                <w:color w:val="auto"/>
              </w:rPr>
            </w:pPr>
            <w:r>
              <w:rPr>
                <w:rFonts w:ascii="Arial" w:cs="Arial" w:eastAsia="Arial" w:hAnsi="Arial"/>
                <w:sz w:val="16"/>
                <w:szCs w:val="16"/>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163,738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185,461</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227,867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270,840</w:t>
            </w:r>
          </w:p>
        </w:tc>
        <w:tc>
          <w:tcPr>
            <w:tcW w:w="0" w:type="dxa"/>
            <w:vAlign w:val="bottom"/>
          </w:tcPr>
          <w:p>
            <w:pPr>
              <w:spacing w:after="0"/>
              <w:rPr>
                <w:sz w:val="1"/>
                <w:szCs w:val="1"/>
                <w:color w:val="auto"/>
              </w:rPr>
            </w:pPr>
          </w:p>
        </w:tc>
      </w:tr>
      <w:tr>
        <w:trPr>
          <w:trHeight w:val="224"/>
        </w:trPr>
        <w:tc>
          <w:tcPr>
            <w:tcW w:w="7320" w:type="dxa"/>
            <w:vAlign w:val="bottom"/>
          </w:tcPr>
          <w:p>
            <w:pPr>
              <w:ind w:left="180"/>
              <w:spacing w:after="0"/>
              <w:rPr>
                <w:sz w:val="20"/>
                <w:szCs w:val="20"/>
                <w:color w:val="auto"/>
              </w:rPr>
            </w:pPr>
            <w:r>
              <w:rPr>
                <w:rFonts w:ascii="Arial" w:cs="Arial" w:eastAsia="Arial" w:hAnsi="Arial"/>
                <w:sz w:val="16"/>
                <w:szCs w:val="16"/>
                <w:color w:val="auto"/>
              </w:rPr>
              <w:t>Unearned revenue</w:t>
            </w:r>
          </w:p>
        </w:tc>
        <w:tc>
          <w:tcPr>
            <w:tcW w:w="180" w:type="dxa"/>
            <w:vAlign w:val="bottom"/>
          </w:tcPr>
          <w:p>
            <w:pPr>
              <w:spacing w:after="0"/>
              <w:rPr>
                <w:sz w:val="19"/>
                <w:szCs w:val="19"/>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202,277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330,756</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26,767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26,335</w:t>
            </w:r>
          </w:p>
        </w:tc>
        <w:tc>
          <w:tcPr>
            <w:tcW w:w="0" w:type="dxa"/>
            <w:vAlign w:val="bottom"/>
          </w:tcPr>
          <w:p>
            <w:pPr>
              <w:spacing w:after="0"/>
              <w:rPr>
                <w:sz w:val="1"/>
                <w:szCs w:val="1"/>
                <w:color w:val="auto"/>
              </w:rPr>
            </w:pPr>
          </w:p>
        </w:tc>
      </w:tr>
      <w:tr>
        <w:trPr>
          <w:trHeight w:val="224"/>
        </w:trPr>
        <w:tc>
          <w:tcPr>
            <w:tcW w:w="732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9"/>
                <w:szCs w:val="19"/>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620,649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813,392</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rent</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165,702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160,047</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Deferred income tax liabilities</w:t>
            </w:r>
          </w:p>
        </w:tc>
        <w:tc>
          <w:tcPr>
            <w:tcW w:w="1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13,845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16,926</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1,124,024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1,091,769</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Long-term portion of deferred gain on sale-leaseback transactions, net</w:t>
            </w:r>
          </w:p>
        </w:tc>
        <w:tc>
          <w:tcPr>
            <w:tcW w:w="1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180,302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188,086</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 net</w:t>
            </w:r>
          </w:p>
        </w:tc>
        <w:tc>
          <w:tcPr>
            <w:tcW w:w="18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186,130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210,443</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2,290,652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2,480,663</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15)</w:t>
            </w:r>
          </w:p>
        </w:tc>
        <w:tc>
          <w:tcPr>
            <w:tcW w:w="1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Bloomin’ Brands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320" w:type="dxa"/>
            <w:vAlign w:val="bottom"/>
          </w:tcPr>
          <w:p>
            <w:pPr>
              <w:ind w:left="380"/>
              <w:spacing w:after="0"/>
              <w:rPr>
                <w:sz w:val="20"/>
                <w:szCs w:val="20"/>
                <w:color w:val="auto"/>
              </w:rPr>
            </w:pPr>
            <w:r>
              <w:rPr>
                <w:rFonts w:ascii="Arial" w:cs="Arial" w:eastAsia="Arial" w:hAnsi="Arial"/>
                <w:sz w:val="16"/>
                <w:szCs w:val="16"/>
                <w:color w:val="auto"/>
                <w:w w:val="94"/>
              </w:rPr>
              <w:t>Preferred stock, $0.01 par value, 25,000,000 shares authorized; no shares issued and outstanding as of</w:t>
            </w: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320" w:type="dxa"/>
            <w:vAlign w:val="bottom"/>
          </w:tcPr>
          <w:p>
            <w:pPr>
              <w:ind w:left="380"/>
              <w:spacing w:after="0"/>
              <w:rPr>
                <w:sz w:val="20"/>
                <w:szCs w:val="20"/>
                <w:color w:val="auto"/>
              </w:rPr>
            </w:pPr>
            <w:r>
              <w:rPr>
                <w:rFonts w:ascii="Arial" w:cs="Arial" w:eastAsia="Arial" w:hAnsi="Arial"/>
                <w:sz w:val="16"/>
                <w:szCs w:val="16"/>
                <w:color w:val="auto"/>
              </w:rPr>
              <w:t>September 30, 2018 and December 31, 2017</w:t>
            </w:r>
          </w:p>
        </w:tc>
        <w:tc>
          <w:tcPr>
            <w:tcW w:w="180" w:type="dxa"/>
            <w:vAlign w:val="bottom"/>
          </w:tcPr>
          <w:p>
            <w:pPr>
              <w:spacing w:after="0"/>
              <w:rPr>
                <w:sz w:val="17"/>
                <w:szCs w:val="17"/>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shd w:val="clear" w:color="auto" w:fill="CCEEFF"/>
              </w:rPr>
              <w:t>Common stock, $0.01 par value, 475,000,000 shares authorized; 91,853,854 and 91,912,546 shares issued</w:t>
            </w: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and outstanding as of September 30, 2018 and December 31, 2017,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1,108,636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1,081,813</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(915,925)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(913,191)</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(143,276)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(99,199)</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Bloomin’ Brands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70,342</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9,788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10,889</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60,142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81,231</w:t>
            </w:r>
          </w:p>
        </w:tc>
        <w:tc>
          <w:tcPr>
            <w:tcW w:w="0" w:type="dxa"/>
            <w:vAlign w:val="bottom"/>
          </w:tcPr>
          <w:p>
            <w:pPr>
              <w:spacing w:after="0"/>
              <w:rPr>
                <w:sz w:val="1"/>
                <w:szCs w:val="1"/>
                <w:color w:val="auto"/>
              </w:rPr>
            </w:pPr>
          </w:p>
        </w:tc>
      </w:tr>
      <w:tr>
        <w:trPr>
          <w:trHeight w:val="250"/>
        </w:trPr>
        <w:tc>
          <w:tcPr>
            <w:tcW w:w="7320" w:type="dxa"/>
            <w:vAlign w:val="bottom"/>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2,350,794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2,561,894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 INCOME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SEPTEMBER 24, 2017</w:t>
            </w:r>
          </w:p>
        </w:tc>
        <w:tc>
          <w:tcPr>
            <w:tcW w:w="12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24, 2017</w:t>
            </w:r>
          </w:p>
        </w:tc>
        <w:tc>
          <w:tcPr>
            <w:tcW w:w="0" w:type="dxa"/>
            <w:vAlign w:val="bottom"/>
          </w:tcPr>
          <w:p>
            <w:pPr>
              <w:spacing w:after="0"/>
              <w:rPr>
                <w:sz w:val="1"/>
                <w:szCs w:val="1"/>
                <w:color w:val="auto"/>
              </w:rPr>
            </w:pPr>
          </w:p>
        </w:tc>
      </w:tr>
      <w:tr>
        <w:trPr>
          <w:trHeight w:val="237"/>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949,400</w:t>
            </w:r>
          </w:p>
        </w:tc>
        <w:tc>
          <w:tcPr>
            <w:tcW w:w="12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940,012</w:t>
            </w:r>
          </w:p>
        </w:tc>
        <w:tc>
          <w:tcPr>
            <w:tcW w:w="480" w:type="dxa"/>
            <w:vAlign w:val="bottom"/>
            <w:gridSpan w:val="2"/>
          </w:tcPr>
          <w:p>
            <w:pPr>
              <w:jc w:val="right"/>
              <w:ind w:right="183"/>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3,063,887</w:t>
            </w:r>
          </w:p>
        </w:tc>
        <w:tc>
          <w:tcPr>
            <w:tcW w:w="560" w:type="dxa"/>
            <w:vAlign w:val="bottom"/>
            <w:gridSpan w:val="2"/>
          </w:tcPr>
          <w:p>
            <w:pPr>
              <w:jc w:val="right"/>
              <w:ind w:right="283"/>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3,105,027</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3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15,621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15,575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49,413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41,729</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revenues</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965,021</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955,587</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3,113,300</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3,146,756</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3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307,493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296,632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982,415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984,510</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Labor and other related</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289,023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285,325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902,006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907,580</w:t>
            </w:r>
          </w:p>
        </w:tc>
        <w:tc>
          <w:tcPr>
            <w:tcW w:w="0" w:type="dxa"/>
            <w:vAlign w:val="bottom"/>
          </w:tcPr>
          <w:p>
            <w:pPr>
              <w:spacing w:after="0"/>
              <w:rPr>
                <w:sz w:val="1"/>
                <w:szCs w:val="1"/>
                <w:color w:val="auto"/>
              </w:rPr>
            </w:pP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Other restaurant operating</w:t>
            </w:r>
          </w:p>
        </w:tc>
        <w:tc>
          <w:tcPr>
            <w:tcW w:w="3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233,744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235,944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725,468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735,480</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151,473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142,479</w:t>
            </w:r>
          </w:p>
        </w:tc>
        <w:tc>
          <w:tcPr>
            <w:tcW w:w="0" w:type="dxa"/>
            <w:vAlign w:val="bottom"/>
          </w:tcPr>
          <w:p>
            <w:pPr>
              <w:spacing w:after="0"/>
              <w:rPr>
                <w:sz w:val="1"/>
                <w:szCs w:val="1"/>
                <w:color w:val="auto"/>
              </w:rPr>
            </w:pP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67,691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66,063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212,516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215,059</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impaired assets and restaurant closings</w:t>
            </w:r>
          </w:p>
        </w:tc>
        <w:tc>
          <w:tcPr>
            <w:tcW w:w="3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3,962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18,578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15,590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38,253</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costs and expenses</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952,484</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950,368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2,989,468</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3,023,361</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12,537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123,832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123,395</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Loss on extinguishment and modification of debt</w:t>
            </w:r>
          </w:p>
        </w:tc>
        <w:tc>
          <w:tcPr>
            <w:tcW w:w="3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14,761</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 net</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(11,600)</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(33,229)</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(29,389)</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(benefit) provision for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90,597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108,507</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(3,317)</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(6,516)</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17,744</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97,113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90,763</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922</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244"/>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4,072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5,583</w:t>
            </w:r>
          </w:p>
        </w:tc>
        <w:tc>
          <w:tcPr>
            <w:tcW w:w="480" w:type="dxa"/>
            <w:vAlign w:val="bottom"/>
            <w:gridSpan w:val="2"/>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96,191</w:t>
            </w:r>
          </w:p>
        </w:tc>
        <w:tc>
          <w:tcPr>
            <w:tcW w:w="560" w:type="dxa"/>
            <w:vAlign w:val="bottom"/>
            <w:gridSpan w:val="2"/>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89,341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5,293</w:t>
            </w:r>
          </w:p>
        </w:tc>
        <w:tc>
          <w:tcPr>
            <w:tcW w:w="480" w:type="dxa"/>
            <w:vAlign w:val="bottom"/>
            <w:tcBorders>
              <w:bottom w:val="single" w:sz="8" w:color="CCEEFF"/>
            </w:tcBorders>
            <w:gridSpan w:val="2"/>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97,113</w:t>
            </w:r>
          </w:p>
        </w:tc>
        <w:tc>
          <w:tcPr>
            <w:tcW w:w="560" w:type="dxa"/>
            <w:vAlign w:val="bottom"/>
            <w:tcBorders>
              <w:bottom w:val="single" w:sz="8" w:color="CCEEFF"/>
            </w:tcBorders>
            <w:gridSpan w:val="2"/>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90,763</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17,770</w:t>
            </w:r>
          </w:p>
        </w:tc>
        <w:tc>
          <w:tcPr>
            <w:tcW w:w="0" w:type="dxa"/>
            <w:vAlign w:val="bottom"/>
          </w:tcPr>
          <w:p>
            <w:pPr>
              <w:spacing w:after="0"/>
              <w:rPr>
                <w:sz w:val="1"/>
                <w:szCs w:val="1"/>
                <w:color w:val="auto"/>
              </w:rPr>
            </w:pP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Unrealized gain (loss) on derivatives, net of tax</w:t>
            </w:r>
          </w:p>
        </w:tc>
        <w:tc>
          <w:tcPr>
            <w:tcW w:w="3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9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Reclassification of adjustment for (gain) loss on derivatives included in</w:t>
            </w:r>
          </w:p>
        </w:tc>
        <w:tc>
          <w:tcPr>
            <w:tcW w:w="38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1,919</w:t>
            </w:r>
          </w:p>
        </w:tc>
        <w:tc>
          <w:tcPr>
            <w:tcW w:w="0" w:type="dxa"/>
            <w:vAlign w:val="bottom"/>
          </w:tcPr>
          <w:p>
            <w:pPr>
              <w:spacing w:after="0"/>
              <w:rPr>
                <w:sz w:val="1"/>
                <w:szCs w:val="1"/>
                <w:color w:val="auto"/>
              </w:rPr>
            </w:pPr>
          </w:p>
        </w:tc>
      </w:tr>
      <w:tr>
        <w:trPr>
          <w:trHeight w:val="233"/>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net of tax</w:t>
            </w:r>
          </w:p>
        </w:tc>
        <w:tc>
          <w:tcPr>
            <w:tcW w:w="3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920" w:type="dxa"/>
            <w:vAlign w:val="bottom"/>
          </w:tcPr>
          <w:p>
            <w:pPr>
              <w:ind w:left="40"/>
              <w:spacing w:after="0"/>
              <w:rPr>
                <w:sz w:val="20"/>
                <w:szCs w:val="20"/>
                <w:color w:val="auto"/>
              </w:rPr>
            </w:pPr>
            <w:r>
              <w:rPr>
                <w:rFonts w:ascii="Arial" w:cs="Arial" w:eastAsia="Arial" w:hAnsi="Arial"/>
                <w:sz w:val="16"/>
                <w:szCs w:val="16"/>
                <w:color w:val="auto"/>
              </w:rPr>
              <w:t>Comprehensive (loss) income</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12,554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53,618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110,313</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comprehensive income (loss) attributable to noncontrolling</w:t>
            </w:r>
          </w:p>
        </w:tc>
        <w:tc>
          <w:tcPr>
            <w:tcW w:w="38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423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1,504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233"/>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interests</w:t>
            </w:r>
          </w:p>
        </w:tc>
        <w:tc>
          <w:tcPr>
            <w:tcW w:w="3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920" w:type="dxa"/>
            <w:vAlign w:val="bottom"/>
          </w:tcPr>
          <w:p>
            <w:pPr>
              <w:ind w:left="40"/>
              <w:spacing w:after="0"/>
              <w:rPr>
                <w:sz w:val="20"/>
                <w:szCs w:val="20"/>
                <w:color w:val="auto"/>
              </w:rPr>
            </w:pPr>
            <w:r>
              <w:rPr>
                <w:rFonts w:ascii="Arial" w:cs="Arial" w:eastAsia="Arial" w:hAnsi="Arial"/>
                <w:sz w:val="16"/>
                <w:szCs w:val="16"/>
                <w:color w:val="auto"/>
              </w:rPr>
              <w:t>Comprehensive (loss) income attributable to Bloomin’ Brands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(12,533)</w:t>
            </w:r>
          </w:p>
        </w:tc>
        <w:tc>
          <w:tcPr>
            <w:tcW w:w="12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12,860</w:t>
            </w:r>
          </w:p>
        </w:tc>
        <w:tc>
          <w:tcPr>
            <w:tcW w:w="480" w:type="dxa"/>
            <w:vAlign w:val="bottom"/>
            <w:gridSpan w:val="2"/>
          </w:tcPr>
          <w:p>
            <w:pPr>
              <w:jc w:val="right"/>
              <w:ind w:right="183"/>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52,114</w:t>
            </w:r>
          </w:p>
        </w:tc>
        <w:tc>
          <w:tcPr>
            <w:tcW w:w="560" w:type="dxa"/>
            <w:vAlign w:val="bottom"/>
            <w:gridSpan w:val="2"/>
          </w:tcPr>
          <w:p>
            <w:pPr>
              <w:jc w:val="right"/>
              <w:ind w:right="283"/>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108,937</w:t>
            </w:r>
          </w:p>
        </w:tc>
        <w:tc>
          <w:tcPr>
            <w:tcW w:w="0" w:type="dxa"/>
            <w:vAlign w:val="bottom"/>
          </w:tcPr>
          <w:p>
            <w:pPr>
              <w:spacing w:after="0"/>
              <w:rPr>
                <w:sz w:val="1"/>
                <w:szCs w:val="1"/>
                <w:color w:val="auto"/>
              </w:rPr>
            </w:pPr>
          </w:p>
        </w:tc>
      </w:tr>
      <w:tr>
        <w:trPr>
          <w:trHeight w:val="284"/>
        </w:trPr>
        <w:tc>
          <w:tcPr>
            <w:tcW w:w="49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Earnings per share:</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920" w:type="dxa"/>
            <w:vAlign w:val="bottom"/>
          </w:tcPr>
          <w:p>
            <w:pPr>
              <w:ind w:left="180"/>
              <w:spacing w:after="0"/>
              <w:rPr>
                <w:sz w:val="20"/>
                <w:szCs w:val="20"/>
                <w:color w:val="auto"/>
              </w:rPr>
            </w:pPr>
            <w:r>
              <w:rPr>
                <w:rFonts w:ascii="Arial" w:cs="Arial" w:eastAsia="Arial" w:hAnsi="Arial"/>
                <w:sz w:val="16"/>
                <w:szCs w:val="16"/>
                <w:color w:val="auto"/>
              </w:rPr>
              <w:t>Diluted</w:t>
            </w: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0.06</w:t>
            </w:r>
          </w:p>
        </w:tc>
        <w:tc>
          <w:tcPr>
            <w:tcW w:w="480" w:type="dxa"/>
            <w:vAlign w:val="bottom"/>
            <w:gridSpan w:val="2"/>
          </w:tcPr>
          <w:p>
            <w:pPr>
              <w:jc w:val="right"/>
              <w:ind w:right="203"/>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560" w:type="dxa"/>
            <w:vAlign w:val="bottom"/>
            <w:gridSpan w:val="2"/>
          </w:tcPr>
          <w:p>
            <w:pPr>
              <w:jc w:val="right"/>
              <w:ind w:right="303"/>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0.88</w:t>
            </w:r>
          </w:p>
        </w:tc>
        <w:tc>
          <w:tcPr>
            <w:tcW w:w="0" w:type="dxa"/>
            <w:vAlign w:val="bottom"/>
          </w:tcPr>
          <w:p>
            <w:pPr>
              <w:spacing w:after="0"/>
              <w:rPr>
                <w:sz w:val="1"/>
                <w:szCs w:val="1"/>
                <w:color w:val="auto"/>
              </w:rPr>
            </w:pPr>
          </w:p>
        </w:tc>
      </w:tr>
      <w:tr>
        <w:trPr>
          <w:trHeight w:val="237"/>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9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92,202</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92,485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92,197</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98,137</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93,324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95,655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94,489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101,497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declared per common share</w:t>
            </w: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480" w:type="dxa"/>
            <w:vAlign w:val="bottom"/>
            <w:gridSpan w:val="2"/>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0.27</w:t>
            </w:r>
          </w:p>
        </w:tc>
        <w:tc>
          <w:tcPr>
            <w:tcW w:w="560" w:type="dxa"/>
            <w:vAlign w:val="bottom"/>
            <w:gridSpan w:val="2"/>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BLOOMIN’ BRANDS, INC.</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22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22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9"/>
                <w:szCs w:val="9"/>
                <w:color w:val="auto"/>
              </w:rPr>
            </w:pPr>
          </w:p>
        </w:tc>
        <w:tc>
          <w:tcPr>
            <w:tcW w:w="1340" w:type="dxa"/>
            <w:vAlign w:val="bottom"/>
            <w:gridSpan w:val="2"/>
          </w:tcPr>
          <w:p>
            <w:pPr>
              <w:ind w:left="60"/>
              <w:spacing w:after="0" w:line="113" w:lineRule="exact"/>
              <w:rPr>
                <w:sz w:val="20"/>
                <w:szCs w:val="20"/>
                <w:color w:val="auto"/>
              </w:rPr>
            </w:pPr>
            <w:r>
              <w:rPr>
                <w:rFonts w:ascii="Arial" w:cs="Arial" w:eastAsia="Arial" w:hAnsi="Arial"/>
                <w:sz w:val="13"/>
                <w:szCs w:val="13"/>
                <w:b w:val="1"/>
                <w:bCs w:val="1"/>
                <w:color w:val="auto"/>
              </w:rPr>
              <w:t>ADDITIONAL</w:t>
            </w:r>
          </w:p>
        </w:tc>
        <w:tc>
          <w:tcPr>
            <w:tcW w:w="1360" w:type="dxa"/>
            <w:vAlign w:val="bottom"/>
            <w:gridSpan w:val="3"/>
          </w:tcPr>
          <w:p>
            <w:pPr>
              <w:ind w:left="40"/>
              <w:spacing w:after="0" w:line="113"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19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PAID-IN CAPITAL</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shd w:val="clear" w:color="auto" w:fill="CCEEFF"/>
              </w:rPr>
              <w:t>Balance, December 31, 2017</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91,913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1,081,813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(913,191)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10,889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81,231</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96,191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1,251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97,442</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Other comprehensive (loss)</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net of tax</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(43,495)</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Cash dividends declared,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$0.27 per common share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(25,078)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(25,078)</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Repurchase and retirement</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(98,925)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(98,968)</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w w:val="98"/>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16,478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16,478</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Common stock issued under</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plans (1)</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4,312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35,752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35,795</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Change in the redemption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40"/>
              <w:spacing w:after="0"/>
              <w:rPr>
                <w:sz w:val="20"/>
                <w:szCs w:val="20"/>
                <w:color w:val="auto"/>
              </w:rPr>
            </w:pPr>
            <w:r>
              <w:rPr>
                <w:rFonts w:ascii="Arial" w:cs="Arial" w:eastAsia="Arial" w:hAnsi="Arial"/>
                <w:sz w:val="16"/>
                <w:szCs w:val="16"/>
                <w:color w:val="auto"/>
              </w:rPr>
              <w:t>value of redeemable</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Contributions from</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vMerge w:val="restart"/>
          </w:tcPr>
          <w:p>
            <w:pPr>
              <w:jc w:val="right"/>
              <w:ind w:right="21"/>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color w:val="auto"/>
              </w:rPr>
              <w:t>1,571</w:t>
            </w:r>
          </w:p>
        </w:tc>
        <w:tc>
          <w:tcPr>
            <w:tcW w:w="0" w:type="dxa"/>
            <w:vAlign w:val="bottom"/>
          </w:tcPr>
          <w:p>
            <w:pPr>
              <w:spacing w:after="0"/>
              <w:rPr>
                <w:sz w:val="1"/>
                <w:szCs w:val="1"/>
                <w:color w:val="auto"/>
              </w:rPr>
            </w:pPr>
          </w:p>
        </w:tc>
      </w:tr>
      <w:tr>
        <w:trPr>
          <w:trHeight w:val="239"/>
        </w:trPr>
        <w:tc>
          <w:tcPr>
            <w:tcW w:w="196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1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September 30,</w:t>
            </w:r>
          </w:p>
        </w:tc>
        <w:tc>
          <w:tcPr>
            <w:tcW w:w="1040" w:type="dxa"/>
            <w:vAlign w:val="bottom"/>
            <w:tcBorders>
              <w:top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91,854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919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1,108,636</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(915,925)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(143,276)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9,788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60,142</w:t>
            </w: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BLOOMIN’ BRANDS, INC.</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22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22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9"/>
                <w:szCs w:val="9"/>
                <w:color w:val="auto"/>
              </w:rPr>
            </w:pPr>
          </w:p>
        </w:tc>
        <w:tc>
          <w:tcPr>
            <w:tcW w:w="1340" w:type="dxa"/>
            <w:vAlign w:val="bottom"/>
            <w:gridSpan w:val="2"/>
          </w:tcPr>
          <w:p>
            <w:pPr>
              <w:ind w:left="60"/>
              <w:spacing w:after="0" w:line="113" w:lineRule="exact"/>
              <w:rPr>
                <w:sz w:val="20"/>
                <w:szCs w:val="20"/>
                <w:color w:val="auto"/>
              </w:rPr>
            </w:pPr>
            <w:r>
              <w:rPr>
                <w:rFonts w:ascii="Arial" w:cs="Arial" w:eastAsia="Arial" w:hAnsi="Arial"/>
                <w:sz w:val="13"/>
                <w:szCs w:val="13"/>
                <w:b w:val="1"/>
                <w:bCs w:val="1"/>
                <w:color w:val="auto"/>
              </w:rPr>
              <w:t>ADDITIONAL</w:t>
            </w:r>
          </w:p>
        </w:tc>
        <w:tc>
          <w:tcPr>
            <w:tcW w:w="1360" w:type="dxa"/>
            <w:vAlign w:val="bottom"/>
            <w:gridSpan w:val="3"/>
          </w:tcPr>
          <w:p>
            <w:pPr>
              <w:ind w:left="40"/>
              <w:spacing w:after="0" w:line="113"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19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PAID-IN CAPITAL</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Balance, December 25, 2016</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103,922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1,079,583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(756,070)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226,063</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89,341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1,594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90,935</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net of tax</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19,596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19,520</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Cash dividends declared,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$0.24 per common share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(23,677)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(23,677)</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Repurchase and retirement</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(13,807)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(272,598)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(272,736)</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w w:val="98"/>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17,969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17,969</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Common stock issued under</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plans (1)</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4,448</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Change in the redemption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40"/>
              <w:spacing w:after="0"/>
              <w:rPr>
                <w:sz w:val="20"/>
                <w:szCs w:val="20"/>
                <w:color w:val="auto"/>
              </w:rPr>
            </w:pPr>
            <w:r>
              <w:rPr>
                <w:rFonts w:ascii="Arial" w:cs="Arial" w:eastAsia="Arial" w:hAnsi="Arial"/>
                <w:sz w:val="16"/>
                <w:szCs w:val="16"/>
                <w:color w:val="auto"/>
              </w:rPr>
              <w:t>value of redeemable</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 net of tax of $45</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Distributions to</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(4,158)</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Contributions from</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Cumulative-effect from a</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40"/>
              <w:spacing w:after="0"/>
              <w:rPr>
                <w:sz w:val="20"/>
                <w:szCs w:val="20"/>
                <w:color w:val="auto"/>
              </w:rPr>
            </w:pPr>
            <w:r>
              <w:rPr>
                <w:rFonts w:ascii="Arial" w:cs="Arial" w:eastAsia="Arial" w:hAnsi="Arial"/>
                <w:sz w:val="16"/>
                <w:szCs w:val="16"/>
                <w:color w:val="auto"/>
              </w:rPr>
              <w:t>change in accounting</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principle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14,364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14,364</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193"/>
        </w:trPr>
        <w:tc>
          <w:tcPr>
            <w:tcW w:w="196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September 24,</w:t>
            </w:r>
          </w:p>
        </w:tc>
        <w:tc>
          <w:tcPr>
            <w:tcW w:w="104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91,164</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912</w:t>
            </w: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1,077,607</w:t>
            </w: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(925,143)</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(91,547)</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10,980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72,809</w:t>
            </w: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2017</w:t>
            </w: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12700</wp:posOffset>
            </wp:positionV>
            <wp:extent cx="601154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11545"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forfeitures and shares withheld for employee taxes.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UNAUDITED)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22"/>
                <w:szCs w:val="22"/>
                <w:color w:val="auto"/>
              </w:rPr>
            </w:pPr>
          </w:p>
        </w:tc>
        <w:tc>
          <w:tcPr>
            <w:tcW w:w="1740" w:type="dxa"/>
            <w:vAlign w:val="bottom"/>
          </w:tcPr>
          <w:p>
            <w:pPr>
              <w:jc w:val="right"/>
              <w:ind w:right="159"/>
              <w:spacing w:after="0"/>
              <w:rPr>
                <w:sz w:val="20"/>
                <w:szCs w:val="20"/>
                <w:color w:val="auto"/>
              </w:rPr>
            </w:pPr>
            <w:r>
              <w:rPr>
                <w:rFonts w:ascii="Arial" w:cs="Arial" w:eastAsia="Arial" w:hAnsi="Arial"/>
                <w:sz w:val="14"/>
                <w:szCs w:val="14"/>
                <w:b w:val="1"/>
                <w:bCs w:val="1"/>
                <w:color w:val="auto"/>
              </w:rPr>
              <w:t>SEPTEMBER 24, 2017</w:t>
            </w:r>
          </w:p>
        </w:tc>
      </w:tr>
      <w:tr>
        <w:trPr>
          <w:trHeight w:val="237"/>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provided by operating activities: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40"/>
              <w:spacing w:after="0"/>
              <w:rPr>
                <w:sz w:val="20"/>
                <w:szCs w:val="20"/>
                <w:color w:val="auto"/>
              </w:rPr>
            </w:pPr>
            <w:r>
              <w:rPr>
                <w:rFonts w:ascii="Arial" w:cs="Arial" w:eastAsia="Arial" w:hAnsi="Arial"/>
                <w:sz w:val="16"/>
                <w:szCs w:val="16"/>
                <w:color w:val="auto"/>
              </w:rPr>
              <w:t>97,113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90,763</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1780" w:type="dxa"/>
            <w:vAlign w:val="bottom"/>
          </w:tcPr>
          <w:p>
            <w:pPr>
              <w:jc w:val="right"/>
              <w:ind w:right="40"/>
              <w:spacing w:after="0"/>
              <w:rPr>
                <w:sz w:val="20"/>
                <w:szCs w:val="20"/>
                <w:color w:val="auto"/>
              </w:rPr>
            </w:pPr>
            <w:r>
              <w:rPr>
                <w:rFonts w:ascii="Arial" w:cs="Arial" w:eastAsia="Arial" w:hAnsi="Arial"/>
                <w:sz w:val="16"/>
                <w:szCs w:val="16"/>
                <w:color w:val="auto"/>
              </w:rPr>
              <w:t>151,473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142,479</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discounts and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2,240</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Amortization of deferred gift card sales commissions</w:t>
            </w:r>
          </w:p>
        </w:tc>
        <w:tc>
          <w:tcPr>
            <w:tcW w:w="180" w:type="dxa"/>
            <w:vAlign w:val="bottom"/>
          </w:tcPr>
          <w:p>
            <w:pPr>
              <w:spacing w:after="0"/>
              <w:rPr>
                <w:sz w:val="20"/>
                <w:szCs w:val="20"/>
                <w:color w:val="auto"/>
              </w:rPr>
            </w:pPr>
          </w:p>
        </w:tc>
        <w:tc>
          <w:tcPr>
            <w:tcW w:w="1780" w:type="dxa"/>
            <w:vAlign w:val="bottom"/>
          </w:tcPr>
          <w:p>
            <w:pPr>
              <w:jc w:val="right"/>
              <w:ind w:right="40"/>
              <w:spacing w:after="0"/>
              <w:rPr>
                <w:sz w:val="20"/>
                <w:szCs w:val="20"/>
                <w:color w:val="auto"/>
              </w:rPr>
            </w:pPr>
            <w:r>
              <w:rPr>
                <w:rFonts w:ascii="Arial" w:cs="Arial" w:eastAsia="Arial" w:hAnsi="Arial"/>
                <w:sz w:val="16"/>
                <w:szCs w:val="16"/>
                <w:color w:val="auto"/>
              </w:rPr>
              <w:t>20,151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18,530</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impaired assets and restaurant closings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38,253</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Stock-based and other non-cash compensation expense</w:t>
            </w:r>
          </w:p>
        </w:tc>
        <w:tc>
          <w:tcPr>
            <w:tcW w:w="180" w:type="dxa"/>
            <w:vAlign w:val="bottom"/>
          </w:tcPr>
          <w:p>
            <w:pPr>
              <w:spacing w:after="0"/>
              <w:rPr>
                <w:sz w:val="20"/>
                <w:szCs w:val="20"/>
                <w:color w:val="auto"/>
              </w:rPr>
            </w:pPr>
          </w:p>
        </w:tc>
        <w:tc>
          <w:tcPr>
            <w:tcW w:w="1780" w:type="dxa"/>
            <w:vAlign w:val="bottom"/>
          </w:tcPr>
          <w:p>
            <w:pPr>
              <w:jc w:val="right"/>
              <w:ind w:right="40"/>
              <w:spacing w:after="0"/>
              <w:rPr>
                <w:sz w:val="20"/>
                <w:szCs w:val="20"/>
                <w:color w:val="auto"/>
              </w:rPr>
            </w:pPr>
            <w:r>
              <w:rPr>
                <w:rFonts w:ascii="Arial" w:cs="Arial" w:eastAsia="Arial" w:hAnsi="Arial"/>
                <w:sz w:val="16"/>
                <w:szCs w:val="16"/>
                <w:color w:val="auto"/>
              </w:rPr>
              <w:t>19,692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19,775</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Deferred income tax (benefit) expense</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3,252</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Gain on sale of a business or subsidiary</w:t>
            </w:r>
          </w:p>
        </w:tc>
        <w:tc>
          <w:tcPr>
            <w:tcW w:w="180" w:type="dxa"/>
            <w:vAlign w:val="bottom"/>
          </w:tcPr>
          <w:p>
            <w:pPr>
              <w:spacing w:after="0"/>
              <w:rPr>
                <w:sz w:val="20"/>
                <w:szCs w:val="20"/>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(15,787)</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and modification of debt</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Recognition of deferred gain on sale-leaseback transactions</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(9,237)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(8,836)</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4,690</w:t>
            </w:r>
          </w:p>
        </w:tc>
      </w:tr>
      <w:tr>
        <w:trPr>
          <w:trHeight w:val="270"/>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Change in assets and liabilities</w:t>
            </w:r>
          </w:p>
        </w:tc>
        <w:tc>
          <w:tcPr>
            <w:tcW w:w="1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(142,375)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(72,604)</w:t>
            </w:r>
          </w:p>
        </w:tc>
      </w:tr>
      <w:tr>
        <w:trPr>
          <w:trHeight w:val="264"/>
        </w:trPr>
        <w:tc>
          <w:tcPr>
            <w:tcW w:w="74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155,196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223,015</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disposal of property, fixtures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Proceeds from sale-leaseback transactions, net</w:t>
            </w:r>
          </w:p>
        </w:tc>
        <w:tc>
          <w:tcPr>
            <w:tcW w:w="180" w:type="dxa"/>
            <w:vAlign w:val="bottom"/>
          </w:tcPr>
          <w:p>
            <w:pPr>
              <w:spacing w:after="0"/>
              <w:rPr>
                <w:sz w:val="20"/>
                <w:szCs w:val="20"/>
                <w:color w:val="auto"/>
              </w:rPr>
            </w:pPr>
          </w:p>
        </w:tc>
        <w:tc>
          <w:tcPr>
            <w:tcW w:w="1780" w:type="dxa"/>
            <w:vAlign w:val="bottom"/>
          </w:tcPr>
          <w:p>
            <w:pPr>
              <w:jc w:val="right"/>
              <w:ind w:right="40"/>
              <w:spacing w:after="0"/>
              <w:rPr>
                <w:sz w:val="20"/>
                <w:szCs w:val="20"/>
                <w:color w:val="auto"/>
              </w:rPr>
            </w:pPr>
            <w:r>
              <w:rPr>
                <w:rFonts w:ascii="Arial" w:cs="Arial" w:eastAsia="Arial" w:hAnsi="Arial"/>
                <w:sz w:val="16"/>
                <w:szCs w:val="16"/>
                <w:color w:val="auto"/>
              </w:rPr>
              <w:t>11,332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83,866</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a business, net of cash divested</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38,980</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(146,288)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(183,820)</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investments, net</w:t>
            </w:r>
          </w:p>
        </w:tc>
        <w:tc>
          <w:tcPr>
            <w:tcW w:w="18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(1,580)</w:t>
            </w:r>
          </w:p>
        </w:tc>
      </w:tr>
      <w:tr>
        <w:trPr>
          <w:trHeight w:val="264"/>
        </w:trPr>
        <w:tc>
          <w:tcPr>
            <w:tcW w:w="7440" w:type="dxa"/>
            <w:vAlign w:val="bottom"/>
          </w:tcPr>
          <w:p>
            <w:pPr>
              <w:ind w:left="104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(124,303)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(62,535)</w:t>
            </w:r>
          </w:p>
        </w:tc>
      </w:tr>
    </w:tbl>
    <w:p>
      <w:pPr>
        <w:spacing w:after="0" w:line="328"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UNAUDITED)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22"/>
                <w:szCs w:val="22"/>
                <w:color w:val="auto"/>
              </w:rPr>
            </w:pPr>
          </w:p>
        </w:tc>
        <w:tc>
          <w:tcPr>
            <w:tcW w:w="1740" w:type="dxa"/>
            <w:vAlign w:val="bottom"/>
          </w:tcPr>
          <w:p>
            <w:pPr>
              <w:jc w:val="right"/>
              <w:ind w:right="159"/>
              <w:spacing w:after="0"/>
              <w:rPr>
                <w:sz w:val="20"/>
                <w:szCs w:val="20"/>
                <w:color w:val="auto"/>
              </w:rPr>
            </w:pPr>
            <w:r>
              <w:rPr>
                <w:rFonts w:ascii="Arial" w:cs="Arial" w:eastAsia="Arial" w:hAnsi="Arial"/>
                <w:sz w:val="14"/>
                <w:szCs w:val="14"/>
                <w:b w:val="1"/>
                <w:bCs w:val="1"/>
                <w:color w:val="auto"/>
              </w:rPr>
              <w:t>SEPTEMBER 24, 2017</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used in financing activities: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 net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40"/>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124,443</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(64,578)</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Proceeds from borrowings on revolving credit facilities, net</w:t>
            </w:r>
          </w:p>
        </w:tc>
        <w:tc>
          <w:tcPr>
            <w:tcW w:w="180" w:type="dxa"/>
            <w:vAlign w:val="bottom"/>
          </w:tcPr>
          <w:p>
            <w:pPr>
              <w:spacing w:after="0"/>
              <w:rPr>
                <w:sz w:val="20"/>
                <w:szCs w:val="20"/>
                <w:color w:val="auto"/>
              </w:rPr>
            </w:pPr>
          </w:p>
        </w:tc>
        <w:tc>
          <w:tcPr>
            <w:tcW w:w="1780" w:type="dxa"/>
            <w:vAlign w:val="bottom"/>
          </w:tcPr>
          <w:p>
            <w:pPr>
              <w:jc w:val="right"/>
              <w:ind w:right="40"/>
              <w:spacing w:after="0"/>
              <w:rPr>
                <w:sz w:val="20"/>
                <w:szCs w:val="20"/>
                <w:color w:val="auto"/>
              </w:rPr>
            </w:pPr>
            <w:r>
              <w:rPr>
                <w:rFonts w:ascii="Arial" w:cs="Arial" w:eastAsia="Arial" w:hAnsi="Arial"/>
                <w:sz w:val="16"/>
                <w:szCs w:val="16"/>
                <w:color w:val="auto"/>
              </w:rPr>
              <w:t>378,529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467,500</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of borrowings on revolving credit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(417,000)</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Proceeds from failed sale-leaseback transactions, net</w:t>
            </w:r>
          </w:p>
        </w:tc>
        <w:tc>
          <w:tcPr>
            <w:tcW w:w="180" w:type="dxa"/>
            <w:vAlign w:val="bottom"/>
          </w:tcPr>
          <w:p>
            <w:pPr>
              <w:spacing w:after="0"/>
              <w:rPr>
                <w:sz w:val="20"/>
                <w:szCs w:val="20"/>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5,942</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share-based compensation, net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35,795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4,628</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Distributions to noncontrolling interests</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(4,505)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(4,158)</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Contributions from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Purchase of limited partnership and noncontrolling interests</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(1,619)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(5,354)</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of partner deposits and accrued partner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(11,763)</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(98,968)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(272,916)</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 on common stock</w:t>
            </w:r>
          </w:p>
        </w:tc>
        <w:tc>
          <w:tcPr>
            <w:tcW w:w="18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(23,677)</w:t>
            </w:r>
          </w:p>
        </w:tc>
      </w:tr>
      <w:tr>
        <w:trPr>
          <w:trHeight w:val="270"/>
        </w:trPr>
        <w:tc>
          <w:tcPr>
            <w:tcW w:w="7440" w:type="dxa"/>
            <w:vAlign w:val="bottom"/>
            <w:tcBorders>
              <w:bottom w:val="single" w:sz="8" w:color="CCEEFF"/>
            </w:tcBorders>
          </w:tcPr>
          <w:p>
            <w:pPr>
              <w:ind w:left="104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(76,960)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(196,206)</w:t>
            </w: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1,972</w:t>
            </w: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(50,928)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(33,754)</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as of the beginning of the period</w:t>
            </w:r>
          </w:p>
        </w:tc>
        <w:tc>
          <w:tcPr>
            <w:tcW w:w="18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129,543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136,186</w:t>
            </w:r>
          </w:p>
        </w:tc>
      </w:tr>
      <w:tr>
        <w:trPr>
          <w:trHeight w:val="29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as of the end of the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78,615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102,432</w:t>
            </w:r>
          </w:p>
        </w:tc>
      </w:tr>
      <w:tr>
        <w:trPr>
          <w:trHeight w:val="21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1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Cash paid for interest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40"/>
              <w:spacing w:after="0"/>
              <w:rPr>
                <w:sz w:val="20"/>
                <w:szCs w:val="20"/>
                <w:color w:val="auto"/>
              </w:rPr>
            </w:pPr>
            <w:r>
              <w:rPr>
                <w:rFonts w:ascii="Arial" w:cs="Arial" w:eastAsia="Arial" w:hAnsi="Arial"/>
                <w:sz w:val="16"/>
                <w:szCs w:val="16"/>
                <w:color w:val="auto"/>
              </w:rPr>
              <w:t>31,376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27,897</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income taxes, net of refunds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28,134</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74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Increase in liabilities from the acquisition of property, fixtures and equipment or capital leases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6,375</w:t>
            </w:r>
          </w:p>
        </w:tc>
      </w:tr>
      <w:tr>
        <w:trPr>
          <w:trHeight w:val="33"/>
        </w:trPr>
        <w:tc>
          <w:tcPr>
            <w:tcW w:w="7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Description of the Business and Basis of Presentation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Description of the Business - </w:t>
      </w:r>
      <w:r>
        <w:rPr>
          <w:rFonts w:ascii="Arial" w:cs="Arial" w:eastAsia="Arial" w:hAnsi="Arial"/>
          <w:sz w:val="20"/>
          <w:szCs w:val="20"/>
          <w:color w:val="auto"/>
        </w:rPr>
        <w:t>Bloomin’ Brands, Inc., through its subsidiaries (“Bloomin’ Brands” or the “Company”), owns and operates</w:t>
      </w:r>
      <w:r>
        <w:rPr>
          <w:rFonts w:ascii="Arial" w:cs="Arial" w:eastAsia="Arial" w:hAnsi="Arial"/>
          <w:sz w:val="20"/>
          <w:szCs w:val="20"/>
          <w:i w:val="1"/>
          <w:iCs w:val="1"/>
          <w:color w:val="auto"/>
        </w:rPr>
        <w:t xml:space="preserve"> </w:t>
      </w:r>
      <w:r>
        <w:rPr>
          <w:rFonts w:ascii="Arial" w:cs="Arial" w:eastAsia="Arial" w:hAnsi="Arial"/>
          <w:sz w:val="20"/>
          <w:szCs w:val="20"/>
          <w:color w:val="auto"/>
        </w:rPr>
        <w:t>casual, upscale casual and fine dining restaurants. The Company’s restaurant portfolio has four concepts: Outback Steakhouse, Carrabba’s Italian Grill, Bonefish Grill and Fleming’s Prime Steakhouse &amp; Wine Bar. Each of the Company’s concepts has additional restaurants in which it has no direct investment and are operated under franchise agreements.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Basis of Presentation - </w:t>
      </w:r>
      <w:r>
        <w:rPr>
          <w:rFonts w:ascii="Arial" w:cs="Arial" w:eastAsia="Arial" w:hAnsi="Arial"/>
          <w:sz w:val="19"/>
          <w:szCs w:val="19"/>
          <w:color w:val="auto"/>
        </w:rPr>
        <w:t>The accompanying interim unaudited consolidated financial statements have been prepared by the Company pursuant to</w:t>
      </w:r>
      <w:r>
        <w:rPr>
          <w:rFonts w:ascii="Arial" w:cs="Arial" w:eastAsia="Arial" w:hAnsi="Arial"/>
          <w:sz w:val="19"/>
          <w:szCs w:val="19"/>
          <w:i w:val="1"/>
          <w:iCs w:val="1"/>
          <w:color w:val="auto"/>
        </w:rPr>
        <w:t xml:space="preserve"> </w:t>
      </w:r>
      <w:r>
        <w:rPr>
          <w:rFonts w:ascii="Arial" w:cs="Arial" w:eastAsia="Arial" w:hAnsi="Arial"/>
          <w:sz w:val="19"/>
          <w:szCs w:val="19"/>
          <w:color w:val="auto"/>
        </w:rPr>
        <w:t>the 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31, 2017.</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Recently Adopted Financial Accounting Standards </w:t>
      </w:r>
      <w:r>
        <w:rPr>
          <w:rFonts w:ascii="Arial" w:cs="Arial" w:eastAsia="Arial" w:hAnsi="Arial"/>
          <w:sz w:val="19"/>
          <w:szCs w:val="19"/>
          <w:color w:val="auto"/>
        </w:rPr>
        <w:t>- On January 1, 2018, the Company elected to early adopt Accounting Standards Update</w:t>
      </w:r>
      <w:r>
        <w:rPr>
          <w:rFonts w:ascii="Arial" w:cs="Arial" w:eastAsia="Arial" w:hAnsi="Arial"/>
          <w:sz w:val="19"/>
          <w:szCs w:val="19"/>
          <w:i w:val="1"/>
          <w:iCs w:val="1"/>
          <w:color w:val="auto"/>
        </w:rPr>
        <w:t xml:space="preserve"> </w:t>
      </w:r>
      <w:r>
        <w:rPr>
          <w:rFonts w:ascii="Arial" w:cs="Arial" w:eastAsia="Arial" w:hAnsi="Arial"/>
          <w:sz w:val="19"/>
          <w:szCs w:val="19"/>
          <w:color w:val="auto"/>
        </w:rPr>
        <w:t>(“ASU”) No. 2017-04, “Intangibles - Goodwill and Other (Topic 350): Simplifying the Test for Goodwill Impairment,” (“ASU No. 2017-04”) on a prospective basis. ASU No. 2017-04 eliminates the second step of goodwill impairment, which requires a hypothetical purchase price allocation. Under ASU No. 2017-04, goodwill impairment is calculated as the amount a reporting unit’s carrying value exceeds its calculated fair value. The adoption of ASU No. 2017-04 did not impact the Company’s Consolidated Financial Statements. Goodwill and indefinite-lived intangible assets are tested for impairment annually, as of the first day of the second fiscal quarter, or whenever events or changes in circumstances indicate that the carrying amount may not be recoverable.</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performed its annual assessment for impairment of goodwill and other indefinite-lived intangible assets during the second quarters of 2018 and 2017. In connection with these assessments, the Company did not record any goodwill or indefinite-lived intangible impairment charges.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On January 1, 2018, the Company adopted ASU No. 2014-09 “Revenue Recognition (Topic 606), Revenue from Contracts with Customers” (“ASU No. 2014-09”) using the full retrospective transition method. ASU No. 2014-09 provides a single source of guidance for revenue arising from contracts with customers. Under ASU No. 2014-09, revenue is recognized in an amount that reflects the consideration an entity expects to receive for the transfer of goods and services. The standard also requires additional disclosures about the nature, timing and uncertainty of revenue and cash flows arising from contracts with customers. Under the new standard, the Company recognizes gift card breakage proportional to redemptions, which are highest in the Company’s first fiscal quarter. Previously, under the remote method, the majority of breakage revenue was recorded in the Company’s fourth fiscal quarter corresponding with the timing of the original gift card sale. Advertising fees charged to franchisees, which were previously recorded as a reduction to Other restaurant operating expenses, are recognized as Franchise revenue. In addition, initial franchise and renewal fees are recognized over the term of the franchise agreements. In connection with adoption of ASU No. 2014-09, a cumulative effect adjustment of $33.1 million, net of tax, was recorded as a credit to the ending balance of Accumulated deficit as of December 27, 2015.</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a restatement of the Company’s Consolidated Statement of Operations for the retrospective adoption of ASU No.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2014-09 during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7"/>
          </w:tcPr>
          <w:p>
            <w:pPr>
              <w:jc w:val="center"/>
              <w:ind w:left="440"/>
              <w:spacing w:after="0"/>
              <w:rPr>
                <w:sz w:val="20"/>
                <w:szCs w:val="20"/>
                <w:color w:val="auto"/>
              </w:rPr>
            </w:pPr>
            <w:r>
              <w:rPr>
                <w:rFonts w:ascii="Arial" w:cs="Arial" w:eastAsia="Arial" w:hAnsi="Arial"/>
                <w:sz w:val="14"/>
                <w:szCs w:val="14"/>
                <w:b w:val="1"/>
                <w:bCs w:val="1"/>
                <w:color w:val="auto"/>
              </w:rPr>
              <w:t>THIRTEEN WEEKS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8"/>
          </w:tcPr>
          <w:p>
            <w:pPr>
              <w:jc w:val="center"/>
              <w:ind w:right="119"/>
              <w:spacing w:after="0"/>
              <w:rPr>
                <w:sz w:val="20"/>
                <w:szCs w:val="20"/>
                <w:color w:val="auto"/>
              </w:rPr>
            </w:pPr>
            <w:r>
              <w:rPr>
                <w:rFonts w:ascii="Arial" w:cs="Arial" w:eastAsia="Arial" w:hAnsi="Arial"/>
                <w:sz w:val="14"/>
                <w:szCs w:val="14"/>
                <w:b w:val="1"/>
                <w:bCs w:val="1"/>
                <w:color w:val="auto"/>
              </w:rPr>
              <w:t>THIRTY-NINE WEEKS ENDED</w:t>
            </w:r>
          </w:p>
        </w:tc>
      </w:tr>
      <w:tr>
        <w:trPr>
          <w:trHeight w:val="276"/>
        </w:trPr>
        <w:tc>
          <w:tcPr>
            <w:tcW w:w="40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8"/>
              </w:rPr>
              <w:t>SEPTEMBER 24, 2017</w:t>
            </w: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7"/>
              </w:rPr>
              <w:t>SEPTEMBER 24, 2017</w:t>
            </w:r>
          </w:p>
        </w:tc>
        <w:tc>
          <w:tcPr>
            <w:tcW w:w="880" w:type="dxa"/>
            <w:vAlign w:val="bottom"/>
            <w:tcBorders>
              <w:bottom w:val="single" w:sz="8" w:color="auto"/>
            </w:tcBorders>
          </w:tcPr>
          <w:p>
            <w:pPr>
              <w:spacing w:after="0"/>
              <w:rPr>
                <w:sz w:val="23"/>
                <w:szCs w:val="23"/>
                <w:color w:val="auto"/>
              </w:rPr>
            </w:pPr>
          </w:p>
        </w:tc>
      </w:tr>
      <w:tr>
        <w:trPr>
          <w:trHeight w:val="153"/>
        </w:trPr>
        <w:tc>
          <w:tcPr>
            <w:tcW w:w="4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2014-09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5"/>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 except per share data)</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7"/>
                <w:szCs w:val="17"/>
                <w:color w:val="auto"/>
              </w:rPr>
            </w:pPr>
          </w:p>
        </w:tc>
        <w:tc>
          <w:tcPr>
            <w:tcW w:w="1320" w:type="dxa"/>
            <w:vAlign w:val="bottom"/>
            <w:gridSpan w:val="4"/>
          </w:tcPr>
          <w:p>
            <w:pPr>
              <w:ind w:left="40"/>
              <w:spacing w:after="0"/>
              <w:rPr>
                <w:sz w:val="20"/>
                <w:szCs w:val="20"/>
                <w:color w:val="auto"/>
              </w:rPr>
            </w:pPr>
            <w:r>
              <w:rPr>
                <w:rFonts w:ascii="Arial" w:cs="Arial" w:eastAsia="Arial" w:hAnsi="Arial"/>
                <w:sz w:val="14"/>
                <w:szCs w:val="14"/>
                <w:b w:val="1"/>
                <w:bCs w:val="1"/>
                <w:color w:val="auto"/>
              </w:rPr>
              <w:t>2014-09 IMPACT</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AS RESTATED</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REPORTED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IMPACT</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RESTATED</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937,852</w:t>
            </w:r>
          </w:p>
        </w:tc>
        <w:tc>
          <w:tcPr>
            <w:tcW w:w="5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2,160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940,012</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3,093,297</w:t>
            </w:r>
          </w:p>
        </w:tc>
        <w:tc>
          <w:tcPr>
            <w:tcW w:w="3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11,730</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3,105,027</w:t>
            </w:r>
          </w:p>
        </w:tc>
      </w:tr>
      <w:tr>
        <w:trPr>
          <w:trHeight w:val="33"/>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3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11,047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4,528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15,575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32,407</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9,322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41,729</w:t>
            </w:r>
          </w:p>
        </w:tc>
      </w:tr>
      <w:tr>
        <w:trPr>
          <w:trHeight w:val="290"/>
        </w:trPr>
        <w:tc>
          <w:tcPr>
            <w:tcW w:w="4000" w:type="dxa"/>
            <w:vAlign w:val="bottom"/>
          </w:tcPr>
          <w:p>
            <w:pPr>
              <w:ind w:left="820"/>
              <w:spacing w:after="0"/>
              <w:rPr>
                <w:sz w:val="20"/>
                <w:szCs w:val="20"/>
                <w:color w:val="auto"/>
              </w:rPr>
            </w:pPr>
            <w:r>
              <w:rPr>
                <w:rFonts w:ascii="Arial" w:cs="Arial" w:eastAsia="Arial" w:hAnsi="Arial"/>
                <w:sz w:val="16"/>
                <w:szCs w:val="16"/>
                <w:color w:val="auto"/>
              </w:rPr>
              <w:t>Total revenues</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948,899</w:t>
            </w:r>
          </w:p>
        </w:tc>
        <w:tc>
          <w:tcPr>
            <w:tcW w:w="5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6,688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955,587</w:t>
            </w:r>
          </w:p>
        </w:tc>
        <w:tc>
          <w:tcPr>
            <w:tcW w:w="100" w:type="dxa"/>
            <w:vAlign w:val="bottom"/>
          </w:tcPr>
          <w:p>
            <w:pPr>
              <w:spacing w:after="0"/>
              <w:rPr>
                <w:sz w:val="24"/>
                <w:szCs w:val="24"/>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3,125,704</w:t>
            </w:r>
          </w:p>
        </w:tc>
        <w:tc>
          <w:tcPr>
            <w:tcW w:w="3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21,052</w:t>
            </w:r>
          </w:p>
        </w:tc>
        <w:tc>
          <w:tcPr>
            <w:tcW w:w="100" w:type="dxa"/>
            <w:vAlign w:val="bottom"/>
          </w:tcPr>
          <w:p>
            <w:pPr>
              <w:spacing w:after="0"/>
              <w:rPr>
                <w:sz w:val="24"/>
                <w:szCs w:val="24"/>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3,146,756</w:t>
            </w:r>
          </w:p>
        </w:tc>
      </w:tr>
      <w:tr>
        <w:trPr>
          <w:trHeight w:val="237"/>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Other restaurant operating</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231,293</w:t>
            </w:r>
          </w:p>
        </w:tc>
        <w:tc>
          <w:tcPr>
            <w:tcW w:w="5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4,651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235,944</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723,357</w:t>
            </w:r>
          </w:p>
        </w:tc>
        <w:tc>
          <w:tcPr>
            <w:tcW w:w="3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12,123</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735,480</w:t>
            </w:r>
          </w:p>
        </w:tc>
      </w:tr>
      <w:tr>
        <w:trPr>
          <w:trHeight w:val="33"/>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3,182</w:t>
            </w: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114,466</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123,395</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Income before (benefit) provision for income taxes</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5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2,037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2,045</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99,578</w:t>
            </w:r>
          </w:p>
        </w:tc>
        <w:tc>
          <w:tcPr>
            <w:tcW w:w="3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8,929</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108,507</w:t>
            </w:r>
          </w:p>
        </w:tc>
      </w:tr>
      <w:tr>
        <w:trPr>
          <w:trHeight w:val="33"/>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(4,038)</w:t>
            </w: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14,280</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17,744</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4,046</w:t>
            </w:r>
          </w:p>
        </w:tc>
        <w:tc>
          <w:tcPr>
            <w:tcW w:w="5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1,247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5,293</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85,298</w:t>
            </w:r>
          </w:p>
        </w:tc>
        <w:tc>
          <w:tcPr>
            <w:tcW w:w="3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5,465</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90,763</w:t>
            </w:r>
          </w:p>
        </w:tc>
      </w:tr>
      <w:tr>
        <w:trPr>
          <w:trHeight w:val="33"/>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4,336</w:t>
            </w: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83,876</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89,341</w:t>
            </w:r>
          </w:p>
        </w:tc>
      </w:tr>
      <w:tr>
        <w:trPr>
          <w:trHeight w:val="324"/>
        </w:trPr>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0.05</w:t>
            </w: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0.91</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0.05</w:t>
            </w:r>
          </w:p>
        </w:tc>
        <w:tc>
          <w:tcPr>
            <w:tcW w:w="5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0.83</w:t>
            </w:r>
          </w:p>
        </w:tc>
        <w:tc>
          <w:tcPr>
            <w:tcW w:w="3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0.88</w:t>
            </w:r>
          </w:p>
        </w:tc>
      </w:tr>
    </w:tbl>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includes a restatement of the Company’s Consolidated Balance Sheet as of December 31, 2017 for the retrospective adoption of ASU No. 2014-09: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9"/>
              </w:rPr>
              <w:t>DECEMBER 31, 2017</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2"/>
                <w:szCs w:val="22"/>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22"/>
                <w:szCs w:val="22"/>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2014-09 IMPACT</w:t>
            </w:r>
          </w:p>
        </w:tc>
        <w:tc>
          <w:tcPr>
            <w:tcW w:w="200" w:type="dxa"/>
            <w:vAlign w:val="bottom"/>
          </w:tcPr>
          <w:p>
            <w:pPr>
              <w:spacing w:after="0"/>
              <w:rPr>
                <w:sz w:val="22"/>
                <w:szCs w:val="22"/>
                <w:color w:val="auto"/>
              </w:rPr>
            </w:pPr>
          </w:p>
        </w:tc>
        <w:tc>
          <w:tcPr>
            <w:tcW w:w="1380" w:type="dxa"/>
            <w:vAlign w:val="bottom"/>
          </w:tcPr>
          <w:p>
            <w:pPr>
              <w:jc w:val="right"/>
              <w:ind w:right="2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Deferred income tax assets, net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71,499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60,486</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2,572,907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2,561,894</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6"/>
                <w:szCs w:val="16"/>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Unearned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Deferred gift card revenue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371,455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(47,827)</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323,628</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loyalty revenue</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6,667</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Deferred franchise fees - current</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Unearned revenue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378,227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330,756</w:t>
            </w:r>
          </w:p>
        </w:tc>
        <w:tc>
          <w:tcPr>
            <w:tcW w:w="0" w:type="dxa"/>
            <w:vAlign w:val="bottom"/>
          </w:tcPr>
          <w:p>
            <w:pPr>
              <w:spacing w:after="0"/>
              <w:rPr>
                <w:sz w:val="1"/>
                <w:szCs w:val="1"/>
                <w:color w:val="auto"/>
              </w:rPr>
            </w:pPr>
          </w:p>
        </w:tc>
      </w:tr>
      <w:tr>
        <w:trPr>
          <w:trHeight w:val="224"/>
        </w:trPr>
        <w:tc>
          <w:tcPr>
            <w:tcW w:w="640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860,863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(47,471)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813,392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 net (1)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205,745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4,698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210,443</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2,523,436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2,480,663</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Bloomin’ Brands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(944,951)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31,760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(913,191)</w:t>
            </w: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Bloomin’ Brands stockholders’ equity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38,582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31,760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70,342</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49,471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31,760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81,231</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2,572,907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2,561,894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the non-current portion of deferred franchise fees.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Note 2 -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for required disclosures under ASU No. 2014-09.</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 xml:space="preserve">Effective July 2, 2018, the Company adopted ASU No. 2017-12, Derivatives and Hedging (Topic 815): Targeted Improvements to Accounting for Hedging Activities (“ASU No. 2017-12”), which provides guidance for reporting the economic results of hedging activities and simplifies the disclosures of risk exposures and hedging strategies. Upon adoption, the Company revised its accounting policies and certain disclosures, however there was no impact on its Consolidated Financial Statements. For derivatives that qualify for hedge accounting, any gain or loss on the derivative instrument is recognized in equity as a change to Accumulated other comprehensive loss and reclassified into earnings in the same period or periods during which the hedged transaction affects earnings. See Note 12 - </w:t>
      </w:r>
      <w:r>
        <w:rPr>
          <w:rFonts w:ascii="Arial" w:cs="Arial" w:eastAsia="Arial" w:hAnsi="Arial"/>
          <w:sz w:val="19"/>
          <w:szCs w:val="19"/>
          <w:i w:val="1"/>
          <w:iCs w:val="1"/>
          <w:color w:val="auto"/>
        </w:rPr>
        <w:t>Derivative Instruments and Hedging Activities</w:t>
      </w:r>
      <w:r>
        <w:rPr>
          <w:rFonts w:ascii="Arial" w:cs="Arial" w:eastAsia="Arial" w:hAnsi="Arial"/>
          <w:sz w:val="19"/>
          <w:szCs w:val="19"/>
          <w:color w:val="auto"/>
        </w:rPr>
        <w:t xml:space="preserve"> for required disclosures under ASU No. 2017-12.</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 xml:space="preserve">Recently Issued Financial Accounting Standards Not Yet Adopted </w:t>
      </w:r>
      <w:r>
        <w:rPr>
          <w:rFonts w:ascii="Arial" w:cs="Arial" w:eastAsia="Arial" w:hAnsi="Arial"/>
          <w:sz w:val="18"/>
          <w:szCs w:val="18"/>
          <w:color w:val="auto"/>
        </w:rPr>
        <w:t>- In February 2016, the Financial Accounting Standards Board (“FASB”)</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ASU No. 2016-02: Leases (Topic 842) (“ASU No. 2016-02”). ASU No. 2016-02 requires the lease rights and obligations arising from lease contracts, including existing and new arrangements, to be recognized as assets and liabilities on the balance sheet. In July 2018, the FASB issued ASU No. 2018-11: Leases (Topic 842): Targeted Improvements (“ASU No. 2018-11”), that allows for an additional transition method, which permits use of the effective date of adoption as the date of initial application of ASU No. 2016-02 without restating comparative period financial statements. ASU No. 2016-02 and ASU No. 2018-11 are effective for the Company in 2019 and the Company will adopt ASU No. 2016-02 using the transition method allowable under ASU No. 2018-11. The Company plans to elect a transition package including practical expedients that require application to comparative periods but do not require it to reassess the classification and initial direct costs of expired or existing contracts and leases. In preparation for adoption, the Company is in the process of implementing a new lease accounting system and is assessing the overall impact of adoption on its financial statements and internal control over financial reporting. Adoption of ASU No. 2016-02 is expected to have an impact on the Company’s Consolidated Balance Sheet due to recognition of right-of-use assets and lease liabilities related to real estate and equipment under operating lease agreements. The adoption will result in a credit to the beginning balance of Accumulated Deficit to derecognize deferred gains on sale-leaseback transactions and a corresponding debit for the related deferred tax assets. At September 30, 2018, deferred gains on sale-leaseback transactions and their related deferred tax assets were $192.7 million and $49.6 million, respectively. There will also be an increase to Other restaurant operating expense in future periods since the Company will not recognize these deferred gains through its statements of operations over the corresponding lease term. During the thirty-nine weeks ended September 30, 2018, the Company recorded $9.2 million of sale-leaseback deferred gain amortization. The Company’s evaluation of ASU No. 2016-02 is ongoing and may identify additional impacts on its Consolidated Financial Statements and related disclosures.</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Reclassifications - </w:t>
      </w:r>
      <w:r>
        <w:rPr>
          <w:rFonts w:ascii="Arial" w:cs="Arial" w:eastAsia="Arial" w:hAnsi="Arial"/>
          <w:sz w:val="20"/>
          <w:szCs w:val="20"/>
          <w:color w:val="auto"/>
        </w:rPr>
        <w:t>The Company reclassified certain items in the accompanying Consolidated Financial Statements for prior periods to be</w:t>
      </w:r>
      <w:r>
        <w:rPr>
          <w:rFonts w:ascii="Arial" w:cs="Arial" w:eastAsia="Arial" w:hAnsi="Arial"/>
          <w:sz w:val="20"/>
          <w:szCs w:val="20"/>
          <w:i w:val="1"/>
          <w:iCs w:val="1"/>
          <w:color w:val="auto"/>
        </w:rPr>
        <w:t xml:space="preserve"> </w:t>
      </w:r>
      <w:r>
        <w:rPr>
          <w:rFonts w:ascii="Arial" w:cs="Arial" w:eastAsia="Arial" w:hAnsi="Arial"/>
          <w:sz w:val="20"/>
          <w:szCs w:val="20"/>
          <w:color w:val="auto"/>
        </w:rPr>
        <w:t>comparable with the classification for the current period.</w:t>
      </w:r>
    </w:p>
    <w:p>
      <w:pPr>
        <w:spacing w:after="0" w:line="19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6"/>
          <w:szCs w:val="16"/>
          <w:color w:val="auto"/>
        </w:rPr>
        <w:t>Revenue Recognition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records food and beverage revenues, net of discounts and taxes, upon delivery to the customer. Franchise-related revenues are included in Franchise and other revenues in the Company’s Consolidated Statements of Operations and Comprehensive (Loss) Income. Royalties, which are a percentage of net sales of the franchisee, are recognized as revenue in the period which the sales are reported to have occurred.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table includes the categories of revenue included in the Company’s Consolidated Statements of Operations and Comprehensive (Loss) Income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58"/>
        </w:trPr>
        <w:tc>
          <w:tcPr>
            <w:tcW w:w="4700" w:type="dxa"/>
            <w:vAlign w:val="bottom"/>
          </w:tcPr>
          <w:p>
            <w:pPr>
              <w:spacing w:after="0"/>
              <w:rPr>
                <w:sz w:val="22"/>
                <w:szCs w:val="22"/>
                <w:color w:val="auto"/>
              </w:rPr>
            </w:pP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2018</w:t>
            </w: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SEPTEMBER 24, 2017</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2018</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24, 2017</w:t>
            </w:r>
          </w:p>
        </w:tc>
        <w:tc>
          <w:tcPr>
            <w:tcW w:w="0" w:type="dxa"/>
            <w:vAlign w:val="bottom"/>
          </w:tcPr>
          <w:p>
            <w:pPr>
              <w:spacing w:after="0"/>
              <w:rPr>
                <w:sz w:val="1"/>
                <w:szCs w:val="1"/>
                <w:color w:val="auto"/>
              </w:rPr>
            </w:pPr>
          </w:p>
        </w:tc>
      </w:tr>
      <w:tr>
        <w:trPr>
          <w:trHeight w:val="289"/>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(Restated) (1)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300"/>
              <w:spacing w:after="0"/>
              <w:rPr>
                <w:sz w:val="20"/>
                <w:szCs w:val="20"/>
                <w:color w:val="auto"/>
              </w:rPr>
            </w:pPr>
            <w:r>
              <w:rPr>
                <w:rFonts w:ascii="Arial" w:cs="Arial" w:eastAsia="Arial" w:hAnsi="Arial"/>
                <w:sz w:val="14"/>
                <w:szCs w:val="14"/>
                <w:b w:val="1"/>
                <w:bCs w:val="1"/>
                <w:color w:val="auto"/>
              </w:rPr>
              <w:t>(Restated) (1)</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949,400</w:t>
            </w:r>
          </w:p>
        </w:tc>
        <w:tc>
          <w:tcPr>
            <w:tcW w:w="12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940,012</w:t>
            </w:r>
          </w:p>
        </w:tc>
        <w:tc>
          <w:tcPr>
            <w:tcW w:w="120" w:type="dxa"/>
            <w:vAlign w:val="bottom"/>
          </w:tcPr>
          <w:p>
            <w:pPr>
              <w:spacing w:after="0"/>
              <w:rPr>
                <w:sz w:val="20"/>
                <w:szCs w:val="20"/>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3,063,887</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3,105,027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Franchise revenue</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12,534</w:t>
            </w:r>
          </w:p>
        </w:tc>
        <w:tc>
          <w:tcPr>
            <w:tcW w:w="12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12,400</w:t>
            </w:r>
          </w:p>
        </w:tc>
        <w:tc>
          <w:tcPr>
            <w:tcW w:w="120" w:type="dxa"/>
            <w:vAlign w:val="bottom"/>
          </w:tcPr>
          <w:p>
            <w:pPr>
              <w:spacing w:after="0"/>
              <w:rPr>
                <w:sz w:val="20"/>
                <w:szCs w:val="20"/>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39,883</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33,062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w:t>
            </w:r>
          </w:p>
        </w:tc>
        <w:tc>
          <w:tcPr>
            <w:tcW w:w="4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3,175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9,530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8,667</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Franchise and other revenues</w:t>
            </w: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15,621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15,575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49,413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41,729</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965,021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955,587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3,113,300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3,146,756</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tables include the disaggregation of Restaurant sales and Franchise revenue, by restaurant concept and major international market,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THIRTEEN WEEKS ENDED</w:t>
            </w:r>
          </w:p>
        </w:tc>
        <w:tc>
          <w:tcPr>
            <w:tcW w:w="360" w:type="dxa"/>
            <w:vAlign w:val="bottom"/>
          </w:tcPr>
          <w:p>
            <w:pPr>
              <w:spacing w:after="0"/>
              <w:rPr>
                <w:sz w:val="16"/>
                <w:szCs w:val="16"/>
                <w:color w:val="auto"/>
              </w:rPr>
            </w:pPr>
          </w:p>
        </w:tc>
        <w:tc>
          <w:tcPr>
            <w:tcW w:w="29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THIRTY-NINE WEEKS ENDED</w:t>
            </w:r>
          </w:p>
        </w:tc>
      </w:tr>
      <w:tr>
        <w:trPr>
          <w:trHeight w:val="276"/>
        </w:trPr>
        <w:tc>
          <w:tcPr>
            <w:tcW w:w="47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SEPTEMBER 30, 2018</w:t>
            </w:r>
          </w:p>
        </w:tc>
      </w:tr>
      <w:tr>
        <w:trPr>
          <w:trHeight w:val="153"/>
        </w:trPr>
        <w:tc>
          <w:tcPr>
            <w:tcW w:w="4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FRANCHISE</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80"/>
              <w:spacing w:after="0" w:line="153" w:lineRule="exact"/>
              <w:rPr>
                <w:sz w:val="20"/>
                <w:szCs w:val="20"/>
                <w:color w:val="auto"/>
              </w:rPr>
            </w:pPr>
            <w:r>
              <w:rPr>
                <w:rFonts w:ascii="Arial" w:cs="Arial" w:eastAsia="Arial" w:hAnsi="Arial"/>
                <w:sz w:val="14"/>
                <w:szCs w:val="14"/>
                <w:b w:val="1"/>
                <w:bCs w:val="1"/>
                <w:color w:val="auto"/>
              </w:rPr>
              <w:t>FRANCHISE</w:t>
            </w:r>
          </w:p>
        </w:tc>
      </w:tr>
      <w:tr>
        <w:trPr>
          <w:trHeight w:val="205"/>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gridSpan w:val="3"/>
          </w:tcPr>
          <w:p>
            <w:pPr>
              <w:ind w:left="60"/>
              <w:spacing w:after="0"/>
              <w:rPr>
                <w:sz w:val="20"/>
                <w:szCs w:val="20"/>
                <w:color w:val="auto"/>
              </w:rPr>
            </w:pPr>
            <w:r>
              <w:rPr>
                <w:rFonts w:ascii="Arial" w:cs="Arial" w:eastAsia="Arial" w:hAnsi="Arial"/>
                <w:sz w:val="14"/>
                <w:szCs w:val="14"/>
                <w:b w:val="1"/>
                <w:bCs w:val="1"/>
                <w:color w:val="auto"/>
              </w:rPr>
              <w:t>RESTAURANT SALES</w:t>
            </w:r>
          </w:p>
        </w:tc>
        <w:tc>
          <w:tcPr>
            <w:tcW w:w="24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REVENUE</w:t>
            </w: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rPr>
              <w:t>RESTAURANT SALES</w:t>
            </w:r>
          </w:p>
        </w:tc>
        <w:tc>
          <w:tcPr>
            <w:tcW w:w="240" w:type="dxa"/>
            <w:vAlign w:val="bottom"/>
          </w:tcPr>
          <w:p>
            <w:pPr>
              <w:spacing w:after="0"/>
              <w:rPr>
                <w:sz w:val="17"/>
                <w:szCs w:val="17"/>
                <w:color w:val="auto"/>
              </w:rPr>
            </w:pPr>
          </w:p>
        </w:tc>
        <w:tc>
          <w:tcPr>
            <w:tcW w:w="1340" w:type="dxa"/>
            <w:vAlign w:val="bottom"/>
          </w:tcPr>
          <w:p>
            <w:pPr>
              <w:jc w:val="right"/>
              <w:ind w:right="360"/>
              <w:spacing w:after="0"/>
              <w:rPr>
                <w:sz w:val="20"/>
                <w:szCs w:val="20"/>
                <w:color w:val="auto"/>
              </w:rPr>
            </w:pPr>
            <w:r>
              <w:rPr>
                <w:rFonts w:ascii="Arial" w:cs="Arial" w:eastAsia="Arial" w:hAnsi="Arial"/>
                <w:sz w:val="14"/>
                <w:szCs w:val="14"/>
                <w:b w:val="1"/>
                <w:bCs w:val="1"/>
                <w:color w:val="auto"/>
              </w:rPr>
              <w:t>REVENUE</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Outback Steakhouse (1)</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498,390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9,583</w:t>
            </w:r>
          </w:p>
        </w:tc>
        <w:tc>
          <w:tcPr>
            <w:tcW w:w="12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1,591,588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30,814</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(1)</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148,513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485,894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458</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42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135,691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441,594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691</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64,652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218,954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Other</w:t>
            </w:r>
          </w:p>
        </w:tc>
        <w:tc>
          <w:tcPr>
            <w:tcW w:w="42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1,591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4,088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30"/>
        </w:trPr>
        <w:tc>
          <w:tcPr>
            <w:tcW w:w="47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420" w:type="dxa"/>
            <w:vAlign w:val="bottom"/>
            <w:tcBorders>
              <w:top w:val="single" w:sz="8" w:color="auto"/>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848,837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2,742,118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31,963</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Steakhouse-Brazil</w:t>
            </w:r>
          </w:p>
        </w:tc>
        <w:tc>
          <w:tcPr>
            <w:tcW w:w="42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81,193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19,370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2,579</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57,644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7,920</w:t>
            </w: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Total</w:t>
            </w: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100,563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2,579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321,769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7,920</w:t>
            </w:r>
          </w:p>
        </w:tc>
      </w:tr>
      <w:tr>
        <w:trPr>
          <w:trHeight w:val="250"/>
        </w:trPr>
        <w:tc>
          <w:tcPr>
            <w:tcW w:w="4700" w:type="dxa"/>
            <w:vAlign w:val="bottom"/>
          </w:tcPr>
          <w:p>
            <w:pPr>
              <w:ind w:left="50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949,400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12,534</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3,063,887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39,883</w:t>
            </w:r>
          </w:p>
        </w:tc>
      </w:tr>
      <w:tr>
        <w:trPr>
          <w:trHeight w:val="20"/>
        </w:trPr>
        <w:tc>
          <w:tcPr>
            <w:tcW w:w="4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5"/>
          </w:tcPr>
          <w:p>
            <w:pPr>
              <w:ind w:left="52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6"/>
                <w:szCs w:val="16"/>
                <w:color w:val="auto"/>
              </w:rPr>
            </w:pPr>
          </w:p>
        </w:tc>
        <w:tc>
          <w:tcPr>
            <w:tcW w:w="302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76"/>
        </w:trPr>
        <w:tc>
          <w:tcPr>
            <w:tcW w:w="47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10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SEPTEMBER 24, 2017</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14"/>
                <w:szCs w:val="14"/>
                <w:b w:val="1"/>
                <w:bCs w:val="1"/>
                <w:color w:val="auto"/>
              </w:rPr>
              <w:t>SEPTEMBER 24, 2017</w:t>
            </w:r>
          </w:p>
        </w:tc>
        <w:tc>
          <w:tcPr>
            <w:tcW w:w="0" w:type="dxa"/>
            <w:vAlign w:val="bottom"/>
          </w:tcPr>
          <w:p>
            <w:pPr>
              <w:spacing w:after="0"/>
              <w:rPr>
                <w:sz w:val="1"/>
                <w:szCs w:val="1"/>
                <w:color w:val="auto"/>
              </w:rPr>
            </w:pPr>
          </w:p>
        </w:tc>
      </w:tr>
      <w:tr>
        <w:trPr>
          <w:trHeight w:val="153"/>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FRANCHISE</w:t>
            </w: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61"/>
              <w:spacing w:after="0" w:line="153"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205"/>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RESTAURANT SALES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RESTAURANT SALES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2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3"/>
              </w:rPr>
              <w:t>(Restated) (2)</w:t>
            </w: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3"/>
              </w:rPr>
              <w:t>(Restated) (2)</w:t>
            </w:r>
          </w:p>
        </w:tc>
        <w:tc>
          <w:tcPr>
            <w:tcW w:w="2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3"/>
              </w:rPr>
              <w:t>(Restated) (2)</w:t>
            </w: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jc w:val="center"/>
              <w:ind w:right="161"/>
              <w:spacing w:after="0"/>
              <w:rPr>
                <w:sz w:val="20"/>
                <w:szCs w:val="20"/>
                <w:color w:val="auto"/>
              </w:rPr>
            </w:pPr>
            <w:r>
              <w:rPr>
                <w:rFonts w:ascii="Arial" w:cs="Arial" w:eastAsia="Arial" w:hAnsi="Arial"/>
                <w:sz w:val="14"/>
                <w:szCs w:val="14"/>
                <w:b w:val="1"/>
                <w:bCs w:val="1"/>
                <w:color w:val="auto"/>
                <w:w w:val="91"/>
              </w:rPr>
              <w:t>(Restated) (2)</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Outback Steakhouse (1)</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478,637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9,573</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1,609,172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24,538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150,943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501,965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136,134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450,521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60,208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208,083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3"/>
                <w:szCs w:val="23"/>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7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2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826,076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9,920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2,769,895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25,647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Steakhouse-Brazil</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95,344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282,035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18,592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2,480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53,097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7,415</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Total</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113,936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335,132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7,415</w:t>
            </w:r>
          </w:p>
        </w:tc>
        <w:tc>
          <w:tcPr>
            <w:tcW w:w="0" w:type="dxa"/>
            <w:vAlign w:val="bottom"/>
          </w:tcPr>
          <w:p>
            <w:pPr>
              <w:spacing w:after="0"/>
              <w:rPr>
                <w:sz w:val="1"/>
                <w:szCs w:val="1"/>
                <w:color w:val="auto"/>
              </w:rPr>
            </w:pPr>
          </w:p>
        </w:tc>
      </w:tr>
      <w:tr>
        <w:trPr>
          <w:trHeight w:val="250"/>
        </w:trPr>
        <w:tc>
          <w:tcPr>
            <w:tcW w:w="4700" w:type="dxa"/>
            <w:vAlign w:val="bottom"/>
          </w:tcPr>
          <w:p>
            <w:pPr>
              <w:ind w:left="5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940,012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12,400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3,105,027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33,062</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2017, the Company sold 53 Outback Steakhouse restaurants and one Carrabba’s Italian Grill restaurant, which are now operated as franchises.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 xml:space="preserve">Gift Card Revenue - </w:t>
      </w:r>
      <w:r>
        <w:rPr>
          <w:rFonts w:ascii="Arial" w:cs="Arial" w:eastAsia="Arial" w:hAnsi="Arial"/>
          <w:sz w:val="19"/>
          <w:szCs w:val="19"/>
          <w:color w:val="auto"/>
        </w:rPr>
        <w:t>Proceeds from the sale of gift cards, which do not have expiration dates, are recorded as deferred revenue and recognized</w:t>
      </w:r>
      <w:r>
        <w:rPr>
          <w:rFonts w:ascii="Arial" w:cs="Arial" w:eastAsia="Arial" w:hAnsi="Arial"/>
          <w:sz w:val="19"/>
          <w:szCs w:val="19"/>
          <w:i w:val="1"/>
          <w:iCs w:val="1"/>
          <w:color w:val="auto"/>
        </w:rPr>
        <w:t xml:space="preserve"> </w:t>
      </w:r>
      <w:r>
        <w:rPr>
          <w:rFonts w:ascii="Arial" w:cs="Arial" w:eastAsia="Arial" w:hAnsi="Arial"/>
          <w:sz w:val="19"/>
          <w:szCs w:val="19"/>
          <w:color w:val="auto"/>
        </w:rPr>
        <w:t>as revenue upon redemption by the customer. Gift cards sold at a discount are recorded as revenue upon redemption of the associated gift cards at an amount net of the related discount. Gift card breakage, the amount of gift cards which will not be redeemed, is recognized using estimates based on historical redemption patterns. If actual redemptions vary from the estimated breakage, gift card breakage income may differ from the amount recorded. The Company periodically updates its estimates used for breakage. Gift card sales that are accompanied by a bonus card to be used by the customer at a future visit result in a separate deferral of a portion of the original gift card sale. Revenue is recorded when the bonus card is redeemed at the estimated fair market value of the bonus card. Approximately 86% of the current deferred gift card revenue is expected to be recognized over the next 12 months.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Gift card sales commissions paid to third-party providers are initially capitalized and subsequently amortized to Other restaurant operating expenses based on historical gift card redemption patterns.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Advertising Fees - </w:t>
      </w:r>
      <w:r>
        <w:rPr>
          <w:rFonts w:ascii="Arial" w:cs="Arial" w:eastAsia="Arial" w:hAnsi="Arial"/>
          <w:sz w:val="20"/>
          <w:szCs w:val="20"/>
          <w:color w:val="auto"/>
        </w:rPr>
        <w:t>Advertising fees charged to franchisees are recognized as Franchise revenue in the Company’s Consolidated Statements of</w:t>
      </w:r>
      <w:r>
        <w:rPr>
          <w:rFonts w:ascii="Arial" w:cs="Arial" w:eastAsia="Arial" w:hAnsi="Arial"/>
          <w:sz w:val="20"/>
          <w:szCs w:val="20"/>
          <w:i w:val="1"/>
          <w:iCs w:val="1"/>
          <w:color w:val="auto"/>
        </w:rPr>
        <w:t xml:space="preserve"> </w:t>
      </w:r>
      <w:r>
        <w:rPr>
          <w:rFonts w:ascii="Arial" w:cs="Arial" w:eastAsia="Arial" w:hAnsi="Arial"/>
          <w:sz w:val="20"/>
          <w:szCs w:val="20"/>
          <w:color w:val="auto"/>
        </w:rPr>
        <w:t>Operations and Comprehensive (Loss)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Franchise Fees - </w:t>
      </w:r>
      <w:r>
        <w:rPr>
          <w:rFonts w:ascii="Arial" w:cs="Arial" w:eastAsia="Arial" w:hAnsi="Arial"/>
          <w:sz w:val="18"/>
          <w:szCs w:val="18"/>
          <w:color w:val="auto"/>
        </w:rPr>
        <w:t>Initial franchise and renewal fees are recognized over the term of the franchise agreement and renewal period,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term of franchise agreements and renewal periods was approximately 15 years as of September 30, 2018.</w:t>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Loyalty Program - </w:t>
      </w:r>
      <w:r>
        <w:rPr>
          <w:rFonts w:ascii="Arial" w:cs="Arial" w:eastAsia="Arial" w:hAnsi="Arial"/>
          <w:sz w:val="19"/>
          <w:szCs w:val="19"/>
          <w:color w:val="auto"/>
        </w:rPr>
        <w:t>The Company maintains a customer loyalty program, Dine Rewards, in the U.S., where customers have the ability to earn a</w:t>
      </w:r>
      <w:r>
        <w:rPr>
          <w:rFonts w:ascii="Arial" w:cs="Arial" w:eastAsia="Arial" w:hAnsi="Arial"/>
          <w:sz w:val="19"/>
          <w:szCs w:val="19"/>
          <w:i w:val="1"/>
          <w:iCs w:val="1"/>
          <w:color w:val="auto"/>
        </w:rPr>
        <w:t xml:space="preserve"> </w:t>
      </w:r>
      <w:r>
        <w:rPr>
          <w:rFonts w:ascii="Arial" w:cs="Arial" w:eastAsia="Arial" w:hAnsi="Arial"/>
          <w:sz w:val="19"/>
          <w:szCs w:val="19"/>
          <w:color w:val="auto"/>
        </w:rPr>
        <w:t>reward after a number of qualified visits. The Company has developed an estimated value of the partial reward earned from each qualified visit, which is recorded as deferred revenue. Each reward has a maximum value and must be redeemed within three months of earning such reward. The revenue associated with the fair value of the qualified visit is recognized upon the earlier of redemption or expiration of the reward. The Company applies the practical expedient to exclude disclosures regarding loyalty program remaining performance obligations which have original expected durations of one year or less.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table includes a detail of assets and liabilities from contracts with customers included on the Company’s Consolidated Balance Sheets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7"/>
                <w:szCs w:val="17"/>
                <w:color w:val="auto"/>
              </w:rPr>
            </w:pPr>
          </w:p>
        </w:tc>
        <w:tc>
          <w:tcPr>
            <w:tcW w:w="172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20" w:type="dxa"/>
            <w:vAlign w:val="bottom"/>
          </w:tcPr>
          <w:p>
            <w:pPr>
              <w:spacing w:after="0"/>
              <w:rPr>
                <w:sz w:val="21"/>
                <w:szCs w:val="21"/>
                <w:color w:val="auto"/>
              </w:rPr>
            </w:pPr>
          </w:p>
        </w:tc>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Deferred gift card sales commissions (1)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40"/>
              <w:spacing w:after="0"/>
              <w:rPr>
                <w:sz w:val="20"/>
                <w:szCs w:val="20"/>
                <w:color w:val="auto"/>
              </w:rPr>
            </w:pPr>
            <w:r>
              <w:rPr>
                <w:rFonts w:ascii="Arial" w:cs="Arial" w:eastAsia="Arial" w:hAnsi="Arial"/>
                <w:sz w:val="16"/>
                <w:szCs w:val="16"/>
                <w:color w:val="auto"/>
              </w:rPr>
              <w:t>7,910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16,231</w:t>
            </w:r>
          </w:p>
        </w:tc>
      </w:tr>
      <w:tr>
        <w:trPr>
          <w:trHeight w:val="33"/>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7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gift card revenue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323,628</w:t>
            </w: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Deferred loyalty revenue</w:t>
            </w:r>
          </w:p>
        </w:tc>
        <w:tc>
          <w:tcPr>
            <w:tcW w:w="180" w:type="dxa"/>
            <w:vAlign w:val="bottom"/>
          </w:tcPr>
          <w:p>
            <w:pPr>
              <w:spacing w:after="0"/>
              <w:rPr>
                <w:sz w:val="20"/>
                <w:szCs w:val="20"/>
                <w:color w:val="auto"/>
              </w:rPr>
            </w:pPr>
          </w:p>
        </w:tc>
        <w:tc>
          <w:tcPr>
            <w:tcW w:w="1780" w:type="dxa"/>
            <w:vAlign w:val="bottom"/>
          </w:tcPr>
          <w:p>
            <w:pPr>
              <w:jc w:val="right"/>
              <w:ind w:right="40"/>
              <w:spacing w:after="0"/>
              <w:rPr>
                <w:sz w:val="20"/>
                <w:szCs w:val="20"/>
                <w:color w:val="auto"/>
              </w:rPr>
            </w:pPr>
            <w:r>
              <w:rPr>
                <w:rFonts w:ascii="Arial" w:cs="Arial" w:eastAsia="Arial" w:hAnsi="Arial"/>
                <w:sz w:val="16"/>
                <w:szCs w:val="16"/>
                <w:color w:val="auto"/>
              </w:rPr>
              <w:t>8,535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6,667</w:t>
            </w:r>
          </w:p>
        </w:tc>
      </w:tr>
      <w:tr>
        <w:trPr>
          <w:trHeight w:val="33"/>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franchise fees - current (1)</w:t>
            </w:r>
          </w:p>
        </w:tc>
        <w:tc>
          <w:tcPr>
            <w:tcW w:w="18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461</w:t>
            </w:r>
          </w:p>
        </w:tc>
      </w:tr>
      <w:tr>
        <w:trPr>
          <w:trHeight w:val="290"/>
        </w:trPr>
        <w:tc>
          <w:tcPr>
            <w:tcW w:w="20" w:type="dxa"/>
            <w:vAlign w:val="bottom"/>
          </w:tcPr>
          <w:p>
            <w:pPr>
              <w:spacing w:after="0"/>
              <w:rPr>
                <w:sz w:val="24"/>
                <w:szCs w:val="24"/>
                <w:color w:val="auto"/>
              </w:rPr>
            </w:pPr>
          </w:p>
        </w:tc>
        <w:tc>
          <w:tcPr>
            <w:tcW w:w="74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Unearned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202,277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330,756</w:t>
            </w:r>
          </w:p>
        </w:tc>
      </w:tr>
      <w:tr>
        <w:trPr>
          <w:trHeight w:val="284"/>
        </w:trPr>
        <w:tc>
          <w:tcPr>
            <w:tcW w:w="20" w:type="dxa"/>
            <w:vAlign w:val="bottom"/>
          </w:tcPr>
          <w:p>
            <w:pPr>
              <w:spacing w:after="0"/>
              <w:rPr>
                <w:sz w:val="24"/>
                <w:szCs w:val="24"/>
                <w:color w:val="auto"/>
              </w:rPr>
            </w:pPr>
          </w:p>
        </w:tc>
        <w:tc>
          <w:tcPr>
            <w:tcW w:w="7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6"/>
                <w:szCs w:val="16"/>
                <w:color w:val="auto"/>
              </w:rPr>
              <w:t>Other long-term liabilities, net</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franchise fees - non-current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4,698</w:t>
            </w:r>
          </w:p>
        </w:tc>
      </w:tr>
      <w:tr>
        <w:trPr>
          <w:trHeight w:val="193"/>
        </w:trPr>
        <w:tc>
          <w:tcPr>
            <w:tcW w:w="20" w:type="dxa"/>
            <w:vAlign w:val="bottom"/>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r>
    </w:tbl>
    <w:p>
      <w:pPr>
        <w:ind w:left="660" w:right="20" w:hanging="652"/>
        <w:spacing w:after="0" w:line="25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 on the Company’s Consolidated Balance Sheet as of December 31, 2017.</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deferred gift card sales commissions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rPr>
              <w:t>THIRTEEN WEEKS ENDED</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2018</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24, 2017</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2018</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24, 2017</w:t>
            </w:r>
          </w:p>
        </w:tc>
      </w:tr>
      <w:tr>
        <w:trPr>
          <w:trHeight w:val="237"/>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420" w:type="dxa"/>
            <w:vAlign w:val="bottom"/>
            <w:tcBorders>
              <w:top w:val="single" w:sz="8" w:color="auto"/>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15,584</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Deferred gift card sales commissions amortization</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(4,932)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(4,774)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(20,151)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(18,530)</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gift card sales commissions capitalization</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4,029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12,553</w:t>
            </w: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(2,260)</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7,910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7,910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7,347</w:t>
            </w:r>
          </w:p>
        </w:tc>
      </w:tr>
      <w:tr>
        <w:trPr>
          <w:trHeight w:val="20"/>
        </w:trPr>
        <w:tc>
          <w:tcPr>
            <w:tcW w:w="4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applies the portfolio approach practical expedient to account for gift card contracts and performance obligations. The following table is a rollforward of unearned gift card revenue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2018</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24, 2017</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2018</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24, 2017</w:t>
            </w:r>
          </w:p>
        </w:tc>
        <w:tc>
          <w:tcPr>
            <w:tcW w:w="0" w:type="dxa"/>
            <w:vAlign w:val="bottom"/>
          </w:tcPr>
          <w:p>
            <w:pPr>
              <w:spacing w:after="0"/>
              <w:rPr>
                <w:sz w:val="1"/>
                <w:szCs w:val="1"/>
                <w:color w:val="auto"/>
              </w:rPr>
            </w:pPr>
          </w:p>
        </w:tc>
      </w:tr>
      <w:tr>
        <w:trPr>
          <w:trHeight w:val="237"/>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420" w:type="dxa"/>
            <w:vAlign w:val="bottom"/>
            <w:tcBorders>
              <w:top w:val="single" w:sz="8" w:color="auto"/>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213,286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201,805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323,628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331,803</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Gift card sales</w:t>
            </w:r>
          </w:p>
        </w:tc>
        <w:tc>
          <w:tcPr>
            <w:tcW w:w="42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54,477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54,392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189,599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193,638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Gift card redemptions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(71,146)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(304,198)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(329,696)</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Gift card breakage (1)</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w:t>
            </w: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(15,746)</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(17,617)</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193,283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178,128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193,283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178,128</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 for the thirteen and thirty-nine weeks ended September 24, 2017.</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6"/>
          <w:szCs w:val="16"/>
          <w:color w:val="auto"/>
        </w:rPr>
        <w:t>Impairments and Exit Costs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Provision for impaired assets and restaurant closings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THIRTEEN WEEKS ENDED</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4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101"/>
              <w:spacing w:after="0" w:line="153" w:lineRule="exact"/>
              <w:rPr>
                <w:sz w:val="20"/>
                <w:szCs w:val="20"/>
                <w:color w:val="auto"/>
              </w:rPr>
            </w:pPr>
            <w:r>
              <w:rPr>
                <w:rFonts w:ascii="Arial" w:cs="Arial" w:eastAsia="Arial" w:hAnsi="Arial"/>
                <w:sz w:val="14"/>
                <w:szCs w:val="14"/>
                <w:b w:val="1"/>
                <w:bCs w:val="1"/>
                <w:color w:val="auto"/>
              </w:rPr>
              <w:t>SEPTEMBER 24,</w:t>
            </w:r>
          </w:p>
        </w:tc>
      </w:tr>
      <w:tr>
        <w:trPr>
          <w:trHeight w:val="205"/>
        </w:trPr>
        <w:tc>
          <w:tcPr>
            <w:tcW w:w="48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2018</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7"/>
                <w:szCs w:val="17"/>
                <w:color w:val="auto"/>
              </w:rPr>
            </w:pPr>
          </w:p>
        </w:tc>
        <w:tc>
          <w:tcPr>
            <w:tcW w:w="1320" w:type="dxa"/>
            <w:vAlign w:val="bottom"/>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losses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800" w:type="dxa"/>
            <w:vAlign w:val="bottom"/>
          </w:tcPr>
          <w:p>
            <w:pPr>
              <w:ind w:left="280"/>
              <w:spacing w:after="0"/>
              <w:rPr>
                <w:sz w:val="20"/>
                <w:szCs w:val="20"/>
                <w:color w:val="auto"/>
              </w:rPr>
            </w:pPr>
            <w:r>
              <w:rPr>
                <w:rFonts w:ascii="Arial" w:cs="Arial" w:eastAsia="Arial" w:hAnsi="Arial"/>
                <w:sz w:val="16"/>
                <w:szCs w:val="16"/>
                <w:color w:val="auto"/>
              </w:rPr>
              <w:t>U.S.</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20"/>
                <w:szCs w:val="20"/>
                <w:color w:val="auto"/>
              </w:rPr>
            </w:pPr>
          </w:p>
        </w:tc>
        <w:tc>
          <w:tcPr>
            <w:tcW w:w="98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12,339</w:t>
            </w:r>
          </w:p>
        </w:tc>
        <w:tc>
          <w:tcPr>
            <w:tcW w:w="1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13,272</w:t>
            </w:r>
          </w:p>
        </w:tc>
      </w:tr>
      <w:tr>
        <w:trPr>
          <w:trHeight w:val="33"/>
        </w:trPr>
        <w:tc>
          <w:tcPr>
            <w:tcW w:w="4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4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1,903</w:t>
            </w:r>
          </w:p>
        </w:tc>
      </w:tr>
      <w:tr>
        <w:trPr>
          <w:trHeight w:val="270"/>
        </w:trPr>
        <w:tc>
          <w:tcPr>
            <w:tcW w:w="4800" w:type="dxa"/>
            <w:vAlign w:val="bottom"/>
            <w:tcBorders>
              <w:top w:val="single" w:sz="8" w:color="CCEEFF"/>
              <w:bottom w:val="single" w:sz="8" w:color="CCEEFF"/>
            </w:tcBorders>
          </w:tcPr>
          <w:p>
            <w:pPr>
              <w:ind w:left="500"/>
              <w:spacing w:after="0"/>
              <w:rPr>
                <w:sz w:val="20"/>
                <w:szCs w:val="20"/>
                <w:color w:val="auto"/>
              </w:rPr>
            </w:pPr>
            <w:r>
              <w:rPr>
                <w:rFonts w:ascii="Arial" w:cs="Arial" w:eastAsia="Arial" w:hAnsi="Arial"/>
                <w:sz w:val="16"/>
                <w:szCs w:val="16"/>
                <w:color w:val="auto"/>
              </w:rPr>
              <w:t>Total impairment losses</w:t>
            </w: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1,330</w:t>
            </w:r>
          </w:p>
        </w:tc>
        <w:tc>
          <w:tcPr>
            <w:tcW w:w="120" w:type="dxa"/>
            <w:vAlign w:val="bottom"/>
            <w:tcBorders>
              <w:top w:val="single" w:sz="8" w:color="CCEEFF"/>
              <w:bottom w:val="single" w:sz="8" w:color="CCEEFF"/>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14,242</w:t>
            </w:r>
          </w:p>
        </w:tc>
        <w:tc>
          <w:tcPr>
            <w:tcW w:w="120" w:type="dxa"/>
            <w:vAlign w:val="bottom"/>
            <w:tcBorders>
              <w:top w:val="single" w:sz="8" w:color="CCEEFF"/>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8,322</w:t>
            </w:r>
          </w:p>
        </w:tc>
        <w:tc>
          <w:tcPr>
            <w:tcW w:w="100" w:type="dxa"/>
            <w:vAlign w:val="bottom"/>
            <w:tcBorders>
              <w:top w:val="single" w:sz="8" w:color="CCEEFF"/>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15,175</w:t>
            </w: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Restaurant closure expenses</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4800" w:type="dxa"/>
            <w:vAlign w:val="bottom"/>
          </w:tcPr>
          <w:p>
            <w:pPr>
              <w:ind w:left="280"/>
              <w:spacing w:after="0"/>
              <w:rPr>
                <w:sz w:val="20"/>
                <w:szCs w:val="20"/>
                <w:color w:val="auto"/>
              </w:rPr>
            </w:pPr>
            <w:r>
              <w:rPr>
                <w:rFonts w:ascii="Arial" w:cs="Arial" w:eastAsia="Arial" w:hAnsi="Arial"/>
                <w:sz w:val="16"/>
                <w:szCs w:val="16"/>
                <w:color w:val="auto"/>
              </w:rPr>
              <w:t>U.S.</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2,650</w:t>
            </w:r>
          </w:p>
        </w:tc>
        <w:tc>
          <w:tcPr>
            <w:tcW w:w="120" w:type="dxa"/>
            <w:vAlign w:val="bottom"/>
          </w:tcPr>
          <w:p>
            <w:pPr>
              <w:spacing w:after="0"/>
              <w:rPr>
                <w:sz w:val="20"/>
                <w:szCs w:val="20"/>
                <w:color w:val="auto"/>
              </w:rPr>
            </w:pPr>
          </w:p>
        </w:tc>
        <w:tc>
          <w:tcPr>
            <w:tcW w:w="98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4,336</w:t>
            </w:r>
          </w:p>
        </w:tc>
        <w:tc>
          <w:tcPr>
            <w:tcW w:w="1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3,672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23,078</w:t>
            </w:r>
          </w:p>
        </w:tc>
      </w:tr>
      <w:tr>
        <w:trPr>
          <w:trHeight w:val="33"/>
        </w:trPr>
        <w:tc>
          <w:tcPr>
            <w:tcW w:w="4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4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4800" w:type="dxa"/>
            <w:vAlign w:val="bottom"/>
            <w:tcBorders>
              <w:top w:val="single" w:sz="8" w:color="CCEEFF"/>
              <w:bottom w:val="single" w:sz="8" w:color="CCEEFF"/>
            </w:tcBorders>
          </w:tcPr>
          <w:p>
            <w:pPr>
              <w:ind w:left="500"/>
              <w:spacing w:after="0"/>
              <w:rPr>
                <w:sz w:val="20"/>
                <w:szCs w:val="20"/>
                <w:color w:val="auto"/>
              </w:rPr>
            </w:pPr>
            <w:r>
              <w:rPr>
                <w:rFonts w:ascii="Arial" w:cs="Arial" w:eastAsia="Arial" w:hAnsi="Arial"/>
                <w:sz w:val="16"/>
                <w:szCs w:val="16"/>
                <w:color w:val="auto"/>
              </w:rPr>
              <w:t>Total restaurant closure expenses</w:t>
            </w: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2,632</w:t>
            </w:r>
          </w:p>
        </w:tc>
        <w:tc>
          <w:tcPr>
            <w:tcW w:w="120" w:type="dxa"/>
            <w:vAlign w:val="bottom"/>
            <w:tcBorders>
              <w:top w:val="single" w:sz="8" w:color="CCEEFF"/>
              <w:bottom w:val="single" w:sz="8" w:color="CCEEFF"/>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4,336</w:t>
            </w:r>
          </w:p>
        </w:tc>
        <w:tc>
          <w:tcPr>
            <w:tcW w:w="120" w:type="dxa"/>
            <w:vAlign w:val="bottom"/>
            <w:tcBorders>
              <w:top w:val="single" w:sz="8" w:color="CCEEFF"/>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7,268</w:t>
            </w:r>
          </w:p>
        </w:tc>
        <w:tc>
          <w:tcPr>
            <w:tcW w:w="100" w:type="dxa"/>
            <w:vAlign w:val="bottom"/>
            <w:tcBorders>
              <w:top w:val="single" w:sz="8" w:color="CCEEFF"/>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23,078</w:t>
            </w: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impaired assets and restaurant closings</w:t>
            </w:r>
          </w:p>
        </w:tc>
        <w:tc>
          <w:tcPr>
            <w:tcW w:w="4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3,962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18,578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38,253</w:t>
            </w:r>
          </w:p>
        </w:tc>
      </w:tr>
      <w:tr>
        <w:trPr>
          <w:trHeight w:val="20"/>
        </w:trPr>
        <w:tc>
          <w:tcPr>
            <w:tcW w:w="4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Closure Initiatives </w:t>
      </w:r>
      <w:r>
        <w:rPr>
          <w:rFonts w:ascii="Arial" w:cs="Arial" w:eastAsia="Arial" w:hAnsi="Arial"/>
          <w:sz w:val="18"/>
          <w:szCs w:val="18"/>
          <w:color w:val="auto"/>
        </w:rPr>
        <w:t>- Since February 2017, the Company decided to close certain underperforming restaurants in the U.S. and certain Abbraccio</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restaurants outside of the core markets of São Paulo and Rio de Janeiro in Brazil and in 2016 the Company decided to close certain Bonefish Grill restaurants (collectively, the “Closure Initiatives”). Following is a summary of expenses related to the Closure Initiatives recognized in the Company’s Consolidated Statements of Operations and Comprehensive (Loss) Income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20" w:type="dxa"/>
            <w:vAlign w:val="bottom"/>
          </w:tcPr>
          <w:p>
            <w:pPr>
              <w:jc w:val="right"/>
              <w:ind w:right="102"/>
              <w:spacing w:after="0" w:line="153" w:lineRule="exact"/>
              <w:rPr>
                <w:sz w:val="20"/>
                <w:szCs w:val="20"/>
                <w:color w:val="auto"/>
              </w:rPr>
            </w:pPr>
            <w:r>
              <w:rPr>
                <w:rFonts w:ascii="Arial" w:cs="Arial" w:eastAsia="Arial" w:hAnsi="Arial"/>
                <w:sz w:val="14"/>
                <w:szCs w:val="14"/>
                <w:b w:val="1"/>
                <w:bCs w:val="1"/>
                <w:color w:val="auto"/>
              </w:rPr>
              <w:t>SEPTEMBER 24,</w:t>
            </w:r>
          </w:p>
        </w:tc>
        <w:tc>
          <w:tcPr>
            <w:tcW w:w="0" w:type="dxa"/>
            <w:vAlign w:val="bottom"/>
          </w:tcPr>
          <w:p>
            <w:pPr>
              <w:spacing w:after="0"/>
              <w:rPr>
                <w:sz w:val="1"/>
                <w:szCs w:val="1"/>
                <w:color w:val="auto"/>
              </w:rPr>
            </w:pPr>
          </w:p>
        </w:tc>
      </w:tr>
      <w:tr>
        <w:trPr>
          <w:trHeight w:val="205"/>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INCOME STATEMENT LOCATION</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SEPTEMBER 24, 2017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0"/>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Impairment, facility closure and other Provision for impaired assets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 (1)</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restaurant closings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2,370</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4,002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21,784</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Severance and other expenses</w:t>
            </w:r>
          </w:p>
        </w:tc>
        <w:tc>
          <w:tcPr>
            <w:tcW w:w="264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2,948</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Reversal of deferred rent liability</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(469)</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(4,761)</w:t>
            </w:r>
          </w:p>
        </w:tc>
        <w:tc>
          <w:tcPr>
            <w:tcW w:w="0" w:type="dxa"/>
            <w:vAlign w:val="bottom"/>
          </w:tcPr>
          <w:p>
            <w:pPr>
              <w:spacing w:after="0"/>
              <w:rPr>
                <w:sz w:val="1"/>
                <w:szCs w:val="1"/>
                <w:color w:val="auto"/>
              </w:rPr>
            </w:pPr>
          </w:p>
        </w:tc>
      </w:tr>
      <w:tr>
        <w:trPr>
          <w:trHeight w:val="250"/>
        </w:trPr>
        <w:tc>
          <w:tcPr>
            <w:tcW w:w="2520" w:type="dxa"/>
            <w:vAlign w:val="bottom"/>
            <w:tcBorders>
              <w:top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25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2,239</w:t>
            </w:r>
          </w:p>
        </w:tc>
        <w:tc>
          <w:tcPr>
            <w:tcW w:w="120" w:type="dxa"/>
            <w:vAlign w:val="bottom"/>
            <w:tcBorders>
              <w:top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3,772</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3,956</w:t>
            </w: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19,971</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520" w:type="dxa"/>
            <w:vAlign w:val="bottom"/>
            <w:vMerge w:val="continue"/>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660" w:hanging="652"/>
        <w:spacing w:after="0" w:line="25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recognized asset impairment and closure charges within the International segment related to the Closure Initiatives of $1.0 million during the thirty-nine weeks ended September 30, 2018 and $1.9 million during the thirteen and thirty-nine weeks ended September 24, 2017. All other asset impairment and closure charges for the periods presented were recognized within the U.S. segment.</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International Restructuring </w:t>
      </w:r>
      <w:r>
        <w:rPr>
          <w:rFonts w:ascii="Arial" w:cs="Arial" w:eastAsia="Arial" w:hAnsi="Arial"/>
          <w:sz w:val="20"/>
          <w:szCs w:val="20"/>
          <w:color w:val="auto"/>
        </w:rPr>
        <w:t>- During the thirty-nine weeks ended September 30, 2018, the Company recognized asset impairment and closure</w:t>
      </w:r>
      <w:r>
        <w:rPr>
          <w:rFonts w:ascii="Arial" w:cs="Arial" w:eastAsia="Arial" w:hAnsi="Arial"/>
          <w:sz w:val="20"/>
          <w:szCs w:val="20"/>
          <w:i w:val="1"/>
          <w:iCs w:val="1"/>
          <w:color w:val="auto"/>
        </w:rPr>
        <w:t xml:space="preserve"> </w:t>
      </w:r>
      <w:r>
        <w:rPr>
          <w:rFonts w:ascii="Arial" w:cs="Arial" w:eastAsia="Arial" w:hAnsi="Arial"/>
          <w:sz w:val="20"/>
          <w:szCs w:val="20"/>
          <w:color w:val="auto"/>
        </w:rPr>
        <w:t>charges of $9.1 million related to the restructuring of certain international markets, including China.</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Surplus Properties - </w:t>
      </w:r>
      <w:r>
        <w:rPr>
          <w:rFonts w:ascii="Arial" w:cs="Arial" w:eastAsia="Arial" w:hAnsi="Arial"/>
          <w:sz w:val="20"/>
          <w:szCs w:val="20"/>
          <w:color w:val="auto"/>
        </w:rPr>
        <w:t>During the thirteen and thirty-nine weeks ended September 24, 2017, the Company recognized impairment charges of $9.5</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within the U.S. segment in connection with the remeasurement of certain surplus properties currently leased to the owners of its former restaurant concepts.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The remaining restaurant impairment and closing charges resulted primarily from locations identified for remodel, relocation or closure.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Projected Future Expenses and Cash Expenditures </w:t>
      </w:r>
      <w:r>
        <w:rPr>
          <w:rFonts w:ascii="Arial" w:cs="Arial" w:eastAsia="Arial" w:hAnsi="Arial"/>
          <w:sz w:val="19"/>
          <w:szCs w:val="19"/>
          <w:color w:val="auto"/>
        </w:rPr>
        <w:t>- The Company expects to incur additional charges for the Closure Initiatives through Q3</w:t>
      </w:r>
      <w:r>
        <w:rPr>
          <w:rFonts w:ascii="Arial" w:cs="Arial" w:eastAsia="Arial" w:hAnsi="Arial"/>
          <w:sz w:val="19"/>
          <w:szCs w:val="19"/>
          <w:i w:val="1"/>
          <w:iCs w:val="1"/>
          <w:color w:val="auto"/>
        </w:rPr>
        <w:t xml:space="preserve"> </w:t>
      </w:r>
      <w:r>
        <w:rPr>
          <w:rFonts w:ascii="Arial" w:cs="Arial" w:eastAsia="Arial" w:hAnsi="Arial"/>
          <w:sz w:val="19"/>
          <w:szCs w:val="19"/>
          <w:color w:val="auto"/>
        </w:rPr>
        <w:t>2019, including costs associated with lease obligations, employee terminations and other closure-related obligations. Following is a summary of remaining estimated pre-tax expense and future cash expenditures, by type, as of September 30, 2018:</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i w:val="1"/>
                <w:iCs w:val="1"/>
                <w:color w:val="auto"/>
              </w:rPr>
              <w:t xml:space="preserve">Estimated future expense </w:t>
            </w:r>
            <w:r>
              <w:rPr>
                <w:rFonts w:ascii="Arial" w:cs="Arial" w:eastAsia="Arial" w:hAnsi="Arial"/>
                <w:sz w:val="16"/>
                <w:szCs w:val="16"/>
                <w:b w:val="1"/>
                <w:bCs w:val="1"/>
                <w:color w:val="auto"/>
              </w:rPr>
              <w:t>(dollars in millions)</w:t>
            </w: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99"/>
              <w:spacing w:after="0"/>
              <w:rPr>
                <w:sz w:val="20"/>
                <w:szCs w:val="20"/>
                <w:color w:val="auto"/>
              </w:rPr>
            </w:pPr>
            <w:r>
              <w:rPr>
                <w:rFonts w:ascii="Arial" w:cs="Arial" w:eastAsia="Arial" w:hAnsi="Arial"/>
                <w:sz w:val="14"/>
                <w:szCs w:val="14"/>
                <w:b w:val="1"/>
                <w:bCs w:val="1"/>
                <w:color w:val="auto"/>
              </w:rPr>
              <w:t>CLOSURE INITIATIVES</w:t>
            </w:r>
          </w:p>
        </w:tc>
        <w:tc>
          <w:tcPr>
            <w:tcW w:w="0" w:type="dxa"/>
            <w:vAlign w:val="bottom"/>
          </w:tcPr>
          <w:p>
            <w:pPr>
              <w:spacing w:after="0"/>
              <w:rPr>
                <w:sz w:val="1"/>
                <w:szCs w:val="1"/>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related liabilities, net of subleases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0"/>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Employee severance and other obligations</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0.2</w:t>
            </w:r>
          </w:p>
        </w:tc>
        <w:tc>
          <w:tcPr>
            <w:tcW w:w="3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estimated future expense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9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estimated future cash expenditures (dollars in millions) (1)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21.6</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2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Future cash expenditures for the Closure Initiatives, primarily related to lease liabilities, are expected to occur over the remaining lease terms with the final term ending in January 2029.</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9"/>
          <w:szCs w:val="19"/>
          <w:i w:val="1"/>
          <w:iCs w:val="1"/>
          <w:color w:val="auto"/>
        </w:rPr>
        <w:t xml:space="preserve">Accrued Facility Closure and Other Costs Rollforward </w:t>
      </w:r>
      <w:r>
        <w:rPr>
          <w:rFonts w:ascii="Arial" w:cs="Arial" w:eastAsia="Arial" w:hAnsi="Arial"/>
          <w:sz w:val="19"/>
          <w:szCs w:val="19"/>
          <w:color w:val="auto"/>
        </w:rPr>
        <w:t>- The following table summarizes the Company’s accrual activity related to facility</w:t>
      </w:r>
      <w:r>
        <w:rPr>
          <w:rFonts w:ascii="Arial" w:cs="Arial" w:eastAsia="Arial" w:hAnsi="Arial"/>
          <w:sz w:val="19"/>
          <w:szCs w:val="19"/>
          <w:i w:val="1"/>
          <w:iCs w:val="1"/>
          <w:color w:val="auto"/>
        </w:rPr>
        <w:t xml:space="preserve"> </w:t>
      </w:r>
      <w:r>
        <w:rPr>
          <w:rFonts w:ascii="Arial" w:cs="Arial" w:eastAsia="Arial" w:hAnsi="Arial"/>
          <w:sz w:val="19"/>
          <w:szCs w:val="19"/>
          <w:color w:val="auto"/>
        </w:rPr>
        <w:t>closure and other costs, primarily associated with the Closure Initiatives, during the thirty-nine weeks ended September 30, 2018:</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tcPr>
          <w:p>
            <w:pPr>
              <w:jc w:val="right"/>
              <w:ind w:right="362"/>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22"/>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the period</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22,709</w:t>
            </w:r>
          </w:p>
        </w:tc>
        <w:tc>
          <w:tcPr>
            <w:tcW w:w="0" w:type="dxa"/>
            <w:vAlign w:val="bottom"/>
          </w:tcPr>
          <w:p>
            <w:pPr>
              <w:spacing w:after="0"/>
              <w:rPr>
                <w:sz w:val="1"/>
                <w:szCs w:val="1"/>
                <w:color w:val="auto"/>
              </w:rPr>
            </w:pPr>
          </w:p>
        </w:tc>
      </w:tr>
      <w:tr>
        <w:trPr>
          <w:trHeight w:val="224"/>
        </w:trPr>
        <w:tc>
          <w:tcPr>
            <w:tcW w:w="8460" w:type="dxa"/>
            <w:vAlign w:val="bottom"/>
          </w:tcPr>
          <w:p>
            <w:pPr>
              <w:ind w:left="180"/>
              <w:spacing w:after="0"/>
              <w:rPr>
                <w:sz w:val="20"/>
                <w:szCs w:val="20"/>
                <w:color w:val="auto"/>
              </w:rPr>
            </w:pPr>
            <w:r>
              <w:rPr>
                <w:rFonts w:ascii="Arial" w:cs="Arial" w:eastAsia="Arial" w:hAnsi="Arial"/>
                <w:sz w:val="16"/>
                <w:szCs w:val="16"/>
                <w:color w:val="auto"/>
              </w:rPr>
              <w:t>Charges</w:t>
            </w:r>
          </w:p>
        </w:tc>
        <w:tc>
          <w:tcPr>
            <w:tcW w:w="280" w:type="dxa"/>
            <w:vAlign w:val="bottom"/>
          </w:tcPr>
          <w:p>
            <w:pPr>
              <w:spacing w:after="0"/>
              <w:rPr>
                <w:sz w:val="19"/>
                <w:szCs w:val="19"/>
                <w:color w:val="auto"/>
              </w:rPr>
            </w:pPr>
          </w:p>
        </w:tc>
        <w:tc>
          <w:tcPr>
            <w:tcW w:w="2680" w:type="dxa"/>
            <w:vAlign w:val="bottom"/>
          </w:tcPr>
          <w:p>
            <w:pPr>
              <w:jc w:val="right"/>
              <w:ind w:right="22"/>
              <w:spacing w:after="0"/>
              <w:rPr>
                <w:sz w:val="20"/>
                <w:szCs w:val="20"/>
                <w:color w:val="auto"/>
              </w:rPr>
            </w:pPr>
            <w:r>
              <w:rPr>
                <w:rFonts w:ascii="Arial" w:cs="Arial" w:eastAsia="Arial" w:hAnsi="Arial"/>
                <w:sz w:val="16"/>
                <w:szCs w:val="16"/>
                <w:color w:val="auto"/>
              </w:rPr>
              <w:t>11,147</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28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(11,805)</w:t>
            </w:r>
          </w:p>
        </w:tc>
        <w:tc>
          <w:tcPr>
            <w:tcW w:w="0" w:type="dxa"/>
            <w:vAlign w:val="bottom"/>
          </w:tcPr>
          <w:p>
            <w:pPr>
              <w:spacing w:after="0"/>
              <w:rPr>
                <w:sz w:val="1"/>
                <w:szCs w:val="1"/>
                <w:color w:val="auto"/>
              </w:rPr>
            </w:pPr>
          </w:p>
        </w:tc>
      </w:tr>
      <w:tr>
        <w:trPr>
          <w:trHeight w:val="270"/>
        </w:trPr>
        <w:tc>
          <w:tcPr>
            <w:tcW w:w="84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Adjustments</w:t>
            </w:r>
          </w:p>
        </w:tc>
        <w:tc>
          <w:tcPr>
            <w:tcW w:w="28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(3,879)</w:t>
            </w: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the period (1)</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18,172</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84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of September 30, 2018, the Company had exit-related accruals of $5.3 million recorded in Accrued and other current liabilities and $12.9 million recorded in Other long-term liabilities, net in the Consolidated Balance Sheet.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computation of basic and diluted earnings per share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24, 2017</w:t>
            </w: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20" w:type="dxa"/>
            <w:vAlign w:val="bottom"/>
          </w:tcPr>
          <w:p>
            <w:pPr>
              <w:jc w:val="center"/>
              <w:ind w:right="61"/>
              <w:spacing w:after="0" w:line="153" w:lineRule="exact"/>
              <w:rPr>
                <w:sz w:val="20"/>
                <w:szCs w:val="20"/>
                <w:color w:val="auto"/>
              </w:rPr>
            </w:pPr>
            <w:r>
              <w:rPr>
                <w:rFonts w:ascii="Arial" w:cs="Arial" w:eastAsia="Arial" w:hAnsi="Arial"/>
                <w:sz w:val="14"/>
                <w:szCs w:val="14"/>
                <w:b w:val="1"/>
                <w:bCs w:val="1"/>
                <w:color w:val="auto"/>
                <w:w w:val="99"/>
              </w:rPr>
              <w:t>SEPTEMBER 24,</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89"/>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(Restated) (1)</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(Restated) (1)</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96,191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89,341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92,202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92,197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98,137</w:t>
            </w:r>
          </w:p>
        </w:tc>
        <w:tc>
          <w:tcPr>
            <w:tcW w:w="0" w:type="dxa"/>
            <w:vAlign w:val="bottom"/>
          </w:tcPr>
          <w:p>
            <w:pPr>
              <w:spacing w:after="0"/>
              <w:rPr>
                <w:sz w:val="1"/>
                <w:szCs w:val="1"/>
                <w:color w:val="auto"/>
              </w:rPr>
            </w:pPr>
          </w:p>
        </w:tc>
      </w:tr>
      <w:tr>
        <w:trPr>
          <w:trHeight w:val="284"/>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diluted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2,781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1,870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2,948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Nonvested restricted stock and restricted stock units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Nonvested performance-based share units</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 average common shares outstanding</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93,324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95,655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94,489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101,497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0.88</w:t>
            </w: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6"/>
                <w:szCs w:val="16"/>
                <w:color w:val="auto"/>
              </w:rPr>
              <w:t>____________________</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See Note 1 - </w:t>
      </w:r>
      <w:r>
        <w:rPr>
          <w:rFonts w:ascii="Arial" w:cs="Arial" w:eastAsia="Arial" w:hAnsi="Arial"/>
          <w:sz w:val="14"/>
          <w:szCs w:val="14"/>
          <w:i w:val="1"/>
          <w:iCs w:val="1"/>
          <w:color w:val="auto"/>
        </w:rPr>
        <w:t>Description of the Business and Basis of Presentation</w:t>
      </w:r>
      <w:r>
        <w:rPr>
          <w:rFonts w:ascii="Arial" w:cs="Arial" w:eastAsia="Arial" w:hAnsi="Arial"/>
          <w:sz w:val="14"/>
          <w:szCs w:val="14"/>
          <w:color w:val="auto"/>
        </w:rPr>
        <w:t xml:space="preserve"> for details of the Net income and Earnings per share impact of implementing ASU No. 2014-09.</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Dilutive securities outstanding not included in the computation of earnings per share because their effect was antidilutive were as follows,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200" w:type="dxa"/>
            <w:vAlign w:val="bottom"/>
            <w:gridSpan w:val="4"/>
          </w:tcPr>
          <w:p>
            <w:pPr>
              <w:ind w:left="640"/>
              <w:spacing w:after="0"/>
              <w:rPr>
                <w:sz w:val="20"/>
                <w:szCs w:val="20"/>
                <w:color w:val="auto"/>
              </w:rPr>
            </w:pPr>
            <w:r>
              <w:rPr>
                <w:rFonts w:ascii="Arial" w:cs="Arial" w:eastAsia="Arial" w:hAnsi="Arial"/>
                <w:sz w:val="14"/>
                <w:szCs w:val="14"/>
                <w:b w:val="1"/>
                <w:bCs w:val="1"/>
                <w:color w:val="auto"/>
              </w:rPr>
              <w:t>THIRTEEN WEEKS ENDED</w:t>
            </w:r>
          </w:p>
        </w:tc>
        <w:tc>
          <w:tcPr>
            <w:tcW w:w="3060" w:type="dxa"/>
            <w:vAlign w:val="bottom"/>
            <w:gridSpan w:val="3"/>
          </w:tcPr>
          <w:p>
            <w:pPr>
              <w:jc w:val="right"/>
              <w:ind w:right="403"/>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516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top w:val="single" w:sz="8" w:color="auto"/>
            </w:tcBorders>
            <w:gridSpan w:val="2"/>
          </w:tcPr>
          <w:p>
            <w:pPr>
              <w:ind w:left="200"/>
              <w:spacing w:after="0" w:line="153" w:lineRule="exact"/>
              <w:rPr>
                <w:sz w:val="20"/>
                <w:szCs w:val="20"/>
                <w:color w:val="auto"/>
              </w:rPr>
            </w:pPr>
            <w:r>
              <w:rPr>
                <w:rFonts w:ascii="Arial" w:cs="Arial" w:eastAsia="Arial" w:hAnsi="Arial"/>
                <w:sz w:val="14"/>
                <w:szCs w:val="14"/>
                <w:b w:val="1"/>
                <w:bCs w:val="1"/>
                <w:color w:val="auto"/>
              </w:rPr>
              <w:t>SEPTEMBER 30,</w:t>
            </w:r>
          </w:p>
        </w:tc>
        <w:tc>
          <w:tcPr>
            <w:tcW w:w="1480" w:type="dxa"/>
            <w:vAlign w:val="bottom"/>
            <w:tcBorders>
              <w:top w:val="single" w:sz="8" w:color="auto"/>
            </w:tcBorders>
          </w:tcPr>
          <w:p>
            <w:pPr>
              <w:jc w:val="right"/>
              <w:ind w:right="103"/>
              <w:spacing w:after="0" w:line="153" w:lineRule="exact"/>
              <w:rPr>
                <w:sz w:val="20"/>
                <w:szCs w:val="20"/>
                <w:color w:val="auto"/>
              </w:rPr>
            </w:pPr>
            <w:r>
              <w:rPr>
                <w:rFonts w:ascii="Arial" w:cs="Arial" w:eastAsia="Arial" w:hAnsi="Arial"/>
                <w:sz w:val="14"/>
                <w:szCs w:val="14"/>
                <w:b w:val="1"/>
                <w:bCs w:val="1"/>
                <w:color w:val="auto"/>
              </w:rPr>
              <w:t>SEPTEMBER 24,</w:t>
            </w: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24, 2017</w:t>
            </w:r>
          </w:p>
        </w:tc>
        <w:tc>
          <w:tcPr>
            <w:tcW w:w="1480" w:type="dxa"/>
            <w:vAlign w:val="bottom"/>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480" w:type="dxa"/>
            <w:vAlign w:val="bottom"/>
          </w:tcPr>
          <w:p>
            <w:pPr>
              <w:jc w:val="right"/>
              <w:ind w:right="523"/>
              <w:spacing w:after="0"/>
              <w:rPr>
                <w:sz w:val="20"/>
                <w:szCs w:val="20"/>
                <w:color w:val="auto"/>
              </w:rPr>
            </w:pPr>
            <w:r>
              <w:rPr>
                <w:rFonts w:ascii="Arial" w:cs="Arial" w:eastAsia="Arial" w:hAnsi="Arial"/>
                <w:sz w:val="14"/>
                <w:szCs w:val="14"/>
                <w:b w:val="1"/>
                <w:bCs w:val="1"/>
                <w:color w:val="auto"/>
              </w:rPr>
              <w:t>2017</w:t>
            </w: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Stock options</w:t>
            </w:r>
          </w:p>
        </w:tc>
        <w:tc>
          <w:tcPr>
            <w:tcW w:w="15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3,802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5,663</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Nonvested restricted stock and restricted stock units</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174</w:t>
            </w: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Nonvested performance-based share units</w:t>
            </w: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256</w:t>
            </w:r>
          </w:p>
        </w:tc>
      </w:tr>
      <w:tr>
        <w:trPr>
          <w:trHeight w:val="41"/>
        </w:trPr>
        <w:tc>
          <w:tcPr>
            <w:tcW w:w="51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bl>
    <w:p>
      <w:pPr>
        <w:spacing w:after="0" w:line="21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6"/>
          <w:szCs w:val="16"/>
          <w:color w:val="auto"/>
        </w:rPr>
        <w:t>Stock-based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recognized stock-based compensation expense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20" w:type="dxa"/>
            <w:vAlign w:val="bottom"/>
          </w:tcPr>
          <w:p>
            <w:pPr>
              <w:jc w:val="right"/>
              <w:ind w:right="102"/>
              <w:spacing w:after="0" w:line="153" w:lineRule="exact"/>
              <w:rPr>
                <w:sz w:val="20"/>
                <w:szCs w:val="20"/>
                <w:color w:val="auto"/>
              </w:rPr>
            </w:pPr>
            <w:r>
              <w:rPr>
                <w:rFonts w:ascii="Arial" w:cs="Arial" w:eastAsia="Arial" w:hAnsi="Arial"/>
                <w:sz w:val="14"/>
                <w:szCs w:val="14"/>
                <w:b w:val="1"/>
                <w:bCs w:val="1"/>
                <w:color w:val="auto"/>
              </w:rPr>
              <w:t>SEPTEMBER 24,</w:t>
            </w: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40" w:type="dxa"/>
            <w:vAlign w:val="bottom"/>
          </w:tcPr>
          <w:p>
            <w:pPr>
              <w:spacing w:after="0"/>
              <w:rPr>
                <w:sz w:val="17"/>
                <w:szCs w:val="17"/>
                <w:color w:val="auto"/>
              </w:rPr>
            </w:pPr>
          </w:p>
        </w:tc>
        <w:tc>
          <w:tcPr>
            <w:tcW w:w="1320" w:type="dxa"/>
            <w:vAlign w:val="bottom"/>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8,404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Restricted stock and restricted stock units</w:t>
            </w: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2,323</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2,527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7,110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7,769</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Performance-based share units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1,309</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3,779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1,001</w:t>
            </w:r>
          </w:p>
        </w:tc>
      </w:tr>
      <w:tr>
        <w:trPr>
          <w:trHeight w:val="224"/>
        </w:trPr>
        <w:tc>
          <w:tcPr>
            <w:tcW w:w="516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5,165</w:t>
            </w:r>
          </w:p>
        </w:tc>
        <w:tc>
          <w:tcPr>
            <w:tcW w:w="1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4,997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15,948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17,174</w:t>
            </w:r>
          </w:p>
        </w:tc>
      </w:tr>
      <w:tr>
        <w:trPr>
          <w:trHeight w:val="33"/>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summary of the Company’s stock option activity: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2"/>
                <w:szCs w:val="12"/>
                <w:color w:val="auto"/>
              </w:rPr>
            </w:pPr>
          </w:p>
        </w:tc>
        <w:tc>
          <w:tcPr>
            <w:tcW w:w="146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AVERAGE EXERCISE</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 LIFE</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exercise price and contractual life)</w:t>
            </w:r>
          </w:p>
        </w:tc>
        <w:tc>
          <w:tcPr>
            <w:tcW w:w="16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rPr>
              <w:t>PRICE</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31, 2017</w:t>
            </w: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10,051</w:t>
            </w:r>
          </w:p>
        </w:tc>
        <w:tc>
          <w:tcPr>
            <w:tcW w:w="1200" w:type="dxa"/>
            <w:vAlign w:val="bottom"/>
            <w:tcBorders>
              <w:bottom w:val="single" w:sz="8" w:color="CCEEFF"/>
            </w:tcBorders>
            <w:gridSpan w:val="2"/>
            <w:shd w:val="clear" w:color="auto" w:fill="CCEEFF"/>
          </w:tcPr>
          <w:p>
            <w:pPr>
              <w:jc w:val="right"/>
              <w:ind w:right="888"/>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14.89</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71,373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488</w:t>
            </w:r>
          </w:p>
        </w:tc>
        <w:tc>
          <w:tcPr>
            <w:tcW w:w="1200" w:type="dxa"/>
            <w:vAlign w:val="bottom"/>
            <w:gridSpan w:val="2"/>
          </w:tcPr>
          <w:p>
            <w:pPr>
              <w:jc w:val="right"/>
              <w:ind w:right="888"/>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24.01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(3,926)</w:t>
            </w:r>
          </w:p>
        </w:tc>
        <w:tc>
          <w:tcPr>
            <w:tcW w:w="1200" w:type="dxa"/>
            <w:vAlign w:val="bottom"/>
            <w:tcBorders>
              <w:bottom w:val="single" w:sz="8" w:color="CCEEFF"/>
            </w:tcBorders>
            <w:gridSpan w:val="2"/>
            <w:shd w:val="clear" w:color="auto" w:fill="CCEEFF"/>
          </w:tcPr>
          <w:p>
            <w:pPr>
              <w:jc w:val="right"/>
              <w:ind w:right="888"/>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 or expired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200" w:type="dxa"/>
            <w:vAlign w:val="bottom"/>
            <w:tcBorders>
              <w:bottom w:val="single" w:sz="8" w:color="CCEEFF"/>
            </w:tcBorders>
            <w:gridSpan w:val="2"/>
          </w:tcPr>
          <w:p>
            <w:pPr>
              <w:jc w:val="right"/>
              <w:ind w:right="888"/>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w w:val="99"/>
              </w:rPr>
              <w:t>21.24</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September 30, 2018</w:t>
            </w:r>
          </w:p>
        </w:tc>
        <w:tc>
          <w:tcPr>
            <w:tcW w:w="1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6,348</w:t>
            </w:r>
          </w:p>
        </w:tc>
        <w:tc>
          <w:tcPr>
            <w:tcW w:w="1200" w:type="dxa"/>
            <w:vAlign w:val="bottom"/>
            <w:tcBorders>
              <w:bottom w:val="single" w:sz="8" w:color="CCEEFF"/>
            </w:tcBorders>
            <w:gridSpan w:val="2"/>
            <w:shd w:val="clear" w:color="auto" w:fill="CCEEFF"/>
          </w:tcPr>
          <w:p>
            <w:pPr>
              <w:jc w:val="right"/>
              <w:ind w:right="888"/>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20,051</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Exercisable as of September 30, 2018</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4,125</w:t>
            </w:r>
          </w:p>
        </w:tc>
        <w:tc>
          <w:tcPr>
            <w:tcW w:w="1200" w:type="dxa"/>
            <w:vAlign w:val="bottom"/>
            <w:gridSpan w:val="2"/>
          </w:tcPr>
          <w:p>
            <w:pPr>
              <w:jc w:val="right"/>
              <w:ind w:right="888"/>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17.72</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23"/>
              <w:spacing w:after="0"/>
              <w:rPr>
                <w:sz w:val="20"/>
                <w:szCs w:val="20"/>
                <w:color w:val="auto"/>
              </w:rPr>
            </w:pPr>
            <w:r>
              <w:rPr>
                <w:rFonts w:ascii="Arial" w:cs="Arial" w:eastAsia="Arial" w:hAnsi="Arial"/>
                <w:sz w:val="16"/>
                <w:szCs w:val="16"/>
                <w:color w:val="auto"/>
              </w:rPr>
              <w:t>16,314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Black-Scholes option pricing model and the weighted-average fair value of option awards granted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THIRTY-NINE WEEKS ENDED</w:t>
            </w:r>
          </w:p>
        </w:tc>
      </w:tr>
      <w:tr>
        <w:trPr>
          <w:trHeight w:val="250"/>
        </w:trPr>
        <w:tc>
          <w:tcPr>
            <w:tcW w:w="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21"/>
                <w:szCs w:val="21"/>
                <w:color w:val="auto"/>
              </w:rPr>
            </w:pPr>
          </w:p>
        </w:tc>
        <w:tc>
          <w:tcPr>
            <w:tcW w:w="1780" w:type="dxa"/>
            <w:vAlign w:val="bottom"/>
          </w:tcPr>
          <w:p>
            <w:pPr>
              <w:jc w:val="right"/>
              <w:ind w:right="200"/>
              <w:spacing w:after="0"/>
              <w:rPr>
                <w:sz w:val="20"/>
                <w:szCs w:val="20"/>
                <w:color w:val="auto"/>
              </w:rPr>
            </w:pPr>
            <w:r>
              <w:rPr>
                <w:rFonts w:ascii="Arial" w:cs="Arial" w:eastAsia="Arial" w:hAnsi="Arial"/>
                <w:sz w:val="14"/>
                <w:szCs w:val="14"/>
                <w:b w:val="1"/>
                <w:bCs w:val="1"/>
                <w:color w:val="auto"/>
              </w:rPr>
              <w:t>SEPTEMBER 24, 2017</w:t>
            </w:r>
          </w:p>
        </w:tc>
      </w:tr>
      <w:tr>
        <w:trPr>
          <w:trHeight w:val="250"/>
        </w:trPr>
        <w:tc>
          <w:tcPr>
            <w:tcW w:w="20" w:type="dxa"/>
            <w:vAlign w:val="bottom"/>
          </w:tcPr>
          <w:p>
            <w:pPr>
              <w:spacing w:after="0"/>
              <w:rPr>
                <w:sz w:val="21"/>
                <w:szCs w:val="21"/>
                <w:color w:val="auto"/>
              </w:rPr>
            </w:pPr>
          </w:p>
        </w:tc>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Assumptions: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340" w:type="dxa"/>
            <w:vAlign w:val="bottom"/>
          </w:tcPr>
          <w:p>
            <w:pPr>
              <w:ind w:left="160"/>
              <w:spacing w:after="0"/>
              <w:rPr>
                <w:sz w:val="20"/>
                <w:szCs w:val="20"/>
                <w:color w:val="auto"/>
              </w:rPr>
            </w:pPr>
            <w:r>
              <w:rPr>
                <w:rFonts w:ascii="Arial" w:cs="Arial" w:eastAsia="Arial" w:hAnsi="Arial"/>
                <w:sz w:val="16"/>
                <w:szCs w:val="16"/>
                <w:color w:val="auto"/>
              </w:rPr>
              <w:t>Weighted-average risk-free interest rate (1)</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33"/>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Dividend yield (2)</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37"/>
        </w:trPr>
        <w:tc>
          <w:tcPr>
            <w:tcW w:w="20" w:type="dxa"/>
            <w:vAlign w:val="bottom"/>
          </w:tcPr>
          <w:p>
            <w:pPr>
              <w:spacing w:after="0"/>
              <w:rPr>
                <w:sz w:val="20"/>
                <w:szCs w:val="20"/>
                <w:color w:val="auto"/>
              </w:rPr>
            </w:pPr>
          </w:p>
        </w:tc>
        <w:tc>
          <w:tcPr>
            <w:tcW w:w="7340" w:type="dxa"/>
            <w:vAlign w:val="bottom"/>
          </w:tcPr>
          <w:p>
            <w:pPr>
              <w:ind w:left="160"/>
              <w:spacing w:after="0"/>
              <w:rPr>
                <w:sz w:val="20"/>
                <w:szCs w:val="20"/>
                <w:color w:val="auto"/>
              </w:rPr>
            </w:pPr>
            <w:r>
              <w:rPr>
                <w:rFonts w:ascii="Arial" w:cs="Arial" w:eastAsia="Arial" w:hAnsi="Arial"/>
                <w:sz w:val="16"/>
                <w:szCs w:val="16"/>
                <w:color w:val="auto"/>
              </w:rPr>
              <w:t>Expected term (3)</w:t>
            </w:r>
          </w:p>
        </w:tc>
        <w:tc>
          <w:tcPr>
            <w:tcW w:w="200" w:type="dxa"/>
            <w:vAlign w:val="bottom"/>
          </w:tcPr>
          <w:p>
            <w:pPr>
              <w:spacing w:after="0"/>
              <w:rPr>
                <w:sz w:val="20"/>
                <w:szCs w:val="20"/>
                <w:color w:val="auto"/>
              </w:rPr>
            </w:pPr>
          </w:p>
        </w:tc>
        <w:tc>
          <w:tcPr>
            <w:tcW w:w="1880" w:type="dxa"/>
            <w:vAlign w:val="bottom"/>
            <w:gridSpan w:val="2"/>
          </w:tcPr>
          <w:p>
            <w:pPr>
              <w:ind w:left="1040"/>
              <w:spacing w:after="0"/>
              <w:rPr>
                <w:sz w:val="20"/>
                <w:szCs w:val="20"/>
                <w:color w:val="auto"/>
              </w:rPr>
            </w:pPr>
            <w:r>
              <w:rPr>
                <w:rFonts w:ascii="Arial" w:cs="Arial" w:eastAsia="Arial" w:hAnsi="Arial"/>
                <w:sz w:val="16"/>
                <w:szCs w:val="16"/>
                <w:color w:val="auto"/>
              </w:rPr>
              <w:t>5.8 years</w:t>
            </w:r>
          </w:p>
        </w:tc>
        <w:tc>
          <w:tcPr>
            <w:tcW w:w="200" w:type="dxa"/>
            <w:vAlign w:val="bottom"/>
          </w:tcPr>
          <w:p>
            <w:pPr>
              <w:spacing w:after="0"/>
              <w:rPr>
                <w:sz w:val="20"/>
                <w:szCs w:val="20"/>
                <w:color w:val="auto"/>
              </w:rPr>
            </w:pPr>
          </w:p>
        </w:tc>
        <w:tc>
          <w:tcPr>
            <w:tcW w:w="1780" w:type="dxa"/>
            <w:vAlign w:val="bottom"/>
          </w:tcPr>
          <w:p>
            <w:pPr>
              <w:jc w:val="right"/>
              <w:ind w:right="80"/>
              <w:spacing w:after="0"/>
              <w:rPr>
                <w:sz w:val="20"/>
                <w:szCs w:val="20"/>
                <w:color w:val="auto"/>
              </w:rPr>
            </w:pPr>
            <w:r>
              <w:rPr>
                <w:rFonts w:ascii="Arial" w:cs="Arial" w:eastAsia="Arial" w:hAnsi="Arial"/>
                <w:sz w:val="16"/>
                <w:szCs w:val="16"/>
                <w:color w:val="auto"/>
              </w:rPr>
              <w:t>6.3 years</w:t>
            </w:r>
          </w:p>
        </w:tc>
      </w:tr>
      <w:tr>
        <w:trPr>
          <w:trHeight w:val="33"/>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Weighted-average volatility (4)</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33.72%</w:t>
            </w:r>
          </w:p>
        </w:tc>
      </w:tr>
      <w:tr>
        <w:trPr>
          <w:trHeight w:val="297"/>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grant date fair value per option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5.09</w:t>
            </w:r>
          </w:p>
        </w:tc>
      </w:tr>
      <w:tr>
        <w:trPr>
          <w:trHeight w:val="193"/>
        </w:trPr>
        <w:tc>
          <w:tcPr>
            <w:tcW w:w="2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Arial" w:cs="Arial" w:eastAsia="Arial" w:hAnsi="Arial"/>
                <w:sz w:val="16"/>
                <w:szCs w:val="16"/>
                <w:color w:val="auto"/>
              </w:rPr>
              <w:t>________________</w:t>
            </w: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r>
    </w:tbl>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Risk-free interest rate is the U.S. Treasury yield curve in effect as of the grant date for periods within the expected term of the option.</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Dividend yield is the level of dividends expected to be paid on the Company’s common stock over the expected term of the option.</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Expected term represents the period of time that the options are expected to be outstanding. The Company estimates the expected term based on historical exercise experience for its stock options.</w:t>
      </w: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the historical volatility of the Company’s stock.</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stock option compensation information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2"/>
                <w:szCs w:val="22"/>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22"/>
                <w:szCs w:val="22"/>
                <w:color w:val="auto"/>
              </w:rPr>
            </w:pPr>
          </w:p>
        </w:tc>
        <w:tc>
          <w:tcPr>
            <w:tcW w:w="1740" w:type="dxa"/>
            <w:vAlign w:val="bottom"/>
          </w:tcPr>
          <w:p>
            <w:pPr>
              <w:jc w:val="right"/>
              <w:ind w:right="161"/>
              <w:spacing w:after="0"/>
              <w:rPr>
                <w:sz w:val="20"/>
                <w:szCs w:val="20"/>
                <w:color w:val="auto"/>
              </w:rPr>
            </w:pPr>
            <w:r>
              <w:rPr>
                <w:rFonts w:ascii="Arial" w:cs="Arial" w:eastAsia="Arial" w:hAnsi="Arial"/>
                <w:sz w:val="14"/>
                <w:szCs w:val="14"/>
                <w:b w:val="1"/>
                <w:bCs w:val="1"/>
                <w:color w:val="auto"/>
              </w:rPr>
              <w:t>SEPTEMBER 24, 2017</w:t>
            </w:r>
          </w:p>
        </w:tc>
      </w:tr>
      <w:tr>
        <w:trPr>
          <w:trHeight w:val="237"/>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Intrinsic value of options exercised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52,001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7,752</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Excess tax benefits for tax deductions related to the exercise of stock options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43"/>
              <w:spacing w:after="0"/>
              <w:rPr>
                <w:sz w:val="20"/>
                <w:szCs w:val="20"/>
                <w:color w:val="auto"/>
              </w:rPr>
            </w:pPr>
            <w:r>
              <w:rPr>
                <w:rFonts w:ascii="Arial" w:cs="Arial" w:eastAsia="Arial" w:hAnsi="Arial"/>
                <w:sz w:val="16"/>
                <w:szCs w:val="16"/>
                <w:color w:val="auto"/>
              </w:rPr>
              <w:t>8,316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21"/>
              <w:spacing w:after="0"/>
              <w:rPr>
                <w:sz w:val="20"/>
                <w:szCs w:val="20"/>
                <w:color w:val="auto"/>
              </w:rPr>
            </w:pPr>
            <w:r>
              <w:rPr>
                <w:rFonts w:ascii="Arial" w:cs="Arial" w:eastAsia="Arial" w:hAnsi="Arial"/>
                <w:sz w:val="16"/>
                <w:szCs w:val="16"/>
                <w:color w:val="auto"/>
              </w:rPr>
              <w:t>1,257</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Cash received from option exercises, net of tax withholding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39,329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7,095</w:t>
            </w:r>
          </w:p>
        </w:tc>
      </w:tr>
      <w:tr>
        <w:trPr>
          <w:trHeight w:val="41"/>
        </w:trPr>
        <w:tc>
          <w:tcPr>
            <w:tcW w:w="74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r>
    </w:tbl>
    <w:p>
      <w:pPr>
        <w:spacing w:after="0" w:line="21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During the thirty-nine weeks ended September 30, 2018, the Company made grants to its employees of 0.4 million time-based restricted stock units and 0.2 million performance-based share units. As of September 30, 2018, the maximum number of shares of common stock available for issuance pursuant to the Bloomin’ Brands, Inc. 2016 Omnibus Incentive Compensation Plan was 4,418,256.</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represents unrecognized stock compensation expense and the remaining weighted-average vesting period as of September 30, 2018:</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UNRECOGNIZED</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REMAINING WEIGHTED-</w:t>
            </w:r>
          </w:p>
        </w:tc>
      </w:tr>
      <w:tr>
        <w:trPr>
          <w:trHeight w:val="149"/>
        </w:trPr>
        <w:tc>
          <w:tcPr>
            <w:tcW w:w="7400" w:type="dxa"/>
            <w:vAlign w:val="bottom"/>
          </w:tcPr>
          <w:p>
            <w:pPr>
              <w:spacing w:after="0"/>
              <w:rPr>
                <w:sz w:val="12"/>
                <w:szCs w:val="12"/>
                <w:color w:val="auto"/>
              </w:rPr>
            </w:pPr>
          </w:p>
        </w:tc>
        <w:tc>
          <w:tcPr>
            <w:tcW w:w="20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COMPENSATION EXPENSE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 VESTING</w:t>
            </w:r>
          </w:p>
        </w:tc>
      </w:tr>
      <w:tr>
        <w:trPr>
          <w:trHeight w:val="205"/>
        </w:trPr>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(dollars in thousands)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8"/>
              </w:rPr>
              <w:t>PERIOD (in years)</w:t>
            </w:r>
          </w:p>
        </w:tc>
      </w:tr>
      <w:tr>
        <w:trPr>
          <w:trHeight w:val="237"/>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9,718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17,181</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Performance-based share units</w:t>
            </w:r>
          </w:p>
        </w:tc>
        <w:tc>
          <w:tcPr>
            <w:tcW w:w="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7,925</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7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6"/>
          <w:szCs w:val="16"/>
          <w:color w:val="auto"/>
        </w:rPr>
        <w:t>Other Current Assets, Net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Other current assets, net,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9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Pr>
          <w:p>
            <w:pPr>
              <w:spacing w:after="0"/>
              <w:rPr>
                <w:sz w:val="17"/>
                <w:szCs w:val="17"/>
                <w:color w:val="auto"/>
              </w:rPr>
            </w:pPr>
          </w:p>
        </w:tc>
        <w:tc>
          <w:tcPr>
            <w:tcW w:w="1820" w:type="dxa"/>
            <w:vAlign w:val="bottom"/>
          </w:tcPr>
          <w:p>
            <w:pPr>
              <w:jc w:val="right"/>
              <w:ind w:right="26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37"/>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43,150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40,688</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Accounts receivable - gift cards, net</w:t>
            </w:r>
          </w:p>
        </w:tc>
        <w:tc>
          <w:tcPr>
            <w:tcW w:w="220" w:type="dxa"/>
            <w:vAlign w:val="bottom"/>
          </w:tcPr>
          <w:p>
            <w:pPr>
              <w:spacing w:after="0"/>
              <w:rPr>
                <w:sz w:val="20"/>
                <w:szCs w:val="20"/>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color w:val="auto"/>
              </w:rPr>
              <w:t>11,358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66,361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 vendors, net</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19,483</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Accounts receivable - franchisees, net</w:t>
            </w:r>
          </w:p>
        </w:tc>
        <w:tc>
          <w:tcPr>
            <w:tcW w:w="220" w:type="dxa"/>
            <w:vAlign w:val="bottom"/>
          </w:tcPr>
          <w:p>
            <w:pPr>
              <w:spacing w:after="0"/>
              <w:rPr>
                <w:sz w:val="20"/>
                <w:szCs w:val="20"/>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color w:val="auto"/>
              </w:rPr>
              <w:t>2,912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 other, net</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22,808</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Deferred gift card sales commissions (1)</w:t>
            </w:r>
          </w:p>
        </w:tc>
        <w:tc>
          <w:tcPr>
            <w:tcW w:w="220" w:type="dxa"/>
            <w:vAlign w:val="bottom"/>
          </w:tcPr>
          <w:p>
            <w:pPr>
              <w:spacing w:after="0"/>
              <w:rPr>
                <w:sz w:val="20"/>
                <w:szCs w:val="20"/>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color w:val="auto"/>
              </w:rPr>
              <w:t>7,910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16,231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6,217</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current assets, net</w:t>
            </w:r>
          </w:p>
        </w:tc>
        <w:tc>
          <w:tcPr>
            <w:tcW w:w="2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8,631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5,597</w:t>
            </w:r>
          </w:p>
        </w:tc>
        <w:tc>
          <w:tcPr>
            <w:tcW w:w="0" w:type="dxa"/>
            <w:vAlign w:val="bottom"/>
          </w:tcPr>
          <w:p>
            <w:pPr>
              <w:spacing w:after="0"/>
              <w:rPr>
                <w:sz w:val="1"/>
                <w:szCs w:val="1"/>
                <w:color w:val="auto"/>
              </w:rPr>
            </w:pPr>
          </w:p>
        </w:tc>
      </w:tr>
      <w:tr>
        <w:trPr>
          <w:trHeight w:val="255"/>
        </w:trPr>
        <w:tc>
          <w:tcPr>
            <w:tcW w:w="7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179,402</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5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 on the Company’s Consolidated Balance Sheet as of December 31, 2017.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0" w:type="dxa"/>
            <w:vAlign w:val="bottom"/>
          </w:tcPr>
          <w:p>
            <w:pPr>
              <w:spacing w:after="0"/>
              <w:rPr>
                <w:sz w:val="20"/>
                <w:szCs w:val="20"/>
                <w:color w:val="auto"/>
              </w:rPr>
            </w:pPr>
            <w:r>
              <w:rPr>
                <w:rFonts w:ascii="Arial" w:cs="Arial" w:eastAsia="Arial" w:hAnsi="Arial"/>
                <w:sz w:val="20"/>
                <w:szCs w:val="20"/>
                <w:color w:val="auto"/>
              </w:rPr>
              <w:t>7.</w:t>
            </w:r>
          </w:p>
        </w:tc>
        <w:tc>
          <w:tcPr>
            <w:tcW w:w="6780" w:type="dxa"/>
            <w:vAlign w:val="bottom"/>
          </w:tcPr>
          <w:p>
            <w:pPr>
              <w:ind w:left="280"/>
              <w:spacing w:after="0"/>
              <w:rPr>
                <w:sz w:val="20"/>
                <w:szCs w:val="20"/>
                <w:color w:val="auto"/>
              </w:rPr>
            </w:pPr>
            <w:r>
              <w:rPr>
                <w:rFonts w:ascii="Arial" w:cs="Arial" w:eastAsia="Arial" w:hAnsi="Arial"/>
                <w:sz w:val="20"/>
                <w:szCs w:val="20"/>
                <w:color w:val="auto"/>
              </w:rPr>
              <w:t>Other Assets, Net</w:t>
            </w: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7200" w:type="dxa"/>
            <w:vAlign w:val="bottom"/>
            <w:gridSpan w:val="2"/>
          </w:tcPr>
          <w:p>
            <w:pPr>
              <w:spacing w:after="0"/>
              <w:rPr>
                <w:sz w:val="20"/>
                <w:szCs w:val="20"/>
                <w:color w:val="auto"/>
              </w:rPr>
            </w:pPr>
            <w:r>
              <w:rPr>
                <w:rFonts w:ascii="Arial" w:cs="Arial" w:eastAsia="Arial" w:hAnsi="Arial"/>
                <w:sz w:val="20"/>
                <w:szCs w:val="20"/>
                <w:color w:val="auto"/>
              </w:rPr>
              <w:t>Other assets, net, consisted of the following:</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20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Pr>
          <w:p>
            <w:pPr>
              <w:spacing w:after="0"/>
              <w:rPr>
                <w:sz w:val="24"/>
                <w:szCs w:val="24"/>
                <w:color w:val="auto"/>
              </w:rPr>
            </w:pPr>
          </w:p>
        </w:tc>
        <w:tc>
          <w:tcPr>
            <w:tcW w:w="1820" w:type="dxa"/>
            <w:vAlign w:val="bottom"/>
          </w:tcPr>
          <w:p>
            <w:pPr>
              <w:jc w:val="right"/>
              <w:ind w:right="26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37"/>
        </w:trPr>
        <w:tc>
          <w:tcPr>
            <w:tcW w:w="72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Company-owned life insurance</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63,780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73,818</w:t>
            </w: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Deferred financing fees (1)</w:t>
            </w:r>
          </w:p>
        </w:tc>
        <w:tc>
          <w:tcPr>
            <w:tcW w:w="220" w:type="dxa"/>
            <w:vAlign w:val="bottom"/>
          </w:tcPr>
          <w:p>
            <w:pPr>
              <w:spacing w:after="0"/>
              <w:rPr>
                <w:sz w:val="20"/>
                <w:szCs w:val="20"/>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color w:val="auto"/>
              </w:rPr>
              <w:t>6,980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8,232</w:t>
            </w:r>
          </w:p>
        </w:tc>
        <w:tc>
          <w:tcPr>
            <w:tcW w:w="0" w:type="dxa"/>
            <w:vAlign w:val="bottom"/>
          </w:tcPr>
          <w:p>
            <w:pPr>
              <w:spacing w:after="0"/>
              <w:rPr>
                <w:sz w:val="1"/>
                <w:szCs w:val="1"/>
                <w:color w:val="auto"/>
              </w:rPr>
            </w:pPr>
          </w:p>
        </w:tc>
      </w:tr>
      <w:tr>
        <w:trPr>
          <w:trHeight w:val="33"/>
        </w:trPr>
        <w:tc>
          <w:tcPr>
            <w:tcW w:w="7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Liquor licenses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24,659</w:t>
            </w:r>
          </w:p>
        </w:tc>
        <w:tc>
          <w:tcPr>
            <w:tcW w:w="0" w:type="dxa"/>
            <w:vAlign w:val="bottom"/>
          </w:tcPr>
          <w:p>
            <w:pPr>
              <w:spacing w:after="0"/>
              <w:rPr>
                <w:sz w:val="1"/>
                <w:szCs w:val="1"/>
                <w:color w:val="auto"/>
              </w:rPr>
            </w:pPr>
          </w:p>
        </w:tc>
      </w:tr>
      <w:tr>
        <w:trPr>
          <w:trHeight w:val="224"/>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9"/>
                <w:szCs w:val="19"/>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color w:val="auto"/>
              </w:rPr>
              <w:t>24,122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28,552</w:t>
            </w:r>
          </w:p>
        </w:tc>
        <w:tc>
          <w:tcPr>
            <w:tcW w:w="0" w:type="dxa"/>
            <w:vAlign w:val="bottom"/>
          </w:tcPr>
          <w:p>
            <w:pPr>
              <w:spacing w:after="0"/>
              <w:rPr>
                <w:sz w:val="1"/>
                <w:szCs w:val="1"/>
                <w:color w:val="auto"/>
              </w:rPr>
            </w:pPr>
          </w:p>
        </w:tc>
      </w:tr>
      <w:tr>
        <w:trPr>
          <w:trHeight w:val="40"/>
        </w:trPr>
        <w:tc>
          <w:tcPr>
            <w:tcW w:w="420" w:type="dxa"/>
            <w:vAlign w:val="bottom"/>
            <w:tcBorders>
              <w:bottom w:val="single" w:sz="8" w:color="CCEEFF"/>
            </w:tcBorders>
          </w:tcPr>
          <w:p>
            <w:pPr>
              <w:spacing w:after="0"/>
              <w:rPr>
                <w:sz w:val="3"/>
                <w:szCs w:val="3"/>
                <w:color w:val="auto"/>
              </w:rPr>
            </w:pPr>
          </w:p>
        </w:tc>
        <w:tc>
          <w:tcPr>
            <w:tcW w:w="67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420" w:type="dxa"/>
            <w:vAlign w:val="bottom"/>
            <w:tcBorders>
              <w:bottom w:val="single" w:sz="8" w:color="CCEEFF"/>
            </w:tcBorders>
            <w:shd w:val="clear" w:color="auto" w:fill="CCEEFF"/>
          </w:tcPr>
          <w:p>
            <w:pPr>
              <w:spacing w:after="0"/>
              <w:rPr>
                <w:sz w:val="22"/>
                <w:szCs w:val="22"/>
                <w:color w:val="auto"/>
              </w:rPr>
            </w:pPr>
          </w:p>
        </w:tc>
        <w:tc>
          <w:tcPr>
            <w:tcW w:w="6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119,080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135,261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of accumulated amortization of $4.7 million and $4.1 million as of September 30, 2018 and December 31, 2017, respectively.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0" w:type="dxa"/>
            <w:vAlign w:val="bottom"/>
          </w:tcPr>
          <w:p>
            <w:pPr>
              <w:spacing w:after="0"/>
              <w:rPr>
                <w:sz w:val="20"/>
                <w:szCs w:val="20"/>
                <w:color w:val="auto"/>
              </w:rPr>
            </w:pPr>
            <w:r>
              <w:rPr>
                <w:rFonts w:ascii="Arial" w:cs="Arial" w:eastAsia="Arial" w:hAnsi="Arial"/>
                <w:sz w:val="20"/>
                <w:szCs w:val="20"/>
                <w:color w:val="auto"/>
              </w:rPr>
              <w:t>8.</w:t>
            </w:r>
          </w:p>
        </w:tc>
        <w:tc>
          <w:tcPr>
            <w:tcW w:w="6780" w:type="dxa"/>
            <w:vAlign w:val="bottom"/>
          </w:tcPr>
          <w:p>
            <w:pPr>
              <w:ind w:left="260"/>
              <w:spacing w:after="0"/>
              <w:rPr>
                <w:sz w:val="20"/>
                <w:szCs w:val="20"/>
                <w:color w:val="auto"/>
              </w:rPr>
            </w:pPr>
            <w:r>
              <w:rPr>
                <w:rFonts w:ascii="Arial" w:cs="Arial" w:eastAsia="Arial" w:hAnsi="Arial"/>
                <w:sz w:val="20"/>
                <w:szCs w:val="20"/>
                <w:color w:val="auto"/>
              </w:rPr>
              <w:t>Accrued and Other Current Liabilities</w:t>
            </w: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59"/>
        </w:trPr>
        <w:tc>
          <w:tcPr>
            <w:tcW w:w="7200" w:type="dxa"/>
            <w:vAlign w:val="bottom"/>
            <w:gridSpan w:val="2"/>
          </w:tcPr>
          <w:p>
            <w:pPr>
              <w:spacing w:after="0"/>
              <w:rPr>
                <w:sz w:val="20"/>
                <w:szCs w:val="20"/>
                <w:color w:val="auto"/>
              </w:rPr>
            </w:pPr>
            <w:r>
              <w:rPr>
                <w:rFonts w:ascii="Arial" w:cs="Arial" w:eastAsia="Arial" w:hAnsi="Arial"/>
                <w:sz w:val="20"/>
                <w:szCs w:val="20"/>
                <w:color w:val="auto"/>
              </w:rPr>
              <w:t>Accrued and other current liabilities consisted of the following:</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95"/>
        </w:trPr>
        <w:tc>
          <w:tcPr>
            <w:tcW w:w="720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Pr>
          <w:p>
            <w:pPr>
              <w:spacing w:after="0"/>
              <w:rPr>
                <w:sz w:val="24"/>
                <w:szCs w:val="24"/>
                <w:color w:val="auto"/>
              </w:rPr>
            </w:pPr>
          </w:p>
        </w:tc>
        <w:tc>
          <w:tcPr>
            <w:tcW w:w="1820" w:type="dxa"/>
            <w:vAlign w:val="bottom"/>
          </w:tcPr>
          <w:p>
            <w:pPr>
              <w:jc w:val="right"/>
              <w:ind w:right="261"/>
              <w:spacing w:after="0"/>
              <w:rPr>
                <w:sz w:val="20"/>
                <w:szCs w:val="20"/>
                <w:color w:val="auto"/>
              </w:rPr>
            </w:pPr>
            <w:r>
              <w:rPr>
                <w:rFonts w:ascii="Arial" w:cs="Arial" w:eastAsia="Arial" w:hAnsi="Arial"/>
                <w:sz w:val="14"/>
                <w:szCs w:val="14"/>
                <w:b w:val="1"/>
                <w:bCs w:val="1"/>
                <w:color w:val="auto"/>
              </w:rPr>
              <w:t>DECEMBER 31, 2017</w:t>
            </w:r>
          </w:p>
        </w:tc>
      </w:tr>
      <w:tr>
        <w:trPr>
          <w:trHeight w:val="237"/>
        </w:trPr>
        <w:tc>
          <w:tcPr>
            <w:tcW w:w="72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Accrued payroll and other compensation</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94,973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113,636</w:t>
            </w: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Accrued insurance</w:t>
            </w:r>
          </w:p>
        </w:tc>
        <w:tc>
          <w:tcPr>
            <w:tcW w:w="220" w:type="dxa"/>
            <w:vAlign w:val="bottom"/>
          </w:tcPr>
          <w:p>
            <w:pPr>
              <w:spacing w:after="0"/>
              <w:rPr>
                <w:sz w:val="20"/>
                <w:szCs w:val="20"/>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23,245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1"/>
              <w:spacing w:after="0"/>
              <w:rPr>
                <w:sz w:val="20"/>
                <w:szCs w:val="20"/>
                <w:color w:val="auto"/>
              </w:rPr>
            </w:pPr>
            <w:r>
              <w:rPr>
                <w:rFonts w:ascii="Arial" w:cs="Arial" w:eastAsia="Arial" w:hAnsi="Arial"/>
                <w:sz w:val="16"/>
                <w:szCs w:val="16"/>
                <w:color w:val="auto"/>
              </w:rPr>
              <w:t>23,482</w:t>
            </w:r>
          </w:p>
        </w:tc>
      </w:tr>
      <w:tr>
        <w:trPr>
          <w:trHeight w:val="33"/>
        </w:trPr>
        <w:tc>
          <w:tcPr>
            <w:tcW w:w="7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69"/>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109,649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133,722</w:t>
            </w:r>
          </w:p>
        </w:tc>
      </w:tr>
      <w:tr>
        <w:trPr>
          <w:trHeight w:val="224"/>
        </w:trPr>
        <w:tc>
          <w:tcPr>
            <w:tcW w:w="420" w:type="dxa"/>
            <w:vAlign w:val="bottom"/>
            <w:tcBorders>
              <w:top w:val="single" w:sz="8" w:color="CCEEFF"/>
            </w:tcBorders>
          </w:tcPr>
          <w:p>
            <w:pPr>
              <w:spacing w:after="0"/>
              <w:rPr>
                <w:sz w:val="19"/>
                <w:szCs w:val="19"/>
                <w:color w:val="auto"/>
              </w:rPr>
            </w:pPr>
          </w:p>
        </w:tc>
        <w:tc>
          <w:tcPr>
            <w:tcW w:w="678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227,867</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270,840</w:t>
            </w:r>
          </w:p>
        </w:tc>
      </w:tr>
      <w:tr>
        <w:trPr>
          <w:trHeight w:val="33"/>
        </w:trPr>
        <w:tc>
          <w:tcPr>
            <w:tcW w:w="4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4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9.</w:t>
      </w:r>
      <w:r>
        <w:rPr>
          <w:sz w:val="20"/>
          <w:szCs w:val="20"/>
          <w:color w:val="auto"/>
        </w:rPr>
        <w:tab/>
      </w:r>
      <w:r>
        <w:rPr>
          <w:rFonts w:ascii="Arial" w:cs="Arial" w:eastAsia="Arial" w:hAnsi="Arial"/>
          <w:sz w:val="18"/>
          <w:szCs w:val="18"/>
          <w:color w:val="auto"/>
        </w:rPr>
        <w:t>Long-term Debt,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outstanding long-term debt, as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gridSpan w:val="4"/>
          </w:tcPr>
          <w:p>
            <w:pPr>
              <w:ind w:left="76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7"/>
                <w:szCs w:val="17"/>
                <w:color w:val="auto"/>
              </w:rPr>
            </w:pPr>
          </w:p>
        </w:tc>
        <w:tc>
          <w:tcPr>
            <w:tcW w:w="3140" w:type="dxa"/>
            <w:vAlign w:val="bottom"/>
            <w:gridSpan w:val="3"/>
          </w:tcPr>
          <w:p>
            <w:pPr>
              <w:jc w:val="right"/>
              <w:ind w:right="882"/>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81"/>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81"/>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6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380" w:type="dxa"/>
            <w:vAlign w:val="bottom"/>
          </w:tcPr>
          <w:p>
            <w:pPr>
              <w:jc w:val="right"/>
              <w:ind w:right="361"/>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7"/>
                <w:szCs w:val="17"/>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INTEREST RATE</w:t>
            </w:r>
          </w:p>
        </w:tc>
        <w:tc>
          <w:tcPr>
            <w:tcW w:w="180" w:type="dxa"/>
            <w:vAlign w:val="bottom"/>
          </w:tcPr>
          <w:p>
            <w:pPr>
              <w:spacing w:after="0"/>
              <w:rPr>
                <w:sz w:val="17"/>
                <w:szCs w:val="17"/>
                <w:color w:val="auto"/>
              </w:rPr>
            </w:pPr>
          </w:p>
        </w:tc>
        <w:tc>
          <w:tcPr>
            <w:tcW w:w="1400" w:type="dxa"/>
            <w:vAlign w:val="bottom"/>
          </w:tcPr>
          <w:p>
            <w:pPr>
              <w:jc w:val="right"/>
              <w:ind w:right="361"/>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640" w:type="dxa"/>
            <w:vAlign w:val="bottom"/>
          </w:tcPr>
          <w:p>
            <w:pPr>
              <w:jc w:val="right"/>
              <w:ind w:right="162"/>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520"/>
              <w:spacing w:after="0"/>
              <w:rPr>
                <w:sz w:val="20"/>
                <w:szCs w:val="20"/>
                <w:color w:val="auto"/>
              </w:rPr>
            </w:pPr>
            <w:r>
              <w:rPr>
                <w:rFonts w:ascii="Arial" w:cs="Arial" w:eastAsia="Arial" w:hAnsi="Arial"/>
                <w:sz w:val="16"/>
                <w:szCs w:val="16"/>
                <w:color w:val="auto"/>
              </w:rPr>
              <w:t>Term loan A (1)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481,250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500,000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Revolving credit facility (1)</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Senior Secured Credit Facility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1,131,250</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1,100,000</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obligations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19,566</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7.57% to 7.82%</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19,579</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7.52% to 7.82%</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2,732</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notes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0.00% to 2.18%</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0.00% to 2.18%</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unamortized debt discount and issuance costs</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(3,716)</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(4,394)</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1,150,791</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1,118,104</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 of long-term debt</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(26,767)</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(26,335)</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1,124,024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1,091,769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the weighted-average interest rate for the respective period.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Debt Covenants - </w:t>
      </w:r>
      <w:r>
        <w:rPr>
          <w:rFonts w:ascii="Arial" w:cs="Arial" w:eastAsia="Arial" w:hAnsi="Arial"/>
          <w:sz w:val="20"/>
          <w:szCs w:val="20"/>
          <w:color w:val="auto"/>
        </w:rPr>
        <w:t>As of September 30, 2018 and December 31, 2017, the Company was in compliance with its debt covenants.</w:t>
      </w:r>
    </w:p>
    <w:p>
      <w:pPr>
        <w:spacing w:after="0" w:line="229"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Other Long-term Liabilities,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Other long-term liabilities, net, consisted of the following, as of the periods indicated:</w:t>
      </w:r>
    </w:p>
    <w:p>
      <w:pPr>
        <w:sectPr>
          <w:pgSz w:w="11900" w:h="16838" w:orient="portrait"/>
          <w:cols w:equalWidth="0" w:num="1">
            <w:col w:w="11420"/>
          </w:cols>
          <w:pgMar w:left="240" w:top="121" w:right="2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insurance liability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Unfavorable leases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Chef and Restaurant Managing Partner deferred compensation obligations and deposits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liabilities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20" w:type="dxa"/>
            <w:vAlign w:val="bottom"/>
          </w:tcPr>
          <w:p>
            <w:pPr>
              <w:spacing w:after="0"/>
              <w:rPr>
                <w:sz w:val="17"/>
                <w:szCs w:val="17"/>
                <w:color w:val="auto"/>
              </w:rPr>
            </w:pPr>
          </w:p>
        </w:tc>
        <w:tc>
          <w:tcPr>
            <w:tcW w:w="19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Pr>
          <w:p>
            <w:pPr>
              <w:spacing w:after="0"/>
              <w:rPr>
                <w:sz w:val="17"/>
                <w:szCs w:val="17"/>
                <w:color w:val="auto"/>
              </w:rPr>
            </w:pPr>
          </w:p>
        </w:tc>
        <w:tc>
          <w:tcPr>
            <w:tcW w:w="1820" w:type="dxa"/>
            <w:vAlign w:val="bottom"/>
          </w:tcPr>
          <w:p>
            <w:pPr>
              <w:jc w:val="right"/>
              <w:ind w:right="260"/>
              <w:spacing w:after="0"/>
              <w:rPr>
                <w:sz w:val="20"/>
                <w:szCs w:val="20"/>
                <w:color w:val="auto"/>
              </w:rPr>
            </w:pPr>
            <w:r>
              <w:rPr>
                <w:rFonts w:ascii="Arial" w:cs="Arial" w:eastAsia="Arial" w:hAnsi="Arial"/>
                <w:sz w:val="14"/>
                <w:szCs w:val="14"/>
                <w:b w:val="1"/>
                <w:bCs w:val="1"/>
                <w:color w:val="auto"/>
              </w:rPr>
              <w:t>DECEMBER 31, 2017</w:t>
            </w:r>
          </w:p>
        </w:tc>
      </w:tr>
      <w:tr>
        <w:trPr>
          <w:trHeight w:val="224"/>
        </w:trPr>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35,269</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35,945</w:t>
            </w:r>
          </w:p>
        </w:tc>
      </w:tr>
      <w:tr>
        <w:trPr>
          <w:trHeight w:val="270"/>
        </w:trPr>
        <w:tc>
          <w:tcPr>
            <w:tcW w:w="220" w:type="dxa"/>
            <w:vAlign w:val="bottom"/>
          </w:tcPr>
          <w:p>
            <w:pPr>
              <w:spacing w:after="0"/>
              <w:rPr>
                <w:sz w:val="23"/>
                <w:szCs w:val="23"/>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color w:val="auto"/>
              </w:rPr>
              <w:t>33,567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36,661</w:t>
            </w:r>
          </w:p>
        </w:tc>
      </w:tr>
      <w:tr>
        <w:trPr>
          <w:trHeight w:val="270"/>
        </w:trPr>
        <w:tc>
          <w:tcPr>
            <w:tcW w:w="220" w:type="dxa"/>
            <w:vAlign w:val="bottom"/>
          </w:tcPr>
          <w:p>
            <w:pPr>
              <w:spacing w:after="0"/>
              <w:rPr>
                <w:sz w:val="23"/>
                <w:szCs w:val="23"/>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color w:val="auto"/>
              </w:rPr>
              <w:t>66,470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81,083</w:t>
            </w:r>
          </w:p>
        </w:tc>
      </w:tr>
      <w:tr>
        <w:trPr>
          <w:trHeight w:val="257"/>
        </w:trPr>
        <w:tc>
          <w:tcPr>
            <w:tcW w:w="220" w:type="dxa"/>
            <w:vAlign w:val="bottom"/>
          </w:tcPr>
          <w:p>
            <w:pPr>
              <w:spacing w:after="0"/>
              <w:rPr>
                <w:sz w:val="22"/>
                <w:szCs w:val="22"/>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color w:val="auto"/>
              </w:rPr>
              <w:t>50,824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56,754</w:t>
            </w:r>
          </w:p>
        </w:tc>
      </w:tr>
      <w:tr>
        <w:trPr>
          <w:trHeight w:val="40"/>
        </w:trPr>
        <w:tc>
          <w:tcPr>
            <w:tcW w:w="2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24"/>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40"/>
              <w:spacing w:after="0"/>
              <w:rPr>
                <w:sz w:val="20"/>
                <w:szCs w:val="20"/>
                <w:color w:val="auto"/>
              </w:rPr>
            </w:pPr>
            <w:r>
              <w:rPr>
                <w:rFonts w:ascii="Arial" w:cs="Arial" w:eastAsia="Arial" w:hAnsi="Arial"/>
                <w:sz w:val="16"/>
                <w:szCs w:val="16"/>
                <w:color w:val="auto"/>
              </w:rPr>
              <w:t>186,130</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210,443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38100</wp:posOffset>
            </wp:positionV>
            <wp:extent cx="2675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6480" w:space="720"/>
            <w:col w:w="422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_______________</w:t>
      </w:r>
    </w:p>
    <w:p>
      <w:pPr>
        <w:spacing w:after="0" w:line="1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 of accumulated amortization of $35.9 million and $34.0 million as of September 30, 2018 and December 31, 2017, respectively.</w:t>
      </w:r>
    </w:p>
    <w:p>
      <w:pPr>
        <w:spacing w:after="0" w:line="5" w:lineRule="exact"/>
        <w:rPr>
          <w:rFonts w:ascii="Arial" w:cs="Arial" w:eastAsia="Arial" w:hAnsi="Arial"/>
          <w:sz w:val="16"/>
          <w:szCs w:val="16"/>
          <w:color w:val="auto"/>
        </w:rPr>
      </w:pPr>
    </w:p>
    <w:p>
      <w:pPr>
        <w:ind w:left="660" w:right="20" w:hanging="652"/>
        <w:spacing w:after="0" w:line="257"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 on the Company’s Consolidated Balance Sheet as of December 31, 2017.</w:t>
      </w:r>
    </w:p>
    <w:p>
      <w:pPr>
        <w:spacing w:after="0" w:line="179"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Stockholders’ Equity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Share Repurchases </w:t>
      </w:r>
      <w:r>
        <w:rPr>
          <w:rFonts w:ascii="Arial" w:cs="Arial" w:eastAsia="Arial" w:hAnsi="Arial"/>
          <w:sz w:val="20"/>
          <w:szCs w:val="20"/>
          <w:color w:val="auto"/>
        </w:rPr>
        <w:t>- On February 16, 2018, the Company’s Board of Directors (the “Board”) canceled the remaining $55.0 million of</w:t>
      </w:r>
      <w:r>
        <w:rPr>
          <w:rFonts w:ascii="Arial" w:cs="Arial" w:eastAsia="Arial" w:hAnsi="Arial"/>
          <w:sz w:val="20"/>
          <w:szCs w:val="20"/>
          <w:i w:val="1"/>
          <w:iCs w:val="1"/>
          <w:color w:val="auto"/>
        </w:rPr>
        <w:t xml:space="preserve"> </w:t>
      </w:r>
      <w:r>
        <w:rPr>
          <w:rFonts w:ascii="Arial" w:cs="Arial" w:eastAsia="Arial" w:hAnsi="Arial"/>
          <w:sz w:val="20"/>
          <w:szCs w:val="20"/>
          <w:color w:val="auto"/>
        </w:rPr>
        <w:t>authorization under the 2017 Share Repurchase Program and approved a new $150.0 million authorization (the “2018 Share Repurchase Program”). The 2018 Share Repurchase Program will expire on August 16, 2019. As of September 30, 2018, $51.0 million remained available for repurchase under the 2018 Share Repurchase Program.</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shares repurchased under the Company’s share repurchase program during fiscal year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7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46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REPURCHASE PRICE</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28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0"/>
              </w:rPr>
              <w:t>(dollars in thousands)</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fiscal quarter</w:t>
            </w:r>
          </w:p>
        </w:tc>
        <w:tc>
          <w:tcPr>
            <w:tcW w:w="1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2,116</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50,996</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Second fiscal quarter</w:t>
            </w:r>
          </w:p>
        </w:tc>
        <w:tc>
          <w:tcPr>
            <w:tcW w:w="1740" w:type="dxa"/>
            <w:vAlign w:val="bottom"/>
          </w:tcPr>
          <w:p>
            <w:pPr>
              <w:jc w:val="right"/>
              <w:ind w:right="42"/>
              <w:spacing w:after="0"/>
              <w:rPr>
                <w:sz w:val="20"/>
                <w:szCs w:val="20"/>
                <w:color w:val="auto"/>
              </w:rPr>
            </w:pPr>
            <w:r>
              <w:rPr>
                <w:rFonts w:ascii="Arial" w:cs="Arial" w:eastAsia="Arial" w:hAnsi="Arial"/>
                <w:sz w:val="16"/>
                <w:szCs w:val="16"/>
                <w:color w:val="auto"/>
              </w:rPr>
              <w:t>1,287</w:t>
            </w:r>
          </w:p>
        </w:tc>
        <w:tc>
          <w:tcPr>
            <w:tcW w:w="36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23.31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22"/>
              <w:spacing w:after="0"/>
              <w:rPr>
                <w:sz w:val="20"/>
                <w:szCs w:val="20"/>
                <w:color w:val="auto"/>
              </w:rPr>
            </w:pPr>
            <w:r>
              <w:rPr>
                <w:rFonts w:ascii="Arial" w:cs="Arial" w:eastAsia="Arial" w:hAnsi="Arial"/>
                <w:sz w:val="16"/>
                <w:szCs w:val="16"/>
                <w:color w:val="auto"/>
              </w:rPr>
              <w:t>30,004</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Third fiscal quarter</w:t>
            </w:r>
          </w:p>
        </w:tc>
        <w:tc>
          <w:tcPr>
            <w:tcW w:w="17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968</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17,968</w:t>
            </w:r>
          </w:p>
        </w:tc>
        <w:tc>
          <w:tcPr>
            <w:tcW w:w="0" w:type="dxa"/>
            <w:vAlign w:val="bottom"/>
          </w:tcPr>
          <w:p>
            <w:pPr>
              <w:spacing w:after="0"/>
              <w:rPr>
                <w:sz w:val="1"/>
                <w:szCs w:val="1"/>
                <w:color w:val="auto"/>
              </w:rPr>
            </w:pP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Total common stock repurchases</w:t>
            </w:r>
          </w:p>
        </w:tc>
        <w:tc>
          <w:tcPr>
            <w:tcW w:w="17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4,371</w:t>
            </w:r>
          </w:p>
        </w:tc>
        <w:tc>
          <w:tcPr>
            <w:tcW w:w="36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22.64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98,968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Dividends - </w:t>
      </w:r>
      <w:r>
        <w:rPr>
          <w:rFonts w:ascii="Arial" w:cs="Arial" w:eastAsia="Arial" w:hAnsi="Arial"/>
          <w:sz w:val="20"/>
          <w:szCs w:val="20"/>
          <w:color w:val="auto"/>
        </w:rPr>
        <w:t>The Company declared and paid dividends per share during fiscal year 2018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DIVIDENDS PER</w:t>
            </w:r>
          </w:p>
        </w:tc>
        <w:tc>
          <w:tcPr>
            <w:tcW w:w="160" w:type="dxa"/>
            <w:vAlign w:val="bottom"/>
          </w:tcPr>
          <w:p>
            <w:pPr>
              <w:spacing w:after="0"/>
              <w:rPr>
                <w:sz w:val="14"/>
                <w:szCs w:val="14"/>
                <w:color w:val="auto"/>
              </w:rPr>
            </w:pPr>
          </w:p>
        </w:tc>
        <w:tc>
          <w:tcPr>
            <w:tcW w:w="1640" w:type="dxa"/>
            <w:vAlign w:val="bottom"/>
          </w:tcPr>
          <w:p>
            <w:pPr>
              <w:jc w:val="right"/>
              <w:ind w:right="502"/>
              <w:spacing w:after="0"/>
              <w:rPr>
                <w:sz w:val="20"/>
                <w:szCs w:val="20"/>
                <w:color w:val="auto"/>
              </w:rPr>
            </w:pPr>
            <w:r>
              <w:rPr>
                <w:rFonts w:ascii="Arial" w:cs="Arial" w:eastAsia="Arial" w:hAnsi="Arial"/>
                <w:sz w:val="14"/>
                <w:szCs w:val="14"/>
                <w:b w:val="1"/>
                <w:bCs w:val="1"/>
                <w:color w:val="auto"/>
              </w:rPr>
              <w:t>AMOUNT</w:t>
            </w:r>
          </w:p>
        </w:tc>
      </w:tr>
      <w:tr>
        <w:trPr>
          <w:trHeight w:val="205"/>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7"/>
                <w:szCs w:val="17"/>
                <w:color w:val="auto"/>
              </w:rPr>
            </w:pPr>
          </w:p>
        </w:tc>
        <w:tc>
          <w:tcPr>
            <w:tcW w:w="1640" w:type="dxa"/>
            <w:vAlign w:val="bottom"/>
          </w:tcPr>
          <w:p>
            <w:pPr>
              <w:jc w:val="right"/>
              <w:ind w:right="162"/>
              <w:spacing w:after="0"/>
              <w:rPr>
                <w:sz w:val="20"/>
                <w:szCs w:val="20"/>
                <w:color w:val="auto"/>
              </w:rPr>
            </w:pPr>
            <w:r>
              <w:rPr>
                <w:rFonts w:ascii="Arial" w:cs="Arial" w:eastAsia="Arial" w:hAnsi="Arial"/>
                <w:sz w:val="14"/>
                <w:szCs w:val="14"/>
                <w:b w:val="1"/>
                <w:bCs w:val="1"/>
                <w:color w:val="auto"/>
                <w:w w:val="94"/>
              </w:rPr>
              <w:t>(dollars in thousands)</w:t>
            </w:r>
          </w:p>
        </w:tc>
      </w:tr>
      <w:tr>
        <w:trPr>
          <w:trHeight w:val="237"/>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fiscal quarter</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8,371</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Second fiscal quarter</w:t>
            </w:r>
          </w:p>
        </w:tc>
        <w:tc>
          <w:tcPr>
            <w:tcW w:w="14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22"/>
              <w:spacing w:after="0"/>
              <w:rPr>
                <w:sz w:val="20"/>
                <w:szCs w:val="20"/>
                <w:color w:val="auto"/>
              </w:rPr>
            </w:pPr>
            <w:r>
              <w:rPr>
                <w:rFonts w:ascii="Arial" w:cs="Arial" w:eastAsia="Arial" w:hAnsi="Arial"/>
                <w:sz w:val="16"/>
                <w:szCs w:val="16"/>
                <w:color w:val="auto"/>
              </w:rPr>
              <w:t>8,363</w:t>
            </w:r>
          </w:p>
        </w:tc>
      </w:tr>
      <w:tr>
        <w:trPr>
          <w:trHeight w:val="33"/>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Third fiscal quarter</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8,344</w:t>
            </w:r>
          </w:p>
        </w:tc>
      </w:tr>
      <w:tr>
        <w:trPr>
          <w:trHeight w:val="250"/>
        </w:trPr>
        <w:tc>
          <w:tcPr>
            <w:tcW w:w="80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 cash dividends declared and paid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0.27</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25,078</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October 2018, the Board declared a quarterly cash dividend of $0.09 per share, payable on November 21, 2018, to shareholders of record at the close of business on November 14, 2018.</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Accumulated Other Comprehensive Loss (“AOCL”)- </w:t>
      </w:r>
      <w:r>
        <w:rPr>
          <w:rFonts w:ascii="Arial" w:cs="Arial" w:eastAsia="Arial" w:hAnsi="Arial"/>
          <w:sz w:val="20"/>
          <w:szCs w:val="20"/>
          <w:color w:val="auto"/>
        </w:rPr>
        <w:t>Following are the components of AOCL: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7"/>
                <w:szCs w:val="17"/>
                <w:color w:val="auto"/>
              </w:rPr>
            </w:pPr>
          </w:p>
        </w:tc>
        <w:tc>
          <w:tcPr>
            <w:tcW w:w="21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Pr>
          <w:p>
            <w:pPr>
              <w:spacing w:after="0"/>
              <w:rPr>
                <w:sz w:val="17"/>
                <w:szCs w:val="17"/>
                <w:color w:val="auto"/>
              </w:rPr>
            </w:pPr>
          </w:p>
        </w:tc>
        <w:tc>
          <w:tcPr>
            <w:tcW w:w="1820" w:type="dxa"/>
            <w:vAlign w:val="bottom"/>
          </w:tcPr>
          <w:p>
            <w:pPr>
              <w:jc w:val="right"/>
              <w:ind w:right="261"/>
              <w:spacing w:after="0"/>
              <w:rPr>
                <w:sz w:val="20"/>
                <w:szCs w:val="20"/>
                <w:color w:val="auto"/>
              </w:rPr>
            </w:pPr>
            <w:r>
              <w:rPr>
                <w:rFonts w:ascii="Arial" w:cs="Arial" w:eastAsia="Arial" w:hAnsi="Arial"/>
                <w:sz w:val="14"/>
                <w:szCs w:val="14"/>
                <w:b w:val="1"/>
                <w:bCs w:val="1"/>
                <w:color w:val="auto"/>
              </w:rPr>
              <w:t>DECEMBER 31, 2017</w:t>
            </w:r>
          </w:p>
        </w:tc>
      </w:tr>
      <w:tr>
        <w:trPr>
          <w:trHeight w:val="237"/>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(144,199)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(98,573)</w:t>
            </w:r>
          </w:p>
        </w:tc>
      </w:tr>
      <w:tr>
        <w:trPr>
          <w:trHeight w:val="27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Unrealized gain (loss) on derivatives, net of tax</w:t>
            </w:r>
          </w:p>
        </w:tc>
        <w:tc>
          <w:tcPr>
            <w:tcW w:w="26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923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(99,199)</w:t>
            </w: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Following are the components of the Company’s Other comprehensive (loss) income during the periods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20" w:type="dxa"/>
            <w:vAlign w:val="bottom"/>
          </w:tcPr>
          <w:p>
            <w:pPr>
              <w:jc w:val="right"/>
              <w:ind w:right="102"/>
              <w:spacing w:after="0" w:line="153" w:lineRule="exact"/>
              <w:rPr>
                <w:sz w:val="20"/>
                <w:szCs w:val="20"/>
                <w:color w:val="auto"/>
              </w:rPr>
            </w:pPr>
            <w:r>
              <w:rPr>
                <w:rFonts w:ascii="Arial" w:cs="Arial" w:eastAsia="Arial" w:hAnsi="Arial"/>
                <w:sz w:val="14"/>
                <w:szCs w:val="14"/>
                <w:b w:val="1"/>
                <w:bCs w:val="1"/>
                <w:color w:val="auto"/>
              </w:rPr>
              <w:t>SEPTEMBER 24,</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40" w:type="dxa"/>
            <w:vAlign w:val="bottom"/>
          </w:tcPr>
          <w:p>
            <w:pPr>
              <w:spacing w:after="0"/>
              <w:rPr>
                <w:sz w:val="17"/>
                <w:szCs w:val="17"/>
                <w:color w:val="auto"/>
              </w:rPr>
            </w:pPr>
          </w:p>
        </w:tc>
        <w:tc>
          <w:tcPr>
            <w:tcW w:w="13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17,816</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gain (loss) on derivatives, net of tax (1)</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20"/>
        </w:trPr>
        <w:tc>
          <w:tcPr>
            <w:tcW w:w="5160" w:type="dxa"/>
            <w:vAlign w:val="bottom"/>
          </w:tcPr>
          <w:p>
            <w:pPr>
              <w:ind w:left="40"/>
              <w:spacing w:after="0"/>
              <w:rPr>
                <w:sz w:val="20"/>
                <w:szCs w:val="20"/>
                <w:color w:val="auto"/>
              </w:rPr>
            </w:pPr>
            <w:r>
              <w:rPr>
                <w:rFonts w:ascii="Arial" w:cs="Arial" w:eastAsia="Arial" w:hAnsi="Arial"/>
                <w:sz w:val="16"/>
                <w:szCs w:val="16"/>
                <w:color w:val="auto"/>
                <w:w w:val="96"/>
              </w:rPr>
              <w:t>Reclassification of adjustment for (gain) loss on derivatives included in Net</w:t>
            </w:r>
          </w:p>
        </w:tc>
        <w:tc>
          <w:tcPr>
            <w:tcW w:w="36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vMerge w:val="restart"/>
          </w:tcPr>
          <w:p>
            <w:pPr>
              <w:jc w:val="right"/>
              <w:ind w:right="39"/>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restart"/>
          </w:tcPr>
          <w:p>
            <w:pPr>
              <w:jc w:val="right"/>
              <w:ind w:right="42"/>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restart"/>
          </w:tcPr>
          <w:p>
            <w:pPr>
              <w:jc w:val="right"/>
              <w:ind w:right="22"/>
              <w:spacing w:after="0"/>
              <w:rPr>
                <w:sz w:val="20"/>
                <w:szCs w:val="20"/>
                <w:color w:val="auto"/>
              </w:rPr>
            </w:pPr>
            <w:r>
              <w:rPr>
                <w:rFonts w:ascii="Arial" w:cs="Arial" w:eastAsia="Arial" w:hAnsi="Arial"/>
                <w:sz w:val="16"/>
                <w:szCs w:val="16"/>
                <w:color w:val="auto"/>
              </w:rPr>
              <w:t>1,919</w:t>
            </w:r>
          </w:p>
        </w:tc>
        <w:tc>
          <w:tcPr>
            <w:tcW w:w="0" w:type="dxa"/>
            <w:vAlign w:val="bottom"/>
          </w:tcPr>
          <w:p>
            <w:pPr>
              <w:spacing w:after="0"/>
              <w:rPr>
                <w:sz w:val="1"/>
                <w:szCs w:val="1"/>
                <w:color w:val="auto"/>
              </w:rPr>
            </w:pPr>
          </w:p>
        </w:tc>
      </w:tr>
      <w:tr>
        <w:trPr>
          <w:trHeight w:val="239"/>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net of tax (2)</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unrealized (loss) gain on derivatives, net of tax</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1,549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6"/>
                <w:szCs w:val="16"/>
                <w:color w:val="auto"/>
              </w:rPr>
              <w:t>Other comprehensive (loss) income attributable to Bloomin’ Brands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(16,605)</w:t>
            </w:r>
          </w:p>
        </w:tc>
        <w:tc>
          <w:tcPr>
            <w:tcW w:w="120" w:type="dxa"/>
            <w:vAlign w:val="bottom"/>
          </w:tcPr>
          <w:p>
            <w:pPr>
              <w:spacing w:after="0"/>
              <w:rPr>
                <w:sz w:val="21"/>
                <w:szCs w:val="21"/>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7,277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(44,077)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19,596</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4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Unrealized gain (loss) on derivatives is net of tax of $0.2 million for the thirteen weeks ended September 24, 2017 and $0.4 million and ($0.1) million for the thirty-nine weeks ended September 30, 2018 and September 24, 2017, respectively.</w:t>
      </w:r>
    </w:p>
    <w:p>
      <w:pPr>
        <w:ind w:left="660" w:hanging="652"/>
        <w:spacing w:after="0" w:line="257"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Reclassifications of adjustments for losses on derivatives are net of tax. See Note 12 -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xml:space="preserve"> for discussion of the tax impact of reclassifications.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Derivative Instruments and Hedging Activities</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Cash Flow Hedges of Interest Rate Risk - </w:t>
      </w:r>
      <w:r>
        <w:rPr>
          <w:rFonts w:ascii="Arial" w:cs="Arial" w:eastAsia="Arial" w:hAnsi="Arial"/>
          <w:sz w:val="20"/>
          <w:szCs w:val="20"/>
          <w:color w:val="252525"/>
        </w:rPr>
        <w:t>On September 9, 2014, the Company entered into variable-to-fixed interest rate swap agreements</w:t>
      </w:r>
      <w:r>
        <w:rPr>
          <w:rFonts w:ascii="Arial" w:cs="Arial" w:eastAsia="Arial" w:hAnsi="Arial"/>
          <w:sz w:val="20"/>
          <w:szCs w:val="20"/>
          <w:i w:val="1"/>
          <w:iCs w:val="1"/>
          <w:color w:val="auto"/>
        </w:rPr>
        <w:t xml:space="preserve"> </w:t>
      </w:r>
      <w:r>
        <w:rPr>
          <w:rFonts w:ascii="Arial" w:cs="Arial" w:eastAsia="Arial" w:hAnsi="Arial"/>
          <w:sz w:val="20"/>
          <w:szCs w:val="20"/>
          <w:color w:val="252525"/>
        </w:rPr>
        <w:t>with eight counterparties to hedge a portion of the cash flows of the Company’s variable rate debt (the “2014 Swap Agreements”). The 2014 Swap Agreements have an aggregate notional amount of $400.0 million, a start date of June 30, 2015, and mature on May 16, 2019. Under the terms of the 2014 Swap Agreements, the Company pays a weighted-average fixed rate of 2.02% on the $400.0 million notional amount and receives payments from the counterparty based on the 30-day LIBOR rate. The 2014 Swap Agreements, which have been designated and qualify as cash flow hedges, are recognized on the Company’s Consolidated Balance Sheets at fair value and are classified based on the instruments’ maturity dates.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252525"/>
        </w:rPr>
        <w:t xml:space="preserve">The following table presents the fair value and classification of the Company’s 2014 Swap Agreements, as of </w:t>
      </w:r>
      <w:r>
        <w:rPr>
          <w:rFonts w:ascii="Arial" w:cs="Arial" w:eastAsia="Arial" w:hAnsi="Arial"/>
          <w:sz w:val="19"/>
          <w:szCs w:val="19"/>
          <w:color w:val="000000"/>
        </w:rPr>
        <w:t>the periods indicated</w:t>
      </w:r>
      <w:r>
        <w:rPr>
          <w:rFonts w:ascii="Arial" w:cs="Arial" w:eastAsia="Arial" w:hAnsi="Arial"/>
          <w:sz w:val="19"/>
          <w:szCs w:val="19"/>
          <w:color w:val="252525"/>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rPr>
              <w:t>CONSOLIDATED BALANCE SHEET</w:t>
            </w:r>
          </w:p>
        </w:tc>
      </w:tr>
      <w:tr>
        <w:trPr>
          <w:trHeight w:val="205"/>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17"/>
                <w:szCs w:val="17"/>
                <w:color w:val="auto"/>
              </w:rPr>
            </w:pPr>
          </w:p>
        </w:tc>
        <w:tc>
          <w:tcPr>
            <w:tcW w:w="1640" w:type="dxa"/>
            <w:vAlign w:val="bottom"/>
          </w:tcPr>
          <w:p>
            <w:pPr>
              <w:jc w:val="right"/>
              <w:ind w:right="141"/>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rPr>
              <w:t>CLASSIFICATION</w:t>
            </w:r>
          </w:p>
        </w:tc>
      </w:tr>
      <w:tr>
        <w:trPr>
          <w:trHeight w:val="237"/>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swaps - asset</w:t>
            </w:r>
          </w:p>
        </w:tc>
        <w:tc>
          <w:tcPr>
            <w:tcW w:w="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r>
      <w:tr>
        <w:trPr>
          <w:trHeight w:val="270"/>
        </w:trPr>
        <w:tc>
          <w:tcPr>
            <w:tcW w:w="4580" w:type="dxa"/>
            <w:vAlign w:val="bottom"/>
          </w:tcPr>
          <w:p>
            <w:pPr>
              <w:ind w:left="40"/>
              <w:spacing w:after="0"/>
              <w:rPr>
                <w:sz w:val="20"/>
                <w:szCs w:val="20"/>
                <w:color w:val="auto"/>
              </w:rPr>
            </w:pPr>
            <w:r>
              <w:rPr>
                <w:rFonts w:ascii="Arial" w:cs="Arial" w:eastAsia="Arial" w:hAnsi="Arial"/>
                <w:sz w:val="16"/>
                <w:szCs w:val="16"/>
                <w:color w:val="auto"/>
              </w:rPr>
              <w:t>Interest rate swaps - asset</w:t>
            </w:r>
          </w:p>
        </w:tc>
        <w:tc>
          <w:tcPr>
            <w:tcW w:w="56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Other assets, net</w:t>
            </w:r>
          </w:p>
        </w:tc>
      </w:tr>
      <w:tr>
        <w:trPr>
          <w:trHeight w:val="244"/>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fair value of derivative instruments - assets (1)</w:t>
            </w:r>
          </w:p>
        </w:tc>
        <w:tc>
          <w:tcPr>
            <w:tcW w:w="5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3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84"/>
        </w:trPr>
        <w:tc>
          <w:tcPr>
            <w:tcW w:w="4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swaps - liability (1)</w:t>
            </w:r>
          </w:p>
        </w:tc>
        <w:tc>
          <w:tcPr>
            <w:tcW w:w="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1,010</w:t>
            </w:r>
          </w:p>
        </w:tc>
        <w:tc>
          <w:tcPr>
            <w:tcW w:w="120" w:type="dxa"/>
            <w:vAlign w:val="bottom"/>
            <w:shd w:val="clear" w:color="auto" w:fill="CCEEFF"/>
          </w:tcPr>
          <w:p>
            <w:pPr>
              <w:spacing w:after="0"/>
              <w:rPr>
                <w:sz w:val="23"/>
                <w:szCs w:val="23"/>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r>
      <w:tr>
        <w:trPr>
          <w:trHeight w:val="187"/>
        </w:trPr>
        <w:tc>
          <w:tcPr>
            <w:tcW w:w="45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____________________</w:t>
            </w:r>
          </w:p>
        </w:tc>
        <w:tc>
          <w:tcPr>
            <w:tcW w:w="5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300" w:type="dxa"/>
            <w:vAlign w:val="bottom"/>
            <w:tcBorders>
              <w:top w:val="single" w:sz="8" w:color="CCEEFF"/>
            </w:tcBorders>
          </w:tcPr>
          <w:p>
            <w:pPr>
              <w:spacing w:after="0"/>
              <w:rPr>
                <w:sz w:val="16"/>
                <w:szCs w:val="16"/>
                <w:color w:val="auto"/>
              </w:rPr>
            </w:pPr>
          </w:p>
        </w:tc>
      </w:tr>
    </w:tbl>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252525"/>
        </w:rPr>
        <w:t xml:space="preserve">See Note </w:t>
      </w:r>
      <w:r>
        <w:rPr>
          <w:rFonts w:ascii="Arial" w:cs="Arial" w:eastAsia="Arial" w:hAnsi="Arial"/>
          <w:sz w:val="16"/>
          <w:szCs w:val="16"/>
          <w:color w:val="000000"/>
        </w:rPr>
        <w:t>13</w:t>
      </w:r>
      <w:r>
        <w:rPr>
          <w:rFonts w:ascii="Arial" w:cs="Arial" w:eastAsia="Arial" w:hAnsi="Arial"/>
          <w:sz w:val="16"/>
          <w:szCs w:val="16"/>
          <w:color w:val="252525"/>
        </w:rPr>
        <w:t xml:space="preserve"> - </w:t>
      </w:r>
      <w:r>
        <w:rPr>
          <w:rFonts w:ascii="Arial" w:cs="Arial" w:eastAsia="Arial" w:hAnsi="Arial"/>
          <w:sz w:val="16"/>
          <w:szCs w:val="16"/>
          <w:i w:val="1"/>
          <w:iCs w:val="1"/>
          <w:color w:val="000000"/>
        </w:rPr>
        <w:t>Fair Value Measurements</w:t>
      </w:r>
      <w:r>
        <w:rPr>
          <w:rFonts w:ascii="Arial" w:cs="Arial" w:eastAsia="Arial" w:hAnsi="Arial"/>
          <w:sz w:val="16"/>
          <w:szCs w:val="16"/>
          <w:color w:val="252525"/>
        </w:rPr>
        <w:t xml:space="preserve"> for fair value discussion of the interest rate swaps.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252525"/>
        </w:rPr>
        <w:t>The following table summarizes the effects of the 2014 Swap Agreements on Net income for the periods indicated: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Interest rate swap income (expense) recognized in Interest expense, net</w:t>
      </w:r>
    </w:p>
    <w:p>
      <w:pPr>
        <w:spacing w:after="0" w:line="84"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Income tax (expense) benefit recognized in (Benefit) provision for income taxes</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effects of the interest rate swaps on Net income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24, 2017</w:t>
            </w: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20" w:type="dxa"/>
            <w:vAlign w:val="bottom"/>
          </w:tcPr>
          <w:p>
            <w:pPr>
              <w:jc w:val="right"/>
              <w:ind w:right="103"/>
              <w:spacing w:after="0" w:line="153" w:lineRule="exact"/>
              <w:rPr>
                <w:sz w:val="20"/>
                <w:szCs w:val="20"/>
                <w:color w:val="auto"/>
              </w:rPr>
            </w:pPr>
            <w:r>
              <w:rPr>
                <w:rFonts w:ascii="Arial" w:cs="Arial" w:eastAsia="Arial" w:hAnsi="Arial"/>
                <w:sz w:val="14"/>
                <w:szCs w:val="14"/>
                <w:b w:val="1"/>
                <w:bCs w:val="1"/>
                <w:color w:val="auto"/>
              </w:rPr>
              <w:t>SEPTEMBER 24,</w:t>
            </w:r>
          </w:p>
        </w:tc>
        <w:tc>
          <w:tcPr>
            <w:tcW w:w="0" w:type="dxa"/>
            <w:vAlign w:val="bottom"/>
          </w:tcPr>
          <w:p>
            <w:pPr>
              <w:spacing w:after="0"/>
              <w:rPr>
                <w:sz w:val="1"/>
                <w:szCs w:val="1"/>
                <w:color w:val="auto"/>
              </w:rPr>
            </w:pPr>
          </w:p>
        </w:tc>
      </w:tr>
      <w:tr>
        <w:trPr>
          <w:trHeight w:val="205"/>
        </w:trPr>
        <w:tc>
          <w:tcPr>
            <w:tcW w:w="1620" w:type="dxa"/>
            <w:vAlign w:val="bottom"/>
            <w:gridSpan w:val="3"/>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4"/>
        </w:trPr>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(3,105)</w:t>
            </w:r>
          </w:p>
        </w:tc>
        <w:tc>
          <w:tcPr>
            <w:tcW w:w="0" w:type="dxa"/>
            <w:vAlign w:val="bottom"/>
          </w:tcPr>
          <w:p>
            <w:pPr>
              <w:spacing w:after="0"/>
              <w:rPr>
                <w:sz w:val="1"/>
                <w:szCs w:val="1"/>
                <w:color w:val="auto"/>
              </w:rPr>
            </w:pPr>
          </w:p>
        </w:tc>
      </w:tr>
      <w:tr>
        <w:trPr>
          <w:trHeight w:val="446"/>
        </w:trPr>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40"/>
        </w:trPr>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(1,919)</w:t>
            </w:r>
          </w:p>
        </w:tc>
        <w:tc>
          <w:tcPr>
            <w:tcW w:w="0" w:type="dxa"/>
            <w:vAlign w:val="bottom"/>
          </w:tcPr>
          <w:p>
            <w:pPr>
              <w:spacing w:after="0"/>
              <w:rPr>
                <w:sz w:val="1"/>
                <w:szCs w:val="1"/>
                <w:color w:val="auto"/>
              </w:rPr>
            </w:pP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-659765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-196850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300"/>
            <w:col w:w="6260"/>
          </w:cols>
          <w:pgMar w:left="240" w:top="121" w:right="239" w:bottom="1440" w:gutter="0" w:footer="0" w:header="0"/>
          <w:type w:val="continuous"/>
        </w:sectPr>
      </w:pPr>
    </w:p>
    <w:p>
      <w:pPr>
        <w:spacing w:after="0" w:line="1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252525"/>
        </w:rPr>
        <w:t xml:space="preserve">On October 24, 2018 and October 25, 2018, the Company entered into variable-to-fixed interest rate swap agreements with 12 counterparties to hedge a portion of the cash flows of the Company’s variable rate debt (the “2018 Swap Agreements”). The 2018 Swap Agreements have an aggregate notional amount of $550.0 million, a forward start date of May 16, 2019 (the maturity date of the 2014 Swap Agreements), and mature on November 30, 2022. Under the terms of the 2018 Swap Agreements, the Company will pay a weighted-average fixed rate of 3.04% on the notional amount and receive payments from the counterparty based on the </w:t>
      </w:r>
      <w:r>
        <w:rPr>
          <w:rFonts w:ascii="Arial" w:cs="Arial" w:eastAsia="Arial" w:hAnsi="Arial"/>
          <w:sz w:val="18"/>
          <w:szCs w:val="18"/>
          <w:color w:val="000000"/>
        </w:rPr>
        <w:t>one-month LIBOR</w:t>
      </w:r>
      <w:r>
        <w:rPr>
          <w:rFonts w:ascii="Arial" w:cs="Arial" w:eastAsia="Arial" w:hAnsi="Arial"/>
          <w:sz w:val="18"/>
          <w:szCs w:val="18"/>
          <w:color w:val="252525"/>
        </w:rPr>
        <w:t xml:space="preserve"> rate.</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252525"/>
        </w:rPr>
        <w:t>The 2018 Swap Agreements have been designated and qualify as cash flow hedges, are recognized on the Company</w:t>
      </w:r>
      <w:r>
        <w:rPr>
          <w:rFonts w:ascii="Arial" w:cs="Arial" w:eastAsia="Arial" w:hAnsi="Arial"/>
          <w:sz w:val="20"/>
          <w:szCs w:val="20"/>
          <w:b w:val="1"/>
          <w:bCs w:val="1"/>
          <w:color w:val="252525"/>
        </w:rPr>
        <w:t>’</w:t>
      </w:r>
      <w:r>
        <w:rPr>
          <w:rFonts w:ascii="Arial" w:cs="Arial" w:eastAsia="Arial" w:hAnsi="Arial"/>
          <w:sz w:val="20"/>
          <w:szCs w:val="20"/>
          <w:color w:val="252525"/>
        </w:rPr>
        <w:t>s Consolidated Balance Sheets at fair value and are classified based on the instruments’ maturity dates. The Company estimates $0.4 million will be reclassified to interest expense during 2019 related to the 2018 Swap Agreements.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color w:val="auto"/>
        </w:rPr>
        <w:t>Fair Value Measurements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Level 1</w:t>
            </w:r>
          </w:p>
        </w:tc>
        <w:tc>
          <w:tcPr>
            <w:tcW w:w="10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Unadjusted quoted market prices in active markets for identical assets or liabilities</w:t>
            </w:r>
          </w:p>
        </w:tc>
      </w:tr>
      <w:tr>
        <w:trPr>
          <w:trHeight w:val="224"/>
        </w:trPr>
        <w:tc>
          <w:tcPr>
            <w:tcW w:w="860" w:type="dxa"/>
            <w:vAlign w:val="bottom"/>
          </w:tcPr>
          <w:p>
            <w:pPr>
              <w:ind w:left="20"/>
              <w:spacing w:after="0"/>
              <w:rPr>
                <w:sz w:val="20"/>
                <w:szCs w:val="20"/>
                <w:color w:val="auto"/>
              </w:rPr>
            </w:pPr>
            <w:r>
              <w:rPr>
                <w:rFonts w:ascii="Arial" w:cs="Arial" w:eastAsia="Arial" w:hAnsi="Arial"/>
                <w:sz w:val="16"/>
                <w:szCs w:val="16"/>
                <w:color w:val="auto"/>
              </w:rPr>
              <w:t>Level 2</w:t>
            </w:r>
          </w:p>
        </w:tc>
        <w:tc>
          <w:tcPr>
            <w:tcW w:w="10520" w:type="dxa"/>
            <w:vAlign w:val="bottom"/>
          </w:tcPr>
          <w:p>
            <w:pPr>
              <w:ind w:left="360"/>
              <w:spacing w:after="0"/>
              <w:rPr>
                <w:sz w:val="20"/>
                <w:szCs w:val="20"/>
                <w:color w:val="auto"/>
              </w:rPr>
            </w:pPr>
            <w:r>
              <w:rPr>
                <w:rFonts w:ascii="Arial" w:cs="Arial" w:eastAsia="Arial" w:hAnsi="Arial"/>
                <w:sz w:val="16"/>
                <w:szCs w:val="16"/>
                <w:color w:val="auto"/>
              </w:rPr>
              <w:t>Observable inputs available at measurement date other than quoted prices included in Level 1</w:t>
            </w:r>
          </w:p>
        </w:tc>
      </w:tr>
      <w:tr>
        <w:trPr>
          <w:trHeight w:val="47"/>
        </w:trPr>
        <w:tc>
          <w:tcPr>
            <w:tcW w:w="860" w:type="dxa"/>
            <w:vAlign w:val="bottom"/>
          </w:tcPr>
          <w:p>
            <w:pPr>
              <w:spacing w:after="0"/>
              <w:rPr>
                <w:sz w:val="4"/>
                <w:szCs w:val="4"/>
                <w:color w:val="auto"/>
              </w:rPr>
            </w:pPr>
          </w:p>
        </w:tc>
        <w:tc>
          <w:tcPr>
            <w:tcW w:w="10520" w:type="dxa"/>
            <w:vAlign w:val="bottom"/>
          </w:tcPr>
          <w:p>
            <w:pPr>
              <w:spacing w:after="0"/>
              <w:rPr>
                <w:sz w:val="4"/>
                <w:szCs w:val="4"/>
                <w:color w:val="auto"/>
              </w:rPr>
            </w:pPr>
          </w:p>
        </w:tc>
      </w:tr>
      <w:tr>
        <w:trPr>
          <w:trHeight w:val="224"/>
        </w:trPr>
        <w:tc>
          <w:tcPr>
            <w:tcW w:w="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3</w:t>
            </w:r>
          </w:p>
        </w:tc>
        <w:tc>
          <w:tcPr>
            <w:tcW w:w="10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Unobservable inputs that cannot be corroborated by observable market data</w:t>
            </w:r>
          </w:p>
        </w:tc>
      </w:tr>
      <w:tr>
        <w:trPr>
          <w:trHeight w:val="47"/>
        </w:trPr>
        <w:tc>
          <w:tcPr>
            <w:tcW w:w="860" w:type="dxa"/>
            <w:vAlign w:val="bottom"/>
            <w:shd w:val="clear" w:color="auto" w:fill="CCEEFF"/>
          </w:tcPr>
          <w:p>
            <w:pPr>
              <w:spacing w:after="0"/>
              <w:rPr>
                <w:sz w:val="4"/>
                <w:szCs w:val="4"/>
                <w:color w:val="auto"/>
              </w:rPr>
            </w:pPr>
          </w:p>
        </w:tc>
        <w:tc>
          <w:tcPr>
            <w:tcW w:w="10520" w:type="dxa"/>
            <w:vAlign w:val="bottom"/>
            <w:shd w:val="clear" w:color="auto" w:fill="CCEEFF"/>
          </w:tcPr>
          <w:p>
            <w:pPr>
              <w:spacing w:after="0"/>
              <w:rPr>
                <w:sz w:val="4"/>
                <w:szCs w:val="4"/>
                <w:color w:val="auto"/>
              </w:rPr>
            </w:pPr>
          </w:p>
        </w:tc>
      </w:tr>
    </w:tbl>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Fair Value Measurements on a Recurring Basis - </w:t>
      </w:r>
      <w:r>
        <w:rPr>
          <w:rFonts w:ascii="Arial" w:cs="Arial" w:eastAsia="Arial" w:hAnsi="Arial"/>
          <w:sz w:val="20"/>
          <w:szCs w:val="20"/>
          <w:color w:val="auto"/>
        </w:rPr>
        <w:t>The following table summarizes the Company’s financial assets and liabilities measured at</w:t>
      </w:r>
      <w:r>
        <w:rPr>
          <w:rFonts w:ascii="Arial" w:cs="Arial" w:eastAsia="Arial" w:hAnsi="Arial"/>
          <w:sz w:val="20"/>
          <w:szCs w:val="20"/>
          <w:i w:val="1"/>
          <w:iCs w:val="1"/>
          <w:color w:val="auto"/>
        </w:rPr>
        <w:t xml:space="preserve"> </w:t>
      </w:r>
      <w:r>
        <w:rPr>
          <w:rFonts w:ascii="Arial" w:cs="Arial" w:eastAsia="Arial" w:hAnsi="Arial"/>
          <w:sz w:val="20"/>
          <w:szCs w:val="20"/>
          <w:color w:val="auto"/>
        </w:rPr>
        <w:t>fair value by hierarchy level on a recurring basis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8"/>
              </w:rPr>
              <w:t>SEPTEMBER 30, 2018</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b w:val="1"/>
                <w:bCs w:val="1"/>
                <w:color w:val="auto"/>
                <w:w w:val="98"/>
              </w:rPr>
              <w:t>DECEMBER 31, 2017</w:t>
            </w:r>
          </w:p>
        </w:tc>
        <w:tc>
          <w:tcPr>
            <w:tcW w:w="940" w:type="dxa"/>
            <w:vAlign w:val="bottom"/>
            <w:tcBorders>
              <w:bottom w:val="single" w:sz="8" w:color="auto"/>
            </w:tcBorders>
          </w:tcPr>
          <w:p>
            <w:pPr>
              <w:spacing w:after="0"/>
              <w:rPr>
                <w:sz w:val="17"/>
                <w:szCs w:val="17"/>
                <w:color w:val="auto"/>
              </w:rPr>
            </w:pPr>
          </w:p>
        </w:tc>
      </w:tr>
      <w:tr>
        <w:trPr>
          <w:trHeight w:val="264"/>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22"/>
                <w:szCs w:val="22"/>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940" w:type="dxa"/>
            <w:vAlign w:val="bottom"/>
          </w:tcPr>
          <w:p>
            <w:pPr>
              <w:jc w:val="right"/>
              <w:ind w:right="180"/>
              <w:spacing w:after="0"/>
              <w:rPr>
                <w:sz w:val="20"/>
                <w:szCs w:val="20"/>
                <w:color w:val="auto"/>
              </w:rPr>
            </w:pPr>
            <w:r>
              <w:rPr>
                <w:rFonts w:ascii="Arial" w:cs="Arial" w:eastAsia="Arial" w:hAnsi="Arial"/>
                <w:sz w:val="14"/>
                <w:szCs w:val="14"/>
                <w:b w:val="1"/>
                <w:bCs w:val="1"/>
                <w:color w:val="auto"/>
              </w:rPr>
              <w:t>LEVEL 2</w:t>
            </w:r>
          </w:p>
        </w:tc>
      </w:tr>
      <w:tr>
        <w:trPr>
          <w:trHeight w:val="250"/>
        </w:trPr>
        <w:tc>
          <w:tcPr>
            <w:tcW w:w="2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26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2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Fixed income funds</w:t>
            </w:r>
          </w:p>
        </w:tc>
        <w:tc>
          <w:tcPr>
            <w:tcW w:w="1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391</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226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16,082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16,082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24,656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24,656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2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 equivalents:</w:t>
            </w:r>
          </w:p>
        </w:tc>
        <w:tc>
          <w:tcPr>
            <w:tcW w:w="1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226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2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 net</w:t>
            </w:r>
          </w:p>
        </w:tc>
        <w:tc>
          <w:tcPr>
            <w:tcW w:w="1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2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 net:</w:t>
            </w:r>
          </w:p>
        </w:tc>
        <w:tc>
          <w:tcPr>
            <w:tcW w:w="1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70"/>
        </w:trPr>
        <w:tc>
          <w:tcPr>
            <w:tcW w:w="400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w:t>
            </w:r>
          </w:p>
        </w:tc>
      </w:tr>
      <w:tr>
        <w:trPr>
          <w:trHeight w:val="244"/>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 recurring fair value measurements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17,617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16,473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27,833</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27,766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2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1,010</w:t>
            </w:r>
          </w:p>
        </w:tc>
      </w:tr>
      <w:tr>
        <w:trPr>
          <w:trHeight w:val="250"/>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Total liability recurring fair value measurements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1,010</w:t>
            </w:r>
          </w:p>
        </w:tc>
      </w:tr>
      <w:tr>
        <w:trPr>
          <w:trHeight w:val="20"/>
        </w:trPr>
        <w:tc>
          <w:tcPr>
            <w:tcW w:w="400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50"/>
        </w:trPr>
        <w:tc>
          <w:tcPr>
            <w:tcW w:w="6800" w:type="dxa"/>
            <w:vAlign w:val="bottom"/>
            <w:gridSpan w:val="10"/>
          </w:tcPr>
          <w:p>
            <w:pPr>
              <w:spacing w:after="0"/>
              <w:rPr>
                <w:sz w:val="20"/>
                <w:szCs w:val="20"/>
                <w:color w:val="auto"/>
              </w:rPr>
            </w:pPr>
            <w:r>
              <w:rPr>
                <w:rFonts w:ascii="Arial" w:cs="Arial" w:eastAsia="Arial" w:hAnsi="Arial"/>
                <w:sz w:val="20"/>
                <w:szCs w:val="20"/>
                <w:color w:val="auto"/>
                <w:w w:val="90"/>
              </w:rPr>
              <w:t>Fair value of each class of financial instrument is determined based on the following:</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FINANCIAL INSTRUMENT</w:t>
            </w:r>
          </w:p>
        </w:tc>
        <w:tc>
          <w:tcPr>
            <w:tcW w:w="29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METHODS AND ASSUMPTIONS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10"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Carrying value approximates fair value because maturities are less than three months.</w:t>
      </w:r>
    </w:p>
    <w:p>
      <w:pPr>
        <w:spacing w:after="0" w:line="298" w:lineRule="exact"/>
        <w:rPr>
          <w:sz w:val="20"/>
          <w:szCs w:val="20"/>
          <w:color w:val="auto"/>
        </w:rPr>
      </w:pPr>
    </w:p>
    <w:p>
      <w:pPr>
        <w:sectPr>
          <w:pgSz w:w="11900" w:h="16838" w:orient="portrait"/>
          <w:cols w:equalWidth="0" w:num="2">
            <w:col w:w="2100" w:space="440"/>
            <w:col w:w="8880"/>
          </w:cols>
          <w:pgMar w:left="240" w:top="121" w:right="239" w:bottom="1440" w:gutter="0" w:footer="0" w:header="0"/>
          <w:type w:val="continuous"/>
        </w:sectPr>
      </w:pPr>
    </w:p>
    <w:p>
      <w:pPr>
        <w:ind w:left="40"/>
        <w:spacing w:after="0"/>
        <w:tabs>
          <w:tab w:leader="none" w:pos="2520" w:val="left"/>
        </w:tabs>
        <w:rPr>
          <w:sz w:val="20"/>
          <w:szCs w:val="20"/>
          <w:color w:val="auto"/>
        </w:rPr>
      </w:pPr>
      <w:r>
        <w:rPr>
          <w:rFonts w:ascii="Arial" w:cs="Arial" w:eastAsia="Arial" w:hAnsi="Arial"/>
          <w:sz w:val="16"/>
          <w:szCs w:val="16"/>
          <w:color w:val="auto"/>
        </w:rPr>
        <w:t>Derivative instruments</w:t>
      </w:r>
      <w:r>
        <w:rPr>
          <w:sz w:val="20"/>
          <w:szCs w:val="20"/>
          <w:color w:val="auto"/>
        </w:rPr>
        <w:tab/>
      </w:r>
      <w:r>
        <w:rPr>
          <w:rFonts w:ascii="Arial" w:cs="Arial" w:eastAsia="Arial" w:hAnsi="Arial"/>
          <w:sz w:val="14"/>
          <w:szCs w:val="14"/>
          <w:color w:val="auto"/>
        </w:rPr>
        <w:t>The Company’s derivative instruments include interest rate swaps. Fair value measurements are based on the contractual terms of the</w:t>
      </w:r>
    </w:p>
    <w:p>
      <w:pPr>
        <w:spacing w:after="0" w:line="2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derivatives and use observable market-based inputs. The interest rate swaps are valued using a discounted cash flow analysis on the</w:t>
      </w:r>
    </w:p>
    <w:p>
      <w:pPr>
        <w:spacing w:after="0" w:line="19"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expected cash flows of each derivative using observable inputs including interest rate curves and credit spreads. The Company also</w:t>
      </w:r>
    </w:p>
    <w:p>
      <w:pPr>
        <w:spacing w:after="0" w:line="30"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considers  its  own  nonperformance  risk  and  the  respective  counterparty’s  nonperformance  risk  when  performing  fair  value</w:t>
      </w:r>
    </w:p>
    <w:p>
      <w:pPr>
        <w:spacing w:after="0" w:line="30"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measurements. As of September 30, 2018 and December 31, 2017, the Company has determined that the credit valuation adjustments</w:t>
      </w:r>
    </w:p>
    <w:p>
      <w:pPr>
        <w:spacing w:after="0" w:line="42"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are not significant to the overall valuation of its derivatives.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Fair Value Measurements on a Nonrecurring Basis - </w:t>
      </w:r>
      <w:r>
        <w:rPr>
          <w:rFonts w:ascii="Arial" w:cs="Arial" w:eastAsia="Arial" w:hAnsi="Arial"/>
          <w:sz w:val="20"/>
          <w:szCs w:val="20"/>
          <w:color w:val="auto"/>
        </w:rPr>
        <w:t>Assets and liabilities that are measured at fair value on a nonrecurring basis relate</w:t>
      </w:r>
      <w:r>
        <w:rPr>
          <w:rFonts w:ascii="Arial" w:cs="Arial" w:eastAsia="Arial" w:hAnsi="Arial"/>
          <w:sz w:val="20"/>
          <w:szCs w:val="20"/>
          <w:i w:val="1"/>
          <w:iCs w:val="1"/>
          <w:color w:val="auto"/>
        </w:rPr>
        <w:t xml:space="preserve"> </w:t>
      </w:r>
      <w:r>
        <w:rPr>
          <w:rFonts w:ascii="Arial" w:cs="Arial" w:eastAsia="Arial" w:hAnsi="Arial"/>
          <w:sz w:val="20"/>
          <w:szCs w:val="20"/>
          <w:color w:val="auto"/>
        </w:rPr>
        <w:t>primarily to property, fixtures and equipment, goodwill and other intangible assets, which are remeasured when carrying value exceeds fair value. The following table summarizes the Company’s assets measured at fair value by hierarchy level on a nonrecurring basis, for the periods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6"/>
                <w:szCs w:val="16"/>
                <w:color w:val="auto"/>
              </w:rPr>
            </w:pPr>
          </w:p>
        </w:tc>
        <w:tc>
          <w:tcPr>
            <w:tcW w:w="2620" w:type="dxa"/>
            <w:vAlign w:val="bottom"/>
            <w:gridSpan w:val="4"/>
          </w:tcPr>
          <w:p>
            <w:pPr>
              <w:jc w:val="center"/>
              <w:ind w:right="8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center"/>
              <w:ind w:right="223"/>
              <w:spacing w:after="0"/>
              <w:rPr>
                <w:sz w:val="20"/>
                <w:szCs w:val="20"/>
                <w:color w:val="auto"/>
              </w:rPr>
            </w:pPr>
            <w:r>
              <w:rPr>
                <w:rFonts w:ascii="Arial" w:cs="Arial" w:eastAsia="Arial" w:hAnsi="Arial"/>
                <w:sz w:val="14"/>
                <w:szCs w:val="14"/>
                <w:b w:val="1"/>
                <w:bCs w:val="1"/>
                <w:color w:val="auto"/>
                <w:w w:val="97"/>
              </w:rPr>
              <w:t>SEPTEMBER 30, 2018</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4"/>
          </w:tcPr>
          <w:p>
            <w:pPr>
              <w:jc w:val="center"/>
              <w:ind w:right="83"/>
              <w:spacing w:after="0"/>
              <w:rPr>
                <w:sz w:val="20"/>
                <w:szCs w:val="20"/>
                <w:color w:val="auto"/>
              </w:rPr>
            </w:pPr>
            <w:r>
              <w:rPr>
                <w:rFonts w:ascii="Arial" w:cs="Arial" w:eastAsia="Arial" w:hAnsi="Arial"/>
                <w:sz w:val="14"/>
                <w:szCs w:val="14"/>
                <w:b w:val="1"/>
                <w:bCs w:val="1"/>
                <w:color w:val="auto"/>
                <w:w w:val="97"/>
              </w:rPr>
              <w:t>SEPTEMBER 30, 2018</w:t>
            </w:r>
          </w:p>
        </w:tc>
        <w:tc>
          <w:tcPr>
            <w:tcW w:w="0" w:type="dxa"/>
            <w:vAlign w:val="bottom"/>
          </w:tcPr>
          <w:p>
            <w:pPr>
              <w:spacing w:after="0"/>
              <w:rPr>
                <w:sz w:val="1"/>
                <w:szCs w:val="1"/>
                <w:color w:val="auto"/>
              </w:rPr>
            </w:pPr>
          </w:p>
        </w:tc>
      </w:tr>
      <w:tr>
        <w:trPr>
          <w:trHeight w:val="153"/>
        </w:trPr>
        <w:tc>
          <w:tcPr>
            <w:tcW w:w="5620" w:type="dxa"/>
            <w:vAlign w:val="bottom"/>
          </w:tcPr>
          <w:p>
            <w:pPr>
              <w:spacing w:after="0"/>
              <w:rPr>
                <w:sz w:val="13"/>
                <w:szCs w:val="13"/>
                <w:color w:val="auto"/>
              </w:rPr>
            </w:pPr>
          </w:p>
        </w:tc>
        <w:tc>
          <w:tcPr>
            <w:tcW w:w="15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20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060" w:type="dxa"/>
            <w:vAlign w:val="bottom"/>
          </w:tcPr>
          <w:p>
            <w:pPr>
              <w:jc w:val="right"/>
              <w:ind w:right="523"/>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 (1)</w:t>
            </w:r>
          </w:p>
        </w:tc>
        <w:tc>
          <w:tcPr>
            <w:tcW w:w="160" w:type="dxa"/>
            <w:vAlign w:val="bottom"/>
          </w:tcPr>
          <w:p>
            <w:pPr>
              <w:spacing w:after="0"/>
              <w:rPr>
                <w:sz w:val="17"/>
                <w:szCs w:val="17"/>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2,080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Property, fixtures and equipment</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1,995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1,269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3,375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8,211</w:t>
            </w: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5,455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8,322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24"/>
                <w:szCs w:val="24"/>
                <w:color w:val="auto"/>
              </w:rPr>
            </w:pPr>
          </w:p>
        </w:tc>
        <w:tc>
          <w:tcPr>
            <w:tcW w:w="2620" w:type="dxa"/>
            <w:vAlign w:val="bottom"/>
            <w:gridSpan w:val="4"/>
          </w:tcPr>
          <w:p>
            <w:pPr>
              <w:jc w:val="center"/>
              <w:ind w:right="8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center"/>
              <w:ind w:right="223"/>
              <w:spacing w:after="0"/>
              <w:rPr>
                <w:sz w:val="20"/>
                <w:szCs w:val="20"/>
                <w:color w:val="auto"/>
              </w:rPr>
            </w:pPr>
            <w:r>
              <w:rPr>
                <w:rFonts w:ascii="Arial" w:cs="Arial" w:eastAsia="Arial" w:hAnsi="Arial"/>
                <w:sz w:val="14"/>
                <w:szCs w:val="14"/>
                <w:b w:val="1"/>
                <w:bCs w:val="1"/>
                <w:color w:val="auto"/>
                <w:w w:val="97"/>
              </w:rPr>
              <w:t>SEPTEMBER 24, 2017</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4"/>
          </w:tcPr>
          <w:p>
            <w:pPr>
              <w:jc w:val="center"/>
              <w:ind w:right="83"/>
              <w:spacing w:after="0"/>
              <w:rPr>
                <w:sz w:val="20"/>
                <w:szCs w:val="20"/>
                <w:color w:val="auto"/>
              </w:rPr>
            </w:pPr>
            <w:r>
              <w:rPr>
                <w:rFonts w:ascii="Arial" w:cs="Arial" w:eastAsia="Arial" w:hAnsi="Arial"/>
                <w:sz w:val="14"/>
                <w:szCs w:val="14"/>
                <w:b w:val="1"/>
                <w:bCs w:val="1"/>
                <w:color w:val="auto"/>
                <w:w w:val="97"/>
              </w:rPr>
              <w:t>SEPTEMBER 24, 2017</w:t>
            </w:r>
          </w:p>
        </w:tc>
        <w:tc>
          <w:tcPr>
            <w:tcW w:w="0" w:type="dxa"/>
            <w:vAlign w:val="bottom"/>
          </w:tcPr>
          <w:p>
            <w:pPr>
              <w:spacing w:after="0"/>
              <w:rPr>
                <w:sz w:val="1"/>
                <w:szCs w:val="1"/>
                <w:color w:val="auto"/>
              </w:rPr>
            </w:pPr>
          </w:p>
        </w:tc>
      </w:tr>
      <w:tr>
        <w:trPr>
          <w:trHeight w:val="153"/>
        </w:trPr>
        <w:tc>
          <w:tcPr>
            <w:tcW w:w="5620" w:type="dxa"/>
            <w:vAlign w:val="bottom"/>
          </w:tcPr>
          <w:p>
            <w:pPr>
              <w:spacing w:after="0"/>
              <w:rPr>
                <w:sz w:val="13"/>
                <w:szCs w:val="13"/>
                <w:color w:val="auto"/>
              </w:rPr>
            </w:pPr>
          </w:p>
        </w:tc>
        <w:tc>
          <w:tcPr>
            <w:tcW w:w="15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20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060" w:type="dxa"/>
            <w:vAlign w:val="bottom"/>
          </w:tcPr>
          <w:p>
            <w:pPr>
              <w:jc w:val="right"/>
              <w:ind w:right="523"/>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 (1)</w:t>
            </w:r>
          </w:p>
        </w:tc>
        <w:tc>
          <w:tcPr>
            <w:tcW w:w="160" w:type="dxa"/>
            <w:vAlign w:val="bottom"/>
          </w:tcPr>
          <w:p>
            <w:pPr>
              <w:spacing w:after="0"/>
              <w:rPr>
                <w:sz w:val="17"/>
                <w:szCs w:val="17"/>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Property, fixtures and equipment</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13,935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13,993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15,002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14,855</w:t>
            </w: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14,405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15,175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Fair value for all assets is measured using third-party market appraisals or executed sales contracts (Level 2).</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Interim Disclosures about Fair Value of Financial Instruments - </w:t>
      </w:r>
      <w:r>
        <w:rPr>
          <w:rFonts w:ascii="Arial" w:cs="Arial" w:eastAsia="Arial" w:hAnsi="Arial"/>
          <w:sz w:val="20"/>
          <w:szCs w:val="20"/>
          <w:color w:val="auto"/>
        </w:rPr>
        <w:t>The Company’s non-derivative financial instruments consist of cash</w:t>
      </w:r>
      <w:r>
        <w:rPr>
          <w:rFonts w:ascii="Arial" w:cs="Arial" w:eastAsia="Arial" w:hAnsi="Arial"/>
          <w:sz w:val="20"/>
          <w:szCs w:val="20"/>
          <w:i w:val="1"/>
          <w:iCs w:val="1"/>
          <w:color w:val="auto"/>
        </w:rPr>
        <w:t xml:space="preserve"> </w:t>
      </w:r>
      <w:r>
        <w:rPr>
          <w:rFonts w:ascii="Arial" w:cs="Arial" w:eastAsia="Arial" w:hAnsi="Arial"/>
          <w:sz w:val="20"/>
          <w:szCs w:val="20"/>
          <w:color w:val="auto"/>
        </w:rPr>
        <w:t>equivalents, restricted cash, accounts receivable, accounts payable and current and long-term debt. The fair values of cash equivalents, restricted cash, accounts receivable and accounts payable approximate their carrying amounts reported in the Consolidated Balance Sheets due to their short duration.</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8"/>
              </w:rPr>
              <w:t>SEPTEMBER 30, 2018</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DECEMBER 31, 2017</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58"/>
        </w:trPr>
        <w:tc>
          <w:tcPr>
            <w:tcW w:w="3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7"/>
                <w:szCs w:val="17"/>
                <w:color w:val="auto"/>
              </w:rPr>
            </w:pPr>
          </w:p>
        </w:tc>
        <w:tc>
          <w:tcPr>
            <w:tcW w:w="1120" w:type="dxa"/>
            <w:vAlign w:val="bottom"/>
          </w:tcPr>
          <w:p>
            <w:pPr>
              <w:jc w:val="right"/>
              <w:ind w:right="32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1020" w:type="dxa"/>
            <w:vAlign w:val="bottom"/>
          </w:tcPr>
          <w:p>
            <w:pPr>
              <w:jc w:val="right"/>
              <w:ind w:right="241"/>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1020" w:type="dxa"/>
            <w:vAlign w:val="bottom"/>
          </w:tcPr>
          <w:p>
            <w:pPr>
              <w:jc w:val="right"/>
              <w:ind w:right="24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Term loan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481,250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483,055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500,000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502,500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Revolving credit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650,000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648,375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600,000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598,500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notes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959</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954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904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891</w:t>
            </w: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Fair value of debt is determined based on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DEBT FACILITY</w:t>
            </w:r>
          </w:p>
        </w:tc>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METHODS AND ASSUMPTIONS</w:t>
            </w:r>
          </w:p>
        </w:tc>
      </w:tr>
      <w:tr>
        <w:trPr>
          <w:trHeight w:val="73"/>
        </w:trPr>
        <w:tc>
          <w:tcPr>
            <w:tcW w:w="2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40" w:type="dxa"/>
            <w:vAlign w:val="bottom"/>
            <w:tcBorders>
              <w:bottom w:val="single" w:sz="8" w:color="auto"/>
            </w:tcBorders>
          </w:tcPr>
          <w:p>
            <w:pPr>
              <w:spacing w:after="0"/>
              <w:rPr>
                <w:sz w:val="6"/>
                <w:szCs w:val="6"/>
                <w:color w:val="auto"/>
              </w:rPr>
            </w:pPr>
          </w:p>
        </w:tc>
      </w:tr>
      <w:tr>
        <w:trPr>
          <w:trHeight w:val="237"/>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Quoted market prices in inactive markets.</w:t>
            </w:r>
          </w:p>
        </w:tc>
      </w:tr>
      <w:tr>
        <w:trPr>
          <w:trHeight w:val="224"/>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Other notes payable</w:t>
            </w:r>
          </w:p>
        </w:tc>
        <w:tc>
          <w:tcPr>
            <w:tcW w:w="8440" w:type="dxa"/>
            <w:vAlign w:val="bottom"/>
          </w:tcPr>
          <w:p>
            <w:pPr>
              <w:ind w:left="20"/>
              <w:spacing w:after="0"/>
              <w:rPr>
                <w:sz w:val="20"/>
                <w:szCs w:val="20"/>
                <w:color w:val="auto"/>
              </w:rPr>
            </w:pPr>
            <w:r>
              <w:rPr>
                <w:rFonts w:ascii="Arial" w:cs="Arial" w:eastAsia="Arial" w:hAnsi="Arial"/>
                <w:sz w:val="16"/>
                <w:szCs w:val="16"/>
                <w:color w:val="auto"/>
                <w:w w:val="99"/>
              </w:rPr>
              <w:t>Discounted cash flow approach with inputs that primarily include cost of debt interest rates used to determine fair value.</w:t>
            </w: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Income Taxes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4"/>
          </w:tcPr>
          <w:p>
            <w:pPr>
              <w:jc w:val="right"/>
              <w:ind w:right="1042"/>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28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22"/>
                <w:szCs w:val="22"/>
                <w:color w:val="auto"/>
              </w:rPr>
            </w:pPr>
          </w:p>
        </w:tc>
        <w:tc>
          <w:tcPr>
            <w:tcW w:w="19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22"/>
                <w:szCs w:val="22"/>
                <w:color w:val="auto"/>
              </w:rPr>
            </w:pPr>
          </w:p>
        </w:tc>
        <w:tc>
          <w:tcPr>
            <w:tcW w:w="19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24, 2017</w:t>
            </w:r>
          </w:p>
        </w:tc>
        <w:tc>
          <w:tcPr>
            <w:tcW w:w="240" w:type="dxa"/>
            <w:vAlign w:val="bottom"/>
          </w:tcPr>
          <w:p>
            <w:pPr>
              <w:spacing w:after="0"/>
              <w:rPr>
                <w:sz w:val="22"/>
                <w:szCs w:val="22"/>
                <w:color w:val="auto"/>
              </w:rPr>
            </w:pPr>
          </w:p>
        </w:tc>
        <w:tc>
          <w:tcPr>
            <w:tcW w:w="20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Pr>
          <w:p>
            <w:pPr>
              <w:spacing w:after="0"/>
              <w:rPr>
                <w:sz w:val="22"/>
                <w:szCs w:val="22"/>
                <w:color w:val="auto"/>
              </w:rPr>
            </w:pPr>
          </w:p>
        </w:tc>
        <w:tc>
          <w:tcPr>
            <w:tcW w:w="1880" w:type="dxa"/>
            <w:vAlign w:val="bottom"/>
          </w:tcPr>
          <w:p>
            <w:pPr>
              <w:jc w:val="right"/>
              <w:ind w:right="262"/>
              <w:spacing w:after="0"/>
              <w:rPr>
                <w:sz w:val="20"/>
                <w:szCs w:val="20"/>
                <w:color w:val="auto"/>
              </w:rPr>
            </w:pPr>
            <w:r>
              <w:rPr>
                <w:rFonts w:ascii="Arial" w:cs="Arial" w:eastAsia="Arial" w:hAnsi="Arial"/>
                <w:sz w:val="14"/>
                <w:szCs w:val="14"/>
                <w:b w:val="1"/>
                <w:bCs w:val="1"/>
                <w:color w:val="auto"/>
              </w:rPr>
              <w:t>SEPTEMBER 24, 2017</w:t>
            </w:r>
          </w:p>
        </w:tc>
      </w:tr>
      <w:tr>
        <w:trPr>
          <w:trHeight w:val="237"/>
        </w:trPr>
        <w:tc>
          <w:tcPr>
            <w:tcW w:w="2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(6,516)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17,744</w:t>
            </w:r>
          </w:p>
        </w:tc>
      </w:tr>
      <w:tr>
        <w:trPr>
          <w:trHeight w:val="237"/>
        </w:trPr>
        <w:tc>
          <w:tcPr>
            <w:tcW w:w="2820" w:type="dxa"/>
            <w:vAlign w:val="bottom"/>
          </w:tcPr>
          <w:p>
            <w:pPr>
              <w:ind w:left="40"/>
              <w:spacing w:after="0"/>
              <w:rPr>
                <w:sz w:val="20"/>
                <w:szCs w:val="20"/>
                <w:color w:val="auto"/>
              </w:rPr>
            </w:pPr>
            <w:r>
              <w:rPr>
                <w:rFonts w:ascii="Arial" w:cs="Arial" w:eastAsia="Arial" w:hAnsi="Arial"/>
                <w:sz w:val="16"/>
                <w:szCs w:val="16"/>
                <w:color w:val="auto"/>
              </w:rPr>
              <w:t>Effective income tax rate</w:t>
            </w:r>
          </w:p>
        </w:tc>
        <w:tc>
          <w:tcPr>
            <w:tcW w:w="200" w:type="dxa"/>
            <w:vAlign w:val="bottom"/>
          </w:tcPr>
          <w:p>
            <w:pPr>
              <w:spacing w:after="0"/>
              <w:rPr>
                <w:sz w:val="20"/>
                <w:szCs w:val="20"/>
                <w:color w:val="auto"/>
              </w:rPr>
            </w:pPr>
          </w:p>
        </w:tc>
        <w:tc>
          <w:tcPr>
            <w:tcW w:w="1940" w:type="dxa"/>
            <w:vAlign w:val="bottom"/>
            <w:gridSpan w:val="2"/>
          </w:tcPr>
          <w:p>
            <w:pPr>
              <w:jc w:val="center"/>
              <w:ind w:left="1043"/>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20"/>
                <w:szCs w:val="20"/>
                <w:color w:val="auto"/>
              </w:rPr>
            </w:pPr>
          </w:p>
        </w:tc>
        <w:tc>
          <w:tcPr>
            <w:tcW w:w="1920" w:type="dxa"/>
            <w:vAlign w:val="bottom"/>
            <w:gridSpan w:val="2"/>
          </w:tcPr>
          <w:p>
            <w:pPr>
              <w:jc w:val="center"/>
              <w:ind w:left="1042"/>
              <w:spacing w:after="0"/>
              <w:rPr>
                <w:sz w:val="20"/>
                <w:szCs w:val="20"/>
                <w:color w:val="auto"/>
              </w:rPr>
            </w:pPr>
            <w:r>
              <w:rPr>
                <w:rFonts w:ascii="Arial" w:cs="Arial" w:eastAsia="Arial" w:hAnsi="Arial"/>
                <w:sz w:val="16"/>
                <w:szCs w:val="16"/>
                <w:color w:val="auto"/>
              </w:rPr>
              <w:t>(NM)</w:t>
            </w: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12"/>
        </w:trPr>
        <w:tc>
          <w:tcPr>
            <w:tcW w:w="2820" w:type="dxa"/>
            <w:vAlign w:val="bottom"/>
          </w:tcPr>
          <w:p>
            <w:pPr>
              <w:spacing w:after="0"/>
              <w:rPr>
                <w:sz w:val="20"/>
                <w:szCs w:val="20"/>
                <w:color w:val="auto"/>
              </w:rPr>
            </w:pPr>
            <w:r>
              <w:rPr>
                <w:rFonts w:ascii="Arial" w:cs="Arial" w:eastAsia="Arial" w:hAnsi="Arial"/>
                <w:sz w:val="16"/>
                <w:szCs w:val="16"/>
                <w:color w:val="auto"/>
              </w:rPr>
              <w:t>________________</w:t>
            </w: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06"/>
        </w:trPr>
        <w:tc>
          <w:tcPr>
            <w:tcW w:w="2820" w:type="dxa"/>
            <w:vAlign w:val="bottom"/>
          </w:tcPr>
          <w:p>
            <w:pPr>
              <w:spacing w:after="0"/>
              <w:rPr>
                <w:sz w:val="20"/>
                <w:szCs w:val="20"/>
                <w:color w:val="auto"/>
              </w:rPr>
            </w:pPr>
            <w:r>
              <w:rPr>
                <w:rFonts w:ascii="Arial" w:cs="Arial" w:eastAsia="Arial" w:hAnsi="Arial"/>
                <w:sz w:val="16"/>
                <w:szCs w:val="16"/>
                <w:color w:val="auto"/>
              </w:rPr>
              <w:t>NM  Not meaningful.</w:t>
            </w: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bl>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increase in the benefit for income taxes for the thirteen weeks ended September 30, 2018 as compared to the thirteen weeks ended September 24, 2017 was primarily due to the reduction in the U.S. federal corporate tax rate from 35% to 21% as a part of the legislation enacted in December 2017 known as the Tax Cuts and Jobs Act (the “Tax Act”), lower forecasted pre-tax income in 2018 and the impact of certain favorable discrete tax items recorded in 2018, partially offset by changes to the estimate of the forecasted full-year effective tax rate relative to prior quarters in 2017.</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effective income tax rate for the thirty-nine weeks ended September 30, 2018 decreased by 23.6 percentage points as compared to the thirty-nine weeks ended September 24, 2017. The decrease was primarily due to the reduction in the U.S. federal corporate tax rate from the Tax Act, lower actual and forecasted pre-tax income and excess tax benefits from equity-based compensation arrangements recorded in 2018, partially offset by a domestic manufacturing deduction recorded in 2017.</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Company has a blended federal and state statutory rate of approximately 26%. The effective income tax rate for the thirteen weeks ended September 30, 2018 was lower than the statutory rate primarily due to the benefit of tax credits for FICA taxes on certain employees’ tips and changes to the estimate of the forecasted full-year effective tax rate relative to prior quarters. The effective income tax rate for the thirty-nine weeks ended September 30, 2018 was lower than the statutory rate primarily due to the benefit of tax credits for FICA taxes on certain employees’ tips and excess tax benefits from equity-based compensation arrangements.</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The Tax Act </w:t>
      </w:r>
      <w:r>
        <w:rPr>
          <w:rFonts w:ascii="Arial" w:cs="Arial" w:eastAsia="Arial" w:hAnsi="Arial"/>
          <w:sz w:val="20"/>
          <w:szCs w:val="20"/>
          <w:color w:val="auto"/>
        </w:rPr>
        <w:t>- The Company has applied guidance under SEC Staff Accounting Bulletin No. 118, which allows for a measurement period up to</w:t>
      </w:r>
      <w:r>
        <w:rPr>
          <w:rFonts w:ascii="Arial" w:cs="Arial" w:eastAsia="Arial" w:hAnsi="Arial"/>
          <w:sz w:val="20"/>
          <w:szCs w:val="20"/>
          <w:i w:val="1"/>
          <w:iCs w:val="1"/>
          <w:color w:val="auto"/>
        </w:rPr>
        <w:t xml:space="preserve"> </w:t>
      </w:r>
      <w:r>
        <w:rPr>
          <w:rFonts w:ascii="Arial" w:cs="Arial" w:eastAsia="Arial" w:hAnsi="Arial"/>
          <w:sz w:val="20"/>
          <w:szCs w:val="20"/>
          <w:color w:val="auto"/>
        </w:rPr>
        <w:t>one year after the December 22, 2017 enactment date of the Tax Act to complete the accounting requirements. As of September 30, 2018, the Company made reasonable estimates of the effects of the Tax Act but has not completed its accounting for all tax effects. Below is a summary of the provisional amounts the Company has recorded:</w:t>
      </w:r>
    </w:p>
    <w:p>
      <w:pPr>
        <w:spacing w:after="0" w:line="205" w:lineRule="exact"/>
        <w:rPr>
          <w:sz w:val="20"/>
          <w:szCs w:val="20"/>
          <w:color w:val="auto"/>
        </w:rPr>
      </w:pPr>
    </w:p>
    <w:p>
      <w:pPr>
        <w:jc w:val="both"/>
        <w:ind w:left="660" w:hanging="328"/>
        <w:spacing w:after="0" w:line="245"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provisional $1.9 million net tax expense was recorded during 2017 related to the transition tax on accumulated foreign earnings, remeasurement of the Company’s deferred tax assets and liabilities, the recording of a valuation allowance against foreign tax credit carryforwards and the write-off of certain deferred tax assets that will no longer be realized.</w:t>
      </w:r>
    </w:p>
    <w:p>
      <w:pPr>
        <w:ind w:left="660" w:hanging="328"/>
        <w:spacing w:after="0" w:line="239"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 January 2018, the Company recorded a $5.6 million tax benefit for 2017 from the impact of the Tax Act on the retrospective adoption of ASU No. 2014-09.</w:t>
      </w:r>
    </w:p>
    <w:p>
      <w:pPr>
        <w:spacing w:after="0" w:line="1" w:lineRule="exact"/>
        <w:rPr>
          <w:rFonts w:ascii="Arial" w:cs="Arial" w:eastAsia="Arial" w:hAnsi="Arial"/>
          <w:sz w:val="20"/>
          <w:szCs w:val="20"/>
          <w:color w:val="auto"/>
        </w:rPr>
      </w:pPr>
    </w:p>
    <w:p>
      <w:pPr>
        <w:ind w:left="660" w:hanging="328"/>
        <w:spacing w:after="0" w:line="244"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During the thirteen weeks ended September 30, 2018, the Company made immaterial adjustments to the initial provisional amounts in association with the filing of its 2017 federal income tax return.</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is continuing to gather information and additional guidance is expected from the U.S. Treasury and state taxing authorities on the application of certain provisions of the Tax Act and will continue to make and refine its calculations as additional analysis is completed. The Company’s estimates may also be affected as it gains a more thorough understanding of the tax law. These changes could be material to income tax expense. The Company expects to complete its analysis within the annual measurement period.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Items considered provisional include:</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u w:val="single" w:color="auto"/>
          <w:color w:val="auto"/>
        </w:rPr>
        <w:t>Reduction of U.S. Federal Corporate Income Tax Rate</w:t>
      </w:r>
      <w:r>
        <w:rPr>
          <w:rFonts w:ascii="Arial" w:cs="Arial" w:eastAsia="Arial" w:hAnsi="Arial"/>
          <w:sz w:val="19"/>
          <w:szCs w:val="19"/>
          <w:color w:val="auto"/>
        </w:rPr>
        <w:t xml:space="preserve"> - The Tax Act reduced the corporate income tax rate to 21%, effective January 1, 2018. While the Company is able to make a reasonable estimate of the impact of the reduction in the corporate rate on its deferred tax assets and liabilities, it may be affected by other analyses related to the Tax Act, including, but not limited to, its calculation of deemed repatriation of deferred foreign income and the state tax effect of adjustments made to federal temporary differences.</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u w:val="single" w:color="auto"/>
          <w:color w:val="auto"/>
        </w:rPr>
        <w:t>Deemed Repatriation Transition Tax</w:t>
      </w:r>
      <w:r>
        <w:rPr>
          <w:rFonts w:ascii="Arial" w:cs="Arial" w:eastAsia="Arial" w:hAnsi="Arial"/>
          <w:sz w:val="18"/>
          <w:szCs w:val="18"/>
          <w:color w:val="auto"/>
        </w:rPr>
        <w:t xml:space="preserve"> - The Deemed Repatriation Transition Tax (the “Transition Tax”) is a tax on previously untaxed accumulated and current earnings and profits (“E&amp;P”) of the Company’s foreign subsidiaries. To determine the amount of the Transition Tax, the Company must determine, in addition to other factors, the amount of post-1986 E&amp;P of the relevant subsidiaries, as well as the amount of foreign income taxes paid on such earnings. The Company is able to make a reasonable estimate of the Transition Tax and recorded a provisional amount. Due to the ability to utilize foreign tax credits in the calculation of the Transition Tax, the obligation primarily related to the estimated state impacts. However, the Company is continuing to gather additional information. Additional guidance from the U.S. Treasury and state taxing authorities on the application of certain provisions of the Tax Act is expected in the future.</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Valuation Allowances</w:t>
      </w:r>
      <w:r>
        <w:rPr>
          <w:rFonts w:ascii="Arial" w:cs="Arial" w:eastAsia="Arial" w:hAnsi="Arial"/>
          <w:sz w:val="20"/>
          <w:szCs w:val="20"/>
          <w:color w:val="auto"/>
        </w:rPr>
        <w:t xml:space="preserve"> - The Company must assess whether its valuation allowance analyses or deferred tax assets are affected by various aspects of the Tax Act (e.g., deemed repatriation of deferred foreign income, global intangible low-taxed income (“GILTI”) inclusions and new categories of foreign tax credits). While the Company did record an additional valuation allowance against foreign tax credit carryforwards, it has recorded provisional amounts related to certain portions of the Tax Act and any corresponding determination of the need for a change in a valuation allowance is also provisional.</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For tax years beginning after December 31, 2017, the Tax Act subjects a U.S. shareholder to tax on GILTI earned by certain foreign subsidiaries. The FASB Staff Q&amp;A, Topic 740, No. 5, Accounting for Global Intangible Low-Taxed Income, states that an entity can make an accounting policy election to either recognize deferred taxes for temporary basis differences expected to reverse as GILTI in future years or provide for the tax expense related to GILTI in the year the tax is incurred. As of September 30, 2018, the Company has not yet determined its accounting policy with regard to GILTI, and does not expect GILTI in 2018.</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Other Tax Matters </w:t>
      </w:r>
      <w:r>
        <w:rPr>
          <w:rFonts w:ascii="Arial" w:cs="Arial" w:eastAsia="Arial" w:hAnsi="Arial"/>
          <w:sz w:val="20"/>
          <w:szCs w:val="20"/>
          <w:color w:val="auto"/>
        </w:rPr>
        <w:t>- The Company was previously under examination by tax authorities in South Korea for the 2008 to 2012 tax years. In</w:t>
      </w:r>
      <w:r>
        <w:rPr>
          <w:rFonts w:ascii="Arial" w:cs="Arial" w:eastAsia="Arial" w:hAnsi="Arial"/>
          <w:sz w:val="20"/>
          <w:szCs w:val="20"/>
          <w:i w:val="1"/>
          <w:iCs w:val="1"/>
          <w:color w:val="auto"/>
        </w:rPr>
        <w:t xml:space="preserve"> </w:t>
      </w:r>
      <w:r>
        <w:rPr>
          <w:rFonts w:ascii="Arial" w:cs="Arial" w:eastAsia="Arial" w:hAnsi="Arial"/>
          <w:sz w:val="20"/>
          <w:szCs w:val="20"/>
          <w:color w:val="auto"/>
        </w:rPr>
        <w:t>connection with the examination, the Company was assessed and paid $6.7 million of tax obligations. During the thirteen weeks ended September 30, 2018, the Company received final confirmation of relief from double taxation through competent authority. No material modifications were made to amounts previously recorded.</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Commitments and Contingencies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Litigation and Other Matters - </w:t>
      </w:r>
      <w:r>
        <w:rPr>
          <w:rFonts w:ascii="Arial" w:cs="Arial" w:eastAsia="Arial" w:hAnsi="Arial"/>
          <w:sz w:val="20"/>
          <w:szCs w:val="20"/>
          <w:color w:val="auto"/>
        </w:rPr>
        <w:t>The Company had $2.8 million and $4.3 million of liabilities recorded for various legal matters as of</w:t>
      </w:r>
      <w:r>
        <w:rPr>
          <w:rFonts w:ascii="Arial" w:cs="Arial" w:eastAsia="Arial" w:hAnsi="Arial"/>
          <w:sz w:val="20"/>
          <w:szCs w:val="20"/>
          <w:i w:val="1"/>
          <w:iCs w:val="1"/>
          <w:color w:val="auto"/>
        </w:rPr>
        <w:t xml:space="preserve"> </w:t>
      </w:r>
      <w:r>
        <w:rPr>
          <w:rFonts w:ascii="Arial" w:cs="Arial" w:eastAsia="Arial" w:hAnsi="Arial"/>
          <w:sz w:val="20"/>
          <w:szCs w:val="20"/>
          <w:color w:val="auto"/>
        </w:rPr>
        <w:t>September 30, 2018 and December 31, 2017, respectively.</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is subject to legal proceedings, claims and liabilities, such as liquor liability, slip and fall cases, wage-and-hour and other employment-related litigation, which arise in the ordinary course of business and are generally covered by insurance if they exceed specified retention or deductible amounts. In the opinion of management, the amount of ultimate liability with respect to those actions will not have a material adverse impact on the Company’s financial position or results of operations and cash flows.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ind w:right="20"/>
        <w:spacing w:after="0" w:line="258" w:lineRule="auto"/>
        <w:rPr>
          <w:sz w:val="20"/>
          <w:szCs w:val="20"/>
          <w:color w:val="auto"/>
        </w:rPr>
      </w:pPr>
      <w:r>
        <w:rPr>
          <w:rFonts w:ascii="Arial" w:cs="Arial" w:eastAsia="Arial" w:hAnsi="Arial"/>
          <w:sz w:val="19"/>
          <w:szCs w:val="19"/>
          <w:i w:val="1"/>
          <w:iCs w:val="1"/>
          <w:color w:val="auto"/>
        </w:rPr>
        <w:t xml:space="preserve">Lease Guarantees </w:t>
      </w:r>
      <w:r>
        <w:rPr>
          <w:rFonts w:ascii="Arial" w:cs="Arial" w:eastAsia="Arial" w:hAnsi="Arial"/>
          <w:sz w:val="19"/>
          <w:szCs w:val="19"/>
          <w:color w:val="auto"/>
        </w:rPr>
        <w:t>- The Company assigned its interest, and is contingently liable, under certain real estate leases. These leases have varying</w:t>
      </w:r>
      <w:r>
        <w:rPr>
          <w:rFonts w:ascii="Arial" w:cs="Arial" w:eastAsia="Arial" w:hAnsi="Arial"/>
          <w:sz w:val="19"/>
          <w:szCs w:val="19"/>
          <w:i w:val="1"/>
          <w:iCs w:val="1"/>
          <w:color w:val="auto"/>
        </w:rPr>
        <w:t xml:space="preserve"> </w:t>
      </w:r>
      <w:r>
        <w:rPr>
          <w:rFonts w:ascii="Arial" w:cs="Arial" w:eastAsia="Arial" w:hAnsi="Arial"/>
          <w:sz w:val="19"/>
          <w:szCs w:val="19"/>
          <w:color w:val="auto"/>
        </w:rPr>
        <w:t>terms, the latest of which expires in 2032. As of September 30, 2018, the undiscounted payments that the Company could be required to make in the event of non-payment by the primary lessees was approximately $27.8 million. The present value of these potential payments discounted at the Company’s incremental borrowing rate as of September 30, 2018 was approximately $19.2 million. In the event of default, the indemnity clauses in the Company’s purchase and sale agreements govern its ability to pursue and recover damages incurred. The Company believes the financial strength and operating history of the lessees’ significantly reduces the risk that it will be required to make payments under these leases. Accordingly, no liability has been recorded.</w:t>
      </w:r>
    </w:p>
    <w:p>
      <w:pPr>
        <w:spacing w:after="0" w:line="19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6"/>
          <w:szCs w:val="16"/>
          <w:color w:val="auto"/>
        </w:rPr>
        <w:t>Segment Reporting</w:t>
      </w:r>
    </w:p>
    <w:p>
      <w:pPr>
        <w:spacing w:after="0" w:line="229"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color w:val="auto"/>
        </w:rPr>
        <w:t>The Company identifies its restaurant concepts and international markets as operating segments, which reflects how the Company manages its business, reviews operating performance and allocates resources. Resources are allocated and performance is assessed by the Company’s Chief Executive Officer (“CEO”), whom the Company has determined to be its Chief Operating Decision Maker (“CODM”). The Company aggregates its operating segments into two reportable segments, U.S. and International. The U.S. segment includes all brands operating in the U.S. while brands operating outside the U.S. are included in the International segment. The following is a summary of reporting segments: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REPORTABLE SEGMENT (1)</w:t>
            </w:r>
          </w:p>
        </w:tc>
        <w:tc>
          <w:tcPr>
            <w:tcW w:w="1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CONCEPT</w:t>
            </w: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26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40" w:type="dxa"/>
            <w:vAlign w:val="bottom"/>
            <w:tcBorders>
              <w:right w:val="single" w:sz="8" w:color="auto"/>
            </w:tcBorders>
          </w:tcPr>
          <w:p>
            <w:pPr>
              <w:spacing w:after="0"/>
              <w:rPr>
                <w:sz w:val="24"/>
                <w:szCs w:val="24"/>
                <w:color w:val="auto"/>
              </w:rPr>
            </w:pPr>
          </w:p>
        </w:tc>
        <w:tc>
          <w:tcPr>
            <w:tcW w:w="260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600" w:type="dxa"/>
            <w:vAlign w:val="bottom"/>
          </w:tcPr>
          <w:p>
            <w:pPr>
              <w:jc w:val="right"/>
              <w:ind w:right="1181"/>
              <w:spacing w:after="0"/>
              <w:rPr>
                <w:sz w:val="20"/>
                <w:szCs w:val="20"/>
                <w:color w:val="auto"/>
              </w:rPr>
            </w:pPr>
            <w:r>
              <w:rPr>
                <w:rFonts w:ascii="Arial" w:cs="Arial" w:eastAsia="Arial" w:hAnsi="Arial"/>
                <w:sz w:val="16"/>
                <w:szCs w:val="16"/>
                <w:color w:val="auto"/>
                <w:w w:val="87"/>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1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Segment accounting policies are the same as those described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Company’s Annual Report on Form 10-K for the year ended December 31, 2017. Revenues for all segments include only transactions with customers and exclude intersegment revenues. Excluded from Income from operations for U.S. and International are certain legal and corporate costs not directly related to the performance of the segments, stock-based compensation expenses and certain bonus expenses.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Total revenue by segment: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24, 2017</w:t>
            </w: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2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w w:val="99"/>
              </w:rPr>
              <w:t>SEPTEMBER 24,</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8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(Restated) (1)</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w w:val="91"/>
              </w:rPr>
              <w:t>(Restated) (1)</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6"/>
                <w:shd w:val="clear" w:color="auto" w:fill="CCEEFF"/>
              </w:rPr>
              <w:t>Total revenues</w:t>
            </w:r>
          </w:p>
        </w:tc>
        <w:tc>
          <w:tcPr>
            <w:tcW w:w="41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240"/>
              <w:spacing w:after="0"/>
              <w:rPr>
                <w:sz w:val="20"/>
                <w:szCs w:val="20"/>
                <w:color w:val="auto"/>
              </w:rPr>
            </w:pPr>
            <w:r>
              <w:rPr>
                <w:rFonts w:ascii="Arial" w:cs="Arial" w:eastAsia="Arial" w:hAnsi="Arial"/>
                <w:sz w:val="16"/>
                <w:szCs w:val="16"/>
                <w:color w:val="auto"/>
              </w:rPr>
              <w:t>U.S.</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861,493</w:t>
            </w:r>
          </w:p>
        </w:tc>
        <w:tc>
          <w:tcPr>
            <w:tcW w:w="1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838,809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2,782,555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2,803,278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103,528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116,778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330,745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343,478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120" w:type="dxa"/>
            <w:vAlign w:val="bottom"/>
            <w:gridSpan w:val="2"/>
          </w:tcPr>
          <w:p>
            <w:pPr>
              <w:ind w:left="46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965,021</w:t>
            </w:r>
          </w:p>
        </w:tc>
        <w:tc>
          <w:tcPr>
            <w:tcW w:w="120" w:type="dxa"/>
            <w:vAlign w:val="bottom"/>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955,587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3,113,300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3,146,756</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jc w:val="right"/>
              <w:ind w:right="3540"/>
              <w:spacing w:after="0"/>
              <w:rPr>
                <w:sz w:val="20"/>
                <w:szCs w:val="20"/>
                <w:color w:val="auto"/>
              </w:rPr>
            </w:pPr>
            <w:r>
              <w:rPr>
                <w:rFonts w:ascii="Arial" w:cs="Arial" w:eastAsia="Arial" w:hAnsi="Arial"/>
                <w:sz w:val="16"/>
                <w:szCs w:val="16"/>
                <w:color w:val="auto"/>
                <w:w w:val="89"/>
              </w:rPr>
              <w:t>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w:t>
      </w:r>
    </w:p>
    <w:p>
      <w:pPr>
        <w:spacing w:after="0" w:line="243"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27</w:t>
      </w:r>
    </w:p>
    <w:p>
      <w:pPr>
        <w:sectPr>
          <w:pgSz w:w="11900" w:h="16838" w:orient="portrait"/>
          <w:cols w:equalWidth="0" w:num="1">
            <w:col w:w="11440"/>
          </w:cols>
          <w:pgMar w:left="240" w:top="121" w:right="2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reconciliation of Segment income from operations to Income before (benefit) provision for income taxes: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24, 2017</w:t>
            </w: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20" w:type="dxa"/>
            <w:vAlign w:val="bottom"/>
          </w:tcPr>
          <w:p>
            <w:pPr>
              <w:jc w:val="center"/>
              <w:ind w:right="61"/>
              <w:spacing w:after="0" w:line="153" w:lineRule="exact"/>
              <w:rPr>
                <w:sz w:val="20"/>
                <w:szCs w:val="20"/>
                <w:color w:val="auto"/>
              </w:rPr>
            </w:pPr>
            <w:r>
              <w:rPr>
                <w:rFonts w:ascii="Arial" w:cs="Arial" w:eastAsia="Arial" w:hAnsi="Arial"/>
                <w:sz w:val="14"/>
                <w:szCs w:val="14"/>
                <w:b w:val="1"/>
                <w:bCs w:val="1"/>
                <w:color w:val="auto"/>
                <w:w w:val="99"/>
              </w:rPr>
              <w:t>SEPTEMBER 24,</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89"/>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(Restated) (1)</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(Restated) (1)</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income from operations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U.S.</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44,598</w:t>
            </w:r>
          </w:p>
        </w:tc>
        <w:tc>
          <w:tcPr>
            <w:tcW w:w="1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30,224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230,645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213,248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7,776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8,394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14,052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26,757</w:t>
            </w:r>
          </w:p>
        </w:tc>
        <w:tc>
          <w:tcPr>
            <w:tcW w:w="0" w:type="dxa"/>
            <w:vAlign w:val="bottom"/>
          </w:tcPr>
          <w:p>
            <w:pPr>
              <w:spacing w:after="0"/>
              <w:rPr>
                <w:sz w:val="1"/>
                <w:szCs w:val="1"/>
                <w:color w:val="auto"/>
              </w:rPr>
            </w:pPr>
          </w:p>
        </w:tc>
      </w:tr>
      <w:tr>
        <w:trPr>
          <w:trHeight w:val="224"/>
        </w:trPr>
        <w:tc>
          <w:tcPr>
            <w:tcW w:w="5160" w:type="dxa"/>
            <w:vAlign w:val="bottom"/>
          </w:tcPr>
          <w:p>
            <w:pPr>
              <w:ind w:left="500"/>
              <w:spacing w:after="0"/>
              <w:rPr>
                <w:sz w:val="20"/>
                <w:szCs w:val="20"/>
                <w:color w:val="auto"/>
              </w:rPr>
            </w:pPr>
            <w:r>
              <w:rPr>
                <w:rFonts w:ascii="Arial" w:cs="Arial" w:eastAsia="Arial" w:hAnsi="Arial"/>
                <w:sz w:val="16"/>
                <w:szCs w:val="16"/>
                <w:color w:val="auto"/>
              </w:rPr>
              <w:t>Total segment income from operations</w:t>
            </w:r>
          </w:p>
        </w:tc>
        <w:tc>
          <w:tcPr>
            <w:tcW w:w="36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52,374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38,618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244,697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240,005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Unallocated corporate operating expense</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(116,610)</w:t>
            </w:r>
          </w:p>
        </w:tc>
        <w:tc>
          <w:tcPr>
            <w:tcW w:w="0" w:type="dxa"/>
            <w:vAlign w:val="bottom"/>
          </w:tcPr>
          <w:p>
            <w:pPr>
              <w:spacing w:after="0"/>
              <w:rPr>
                <w:sz w:val="1"/>
                <w:szCs w:val="1"/>
                <w:color w:val="auto"/>
              </w:rPr>
            </w:pPr>
          </w:p>
        </w:tc>
      </w:tr>
      <w:tr>
        <w:trPr>
          <w:trHeight w:val="224"/>
        </w:trPr>
        <w:tc>
          <w:tcPr>
            <w:tcW w:w="5160" w:type="dxa"/>
            <w:vAlign w:val="bottom"/>
          </w:tcPr>
          <w:p>
            <w:pPr>
              <w:ind w:left="500"/>
              <w:spacing w:after="0"/>
              <w:rPr>
                <w:sz w:val="20"/>
                <w:szCs w:val="20"/>
                <w:color w:val="auto"/>
              </w:rPr>
            </w:pPr>
            <w:r>
              <w:rPr>
                <w:rFonts w:ascii="Arial" w:cs="Arial" w:eastAsia="Arial" w:hAnsi="Arial"/>
                <w:sz w:val="16"/>
                <w:szCs w:val="16"/>
                <w:color w:val="auto"/>
              </w:rPr>
              <w:t>Total income from operations</w:t>
            </w:r>
          </w:p>
        </w:tc>
        <w:tc>
          <w:tcPr>
            <w:tcW w:w="36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12,537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5,219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123,832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123,395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extinguishment and modification of debt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7,531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14,761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(29,389)</w:t>
            </w:r>
          </w:p>
        </w:tc>
        <w:tc>
          <w:tcPr>
            <w:tcW w:w="0" w:type="dxa"/>
            <w:vAlign w:val="bottom"/>
          </w:tcPr>
          <w:p>
            <w:pPr>
              <w:spacing w:after="0"/>
              <w:rPr>
                <w:sz w:val="1"/>
                <w:szCs w:val="1"/>
                <w:color w:val="auto"/>
              </w:rPr>
            </w:pPr>
          </w:p>
        </w:tc>
      </w:tr>
      <w:tr>
        <w:trPr>
          <w:trHeight w:val="250"/>
        </w:trPr>
        <w:tc>
          <w:tcPr>
            <w:tcW w:w="5160" w:type="dxa"/>
            <w:vAlign w:val="bottom"/>
          </w:tcPr>
          <w:p>
            <w:pPr>
              <w:ind w:left="500"/>
              <w:spacing w:after="0"/>
              <w:rPr>
                <w:sz w:val="20"/>
                <w:szCs w:val="20"/>
                <w:color w:val="auto"/>
              </w:rPr>
            </w:pPr>
            <w:r>
              <w:rPr>
                <w:rFonts w:ascii="Arial" w:cs="Arial" w:eastAsia="Arial" w:hAnsi="Arial"/>
                <w:sz w:val="16"/>
                <w:szCs w:val="16"/>
                <w:color w:val="auto"/>
              </w:rPr>
              <w:t>Income before (benefit) provision for income taxes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2,045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90,597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108,507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Depreciation and amortization expense by segment: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20" w:type="dxa"/>
            <w:vAlign w:val="bottom"/>
          </w:tcPr>
          <w:p>
            <w:pPr>
              <w:jc w:val="right"/>
              <w:ind w:right="102"/>
              <w:spacing w:after="0" w:line="153" w:lineRule="exact"/>
              <w:rPr>
                <w:sz w:val="20"/>
                <w:szCs w:val="20"/>
                <w:color w:val="auto"/>
              </w:rPr>
            </w:pPr>
            <w:r>
              <w:rPr>
                <w:rFonts w:ascii="Arial" w:cs="Arial" w:eastAsia="Arial" w:hAnsi="Arial"/>
                <w:sz w:val="14"/>
                <w:szCs w:val="14"/>
                <w:b w:val="1"/>
                <w:bCs w:val="1"/>
                <w:color w:val="auto"/>
              </w:rPr>
              <w:t>SEPTEMBER 24,</w:t>
            </w: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40" w:type="dxa"/>
            <w:vAlign w:val="bottom"/>
          </w:tcPr>
          <w:p>
            <w:pPr>
              <w:spacing w:after="0"/>
              <w:rPr>
                <w:sz w:val="17"/>
                <w:szCs w:val="17"/>
                <w:color w:val="auto"/>
              </w:rPr>
            </w:pPr>
          </w:p>
        </w:tc>
        <w:tc>
          <w:tcPr>
            <w:tcW w:w="1320" w:type="dxa"/>
            <w:vAlign w:val="bottom"/>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U.S.</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39,796</w:t>
            </w:r>
          </w:p>
        </w:tc>
        <w:tc>
          <w:tcPr>
            <w:tcW w:w="12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3"/>
              </w:rPr>
              <w:t>37,186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119,063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111,192</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6,420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20,550</w:t>
            </w:r>
          </w:p>
        </w:tc>
      </w:tr>
      <w:tr>
        <w:trPr>
          <w:trHeight w:val="270"/>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4,355</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3,604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12,544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10,737</w:t>
            </w: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depreciation and amortization</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50,571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47,826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151,473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142,479</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Geographic Areas </w:t>
      </w:r>
      <w:r>
        <w:rPr>
          <w:rFonts w:ascii="Arial" w:cs="Arial" w:eastAsia="Arial" w:hAnsi="Arial"/>
          <w:sz w:val="20"/>
          <w:szCs w:val="20"/>
          <w:color w:val="auto"/>
        </w:rPr>
        <w:t>— International assets are defined as assets residing in a country other than the U.S. The following table details long-lived</w:t>
      </w:r>
      <w:r>
        <w:rPr>
          <w:rFonts w:ascii="Arial" w:cs="Arial" w:eastAsia="Arial" w:hAnsi="Arial"/>
          <w:sz w:val="20"/>
          <w:szCs w:val="20"/>
          <w:i w:val="1"/>
          <w:iCs w:val="1"/>
          <w:color w:val="auto"/>
        </w:rPr>
        <w:t xml:space="preserve"> </w:t>
      </w:r>
      <w:r>
        <w:rPr>
          <w:rFonts w:ascii="Arial" w:cs="Arial" w:eastAsia="Arial" w:hAnsi="Arial"/>
          <w:sz w:val="20"/>
          <w:szCs w:val="20"/>
          <w:color w:val="auto"/>
        </w:rPr>
        <w:t>assets, excluding goodwill, intangible assets and deferred tax assets, by major geographic area: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20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Pr>
          <w:p>
            <w:pPr>
              <w:spacing w:after="0"/>
              <w:rPr>
                <w:sz w:val="17"/>
                <w:szCs w:val="17"/>
                <w:color w:val="auto"/>
              </w:rPr>
            </w:pPr>
          </w:p>
        </w:tc>
        <w:tc>
          <w:tcPr>
            <w:tcW w:w="1820" w:type="dxa"/>
            <w:vAlign w:val="bottom"/>
          </w:tcPr>
          <w:p>
            <w:pPr>
              <w:jc w:val="right"/>
              <w:ind w:right="261"/>
              <w:spacing w:after="0"/>
              <w:rPr>
                <w:sz w:val="20"/>
                <w:szCs w:val="20"/>
                <w:color w:val="auto"/>
              </w:rPr>
            </w:pPr>
            <w:r>
              <w:rPr>
                <w:rFonts w:ascii="Arial" w:cs="Arial" w:eastAsia="Arial" w:hAnsi="Arial"/>
                <w:sz w:val="14"/>
                <w:szCs w:val="14"/>
                <w:b w:val="1"/>
                <w:bCs w:val="1"/>
                <w:color w:val="auto"/>
              </w:rPr>
              <w:t>DECEMBER 31, 2017</w:t>
            </w:r>
          </w:p>
        </w:tc>
      </w:tr>
      <w:tr>
        <w:trPr>
          <w:trHeight w:val="237"/>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1,121,331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1,164,322</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Brazil</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126,341</w:t>
            </w:r>
          </w:p>
        </w:tc>
      </w:tr>
      <w:tr>
        <w:trPr>
          <w:trHeight w:val="270"/>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18,649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18,012</w:t>
            </w: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1,248,427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1,308,675</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International revenues are defined as revenues generated from restaurant sales originating in a country other than the U.S. The following table details Total revenues by major geographic area: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5040" w:type="dxa"/>
            <w:vAlign w:val="bottom"/>
          </w:tcPr>
          <w:p>
            <w:pPr>
              <w:spacing w:after="0"/>
              <w:rPr>
                <w:sz w:val="13"/>
                <w:szCs w:val="13"/>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2018</w:t>
            </w:r>
          </w:p>
        </w:tc>
        <w:tc>
          <w:tcPr>
            <w:tcW w:w="17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8"/>
              </w:rPr>
              <w:t>SEPTEMBER 24, 2017</w:t>
            </w: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2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w w:val="99"/>
              </w:rPr>
              <w:t>SEPTEMBER 24,</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89"/>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(Restated) (1)</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w w:val="91"/>
              </w:rPr>
              <w:t>(Restated) (1)</w:t>
            </w:r>
          </w:p>
        </w:tc>
        <w:tc>
          <w:tcPr>
            <w:tcW w:w="0" w:type="dxa"/>
            <w:vAlign w:val="bottom"/>
          </w:tcPr>
          <w:p>
            <w:pPr>
              <w:spacing w:after="0"/>
              <w:rPr>
                <w:sz w:val="1"/>
                <w:szCs w:val="1"/>
                <w:color w:val="auto"/>
              </w:rPr>
            </w:pPr>
          </w:p>
        </w:tc>
      </w:tr>
      <w:tr>
        <w:trPr>
          <w:trHeight w:val="237"/>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861,493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838,809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2,782,555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2,803,278</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Brazil</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88,178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108,503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284,376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308,384</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15,350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8,275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46,369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35,094</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965,021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955,587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3,113,300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3,146,756</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w:t>
      </w:r>
    </w:p>
    <w:p>
      <w:pPr>
        <w:spacing w:after="0" w:line="200" w:lineRule="exact"/>
        <w:rPr>
          <w:rFonts w:ascii="Arial" w:cs="Arial" w:eastAsia="Arial" w:hAnsi="Arial"/>
          <w:sz w:val="16"/>
          <w:szCs w:val="16"/>
          <w:color w:val="auto"/>
        </w:rPr>
      </w:pPr>
    </w:p>
    <w:p>
      <w:pPr>
        <w:spacing w:after="0" w:line="259"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181"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Consumer reactions to public health and food safety issues;</w:t>
      </w:r>
    </w:p>
    <w:p>
      <w:pPr>
        <w:spacing w:after="0" w:line="229" w:lineRule="exact"/>
        <w:rPr>
          <w:rFonts w:ascii="Arial" w:cs="Arial" w:eastAsia="Arial" w:hAnsi="Arial"/>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compete in the highly competitive restaurant industry with many well-established competitors and new market entrants;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Minimum wage increases and additional mandated employee benefits;</w:t>
      </w:r>
    </w:p>
    <w:p>
      <w:pPr>
        <w:spacing w:after="0" w:line="229"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Economic conditions and their effects on consumer confidence and discretionary spending, consumer traffic, the cost and availability of credit and interest rates;</w:t>
      </w:r>
    </w:p>
    <w:p>
      <w:pPr>
        <w:spacing w:after="0" w:line="176" w:lineRule="exact"/>
        <w:rPr>
          <w:rFonts w:ascii="Arial" w:cs="Arial" w:eastAsia="Arial" w:hAnsi="Arial"/>
          <w:sz w:val="20"/>
          <w:szCs w:val="20"/>
          <w:color w:val="auto"/>
        </w:rPr>
      </w:pPr>
    </w:p>
    <w:p>
      <w:pPr>
        <w:ind w:left="660" w:hanging="652"/>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Fluctuations in the price and availability of commodities;</w:t>
      </w:r>
    </w:p>
    <w:p>
      <w:pPr>
        <w:spacing w:after="0" w:line="229" w:lineRule="exact"/>
        <w:rPr>
          <w:rFonts w:ascii="Arial" w:cs="Arial" w:eastAsia="Arial" w:hAnsi="Arial"/>
          <w:sz w:val="20"/>
          <w:szCs w:val="20"/>
          <w:color w:val="auto"/>
        </w:rPr>
      </w:pPr>
    </w:p>
    <w:p>
      <w:pPr>
        <w:ind w:left="660" w:hanging="652"/>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effectively respond to changes in patterns of consumer traffic, consumer tastes and dietary habits;</w:t>
      </w:r>
    </w:p>
    <w:p>
      <w:pPr>
        <w:spacing w:after="0" w:line="229"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comply with governmental laws and regulations, the costs of compliance with such laws and regulations and the effects of changes to applicable laws and regulations, including tax laws and unanticipated liabilities;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ind w:left="660" w:hanging="652"/>
        <w:spacing w:after="0" w:line="269" w:lineRule="auto"/>
        <w:tabs>
          <w:tab w:leader="none" w:pos="6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Our ability to implement our expansion, remodeling and relocation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183" w:lineRule="exact"/>
        <w:rPr>
          <w:rFonts w:ascii="Arial" w:cs="Arial" w:eastAsia="Arial" w:hAnsi="Arial"/>
          <w:sz w:val="19"/>
          <w:szCs w:val="19"/>
          <w:color w:val="auto"/>
        </w:rPr>
      </w:pPr>
    </w:p>
    <w:p>
      <w:pPr>
        <w:ind w:left="660" w:right="20" w:hanging="652"/>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Our ability to protect our information technology systems from interruption or security breach, including cyber security threats, and to protect consumer data and personal employee information;</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effects of international economic, political and social conditions and legal systems on our foreign operations and on foreign currency exchange rates;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Our ability to preserve and grow the reputation and value of our brands, particularly in light of changes in consumer engagement with social media platforms;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impairment in the carrying value of our goodwill or other intangible or long-lived assets and its effect on our financial condition and results of operations;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Strategic actions, including acquisitions and dispositions, and our success in implementing these initiatives or integrating any acquired or newly created businesses;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20"/>
          <w:szCs w:val="20"/>
          <w:color w:val="auto"/>
        </w:rPr>
        <w:t>Seasonal and periodic fluctuations in our results and the effects of significant adverse weather conditions and other disasters or unforeseen events;</w:t>
      </w:r>
    </w:p>
    <w:p>
      <w:pPr>
        <w:spacing w:after="0" w:line="190" w:lineRule="exact"/>
        <w:rPr>
          <w:rFonts w:ascii="Arial" w:cs="Arial" w:eastAsia="Arial" w:hAnsi="Arial"/>
          <w:sz w:val="18"/>
          <w:szCs w:val="18"/>
          <w:color w:val="auto"/>
        </w:rPr>
      </w:pPr>
    </w:p>
    <w:p>
      <w:pPr>
        <w:jc w:val="both"/>
        <w:ind w:left="660" w:hanging="652"/>
        <w:spacing w:after="0" w:line="269" w:lineRule="auto"/>
        <w:tabs>
          <w:tab w:leader="none" w:pos="6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effects of our substantial leverage and restrictive covenants in our various credit facilities on our ability to raise additional capital to fund our operations, to make capital expenditures to invest in new or renovate restaurants and to react to changes in the economy or our industry, and our exposure to interest rate risk in connection with our variable-rate debt;</w:t>
      </w:r>
    </w:p>
    <w:p>
      <w:pPr>
        <w:spacing w:after="0" w:line="183"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adequacy of our cash flow and earnings and other conditions which may affect our ability to pay dividends and repurchase shares of our common stock; and</w:t>
      </w:r>
    </w:p>
    <w:p>
      <w:pPr>
        <w:spacing w:after="0" w:line="190"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Such other factors as discussed in Part I, Item IA. Risk Factors of our Annual Report on Form 10-K for the year ended December 31, 2017.</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one of the largest casual dining restaurant companies in the world with a portfolio of leading, differentiated restaurant concepts. As of September 30, 2018, we owned and operated 1,194 restaurants and franchised 294 restaurants across 48 states, Puerto Rico, Guam and 20 countries. We have four founder-inspired concepts: Outback Steakhouse, Carrabba’s Italian Grill, Bonefish Grill and Fleming’s Prime Steakhouse &amp; Wine Bar.</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Our financial results for the thirteen weeks ended September 30, 2018 (“third quarter of 2018”) include the following:</w:t>
      </w:r>
    </w:p>
    <w:p>
      <w:pPr>
        <w:spacing w:after="0" w:line="229" w:lineRule="exact"/>
        <w:rPr>
          <w:sz w:val="20"/>
          <w:szCs w:val="20"/>
          <w:color w:val="auto"/>
        </w:rPr>
      </w:pPr>
    </w:p>
    <w:p>
      <w:pPr>
        <w:jc w:val="both"/>
        <w:ind w:left="660" w:hanging="328"/>
        <w:spacing w:after="0" w:line="250"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 increase in Total revenues of 1.0% to $1.0 billion in the third quarter of 2018, as compared to the third quarter of 2017, primarily due to higher U.S. comparable restaurant sales and the net impact of restaurant openings and closures, partially offset by foreign currency translation of the Brazil Real relative to the U.S. dollar.</w:t>
      </w:r>
    </w:p>
    <w:p>
      <w:pPr>
        <w:spacing w:after="0" w:line="199" w:lineRule="exact"/>
        <w:rPr>
          <w:rFonts w:ascii="Arial" w:cs="Arial" w:eastAsia="Arial" w:hAnsi="Arial"/>
          <w:sz w:val="20"/>
          <w:szCs w:val="20"/>
          <w:color w:val="auto"/>
        </w:rPr>
      </w:pPr>
    </w:p>
    <w:p>
      <w:pPr>
        <w:jc w:val="both"/>
        <w:ind w:left="660" w:hanging="328"/>
        <w:spacing w:after="0" w:line="246"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Income from operations of $12.5 million in the third quarter of 2018, as compared to $5.2 million in the third quarter of 2017, increased primarily due to lower impairment charges and restaurant closing costs, certain cost saving initiatives and increases in average check. These increases were partially offset by commodity and labor inflation, higher incentive compensation expense and lower comparable sales in Brazil.</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International Restructuring </w:t>
      </w:r>
      <w:r>
        <w:rPr>
          <w:rFonts w:ascii="Arial" w:cs="Arial" w:eastAsia="Arial" w:hAnsi="Arial"/>
          <w:sz w:val="20"/>
          <w:szCs w:val="20"/>
          <w:color w:val="auto"/>
        </w:rPr>
        <w:t>- During the thirty-nine weeks ended September 30, 2018, we recognized asset impairment and closure charges of</w:t>
      </w:r>
      <w:r>
        <w:rPr>
          <w:rFonts w:ascii="Arial" w:cs="Arial" w:eastAsia="Arial" w:hAnsi="Arial"/>
          <w:sz w:val="20"/>
          <w:szCs w:val="20"/>
          <w:i w:val="1"/>
          <w:iCs w:val="1"/>
          <w:color w:val="auto"/>
        </w:rPr>
        <w:t xml:space="preserve"> </w:t>
      </w:r>
      <w:r>
        <w:rPr>
          <w:rFonts w:ascii="Arial" w:cs="Arial" w:eastAsia="Arial" w:hAnsi="Arial"/>
          <w:sz w:val="20"/>
          <w:szCs w:val="20"/>
          <w:color w:val="auto"/>
        </w:rPr>
        <w:t>$9.1 million related to the restructuring of certain international markets, including China.</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Political Unrest in Brazil</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Recently, unrest in Brazil ahead of the presidential election, including a truckers strike, resulted in lost operating days for many businesses, including our restaurants. We believe consumer confidence will resume the upward trend it has been on for the last few years following the October presidential election as we move into 2019. We are already seeing stronger trends in Brazil, including positive comparable restaurant sales in the final month of the third quarter.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Key measures that we use in evaluating our restaurants and assessing our business include the following:</w:t>
      </w:r>
    </w:p>
    <w:p>
      <w:pPr>
        <w:spacing w:after="0" w:line="229" w:lineRule="exact"/>
        <w:rPr>
          <w:sz w:val="20"/>
          <w:szCs w:val="20"/>
          <w:color w:val="auto"/>
        </w:rPr>
      </w:pPr>
    </w:p>
    <w:p>
      <w:pPr>
        <w:ind w:left="660" w:hanging="328"/>
        <w:spacing w:after="0" w:line="260" w:lineRule="auto"/>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i w:val="1"/>
          <w:iCs w:val="1"/>
          <w:color w:val="auto"/>
        </w:rPr>
        <w:t>Average restaurant unit volumes</w:t>
      </w:r>
      <w:r>
        <w:rPr>
          <w:rFonts w:ascii="Arial" w:cs="Arial" w:eastAsia="Arial" w:hAnsi="Arial"/>
          <w:sz w:val="20"/>
          <w:szCs w:val="20"/>
          <w:color w:val="auto"/>
        </w:rPr>
        <w:t>—average sales (excluding gift card breakage) per restaurant to measure changes in customer traffic,</w:t>
      </w:r>
      <w:r>
        <w:rPr>
          <w:rFonts w:ascii="Arial" w:cs="Arial" w:eastAsia="Arial" w:hAnsi="Arial"/>
          <w:sz w:val="20"/>
          <w:szCs w:val="20"/>
          <w:i w:val="1"/>
          <w:iCs w:val="1"/>
          <w:color w:val="auto"/>
        </w:rPr>
        <w:t xml:space="preserve"> </w:t>
      </w:r>
      <w:r>
        <w:rPr>
          <w:rFonts w:ascii="Arial" w:cs="Arial" w:eastAsia="Arial" w:hAnsi="Arial"/>
          <w:sz w:val="20"/>
          <w:szCs w:val="20"/>
          <w:color w:val="auto"/>
        </w:rPr>
        <w:t>pricing and development of the brand;</w:t>
      </w:r>
    </w:p>
    <w:p>
      <w:pPr>
        <w:spacing w:after="0" w:line="190"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31"/>
        </w:numPr>
        <w:rPr>
          <w:rFonts w:ascii="Arial" w:cs="Arial" w:eastAsia="Arial" w:hAnsi="Arial"/>
          <w:sz w:val="20"/>
          <w:szCs w:val="20"/>
          <w:i w:val="1"/>
          <w:iCs w:val="1"/>
          <w:color w:val="auto"/>
        </w:rPr>
      </w:pPr>
      <w:r>
        <w:rPr>
          <w:rFonts w:ascii="Arial" w:cs="Arial" w:eastAsia="Arial" w:hAnsi="Arial"/>
          <w:sz w:val="20"/>
          <w:szCs w:val="20"/>
          <w:i w:val="1"/>
          <w:iCs w:val="1"/>
          <w:color w:val="auto"/>
        </w:rPr>
        <w:t>Comparable restaurant sales</w:t>
      </w:r>
      <w:r>
        <w:rPr>
          <w:rFonts w:ascii="Arial" w:cs="Arial" w:eastAsia="Arial" w:hAnsi="Arial"/>
          <w:sz w:val="20"/>
          <w:szCs w:val="20"/>
          <w:color w:val="auto"/>
        </w:rPr>
        <w:t>—year-over-year comparison of sales volumes (excluding gift card breakage) for Company-owned</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restaurants that are open 18 months or more in order to remove the impact of new restaurant openings in comparing the operations of existing restaurants;</w:t>
      </w:r>
    </w:p>
    <w:p>
      <w:pPr>
        <w:spacing w:after="0" w:line="199" w:lineRule="exact"/>
        <w:rPr>
          <w:rFonts w:ascii="Arial" w:cs="Arial" w:eastAsia="Arial" w:hAnsi="Arial"/>
          <w:sz w:val="20"/>
          <w:szCs w:val="20"/>
          <w:i w:val="1"/>
          <w:iCs w:val="1"/>
          <w:color w:val="auto"/>
        </w:rPr>
      </w:pPr>
    </w:p>
    <w:p>
      <w:pPr>
        <w:ind w:left="660" w:right="20" w:hanging="328"/>
        <w:spacing w:after="0" w:line="260" w:lineRule="auto"/>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i w:val="1"/>
          <w:iCs w:val="1"/>
          <w:color w:val="auto"/>
        </w:rPr>
        <w:t>System-wide sales</w:t>
      </w:r>
      <w:r>
        <w:rPr>
          <w:rFonts w:ascii="Arial" w:cs="Arial" w:eastAsia="Arial" w:hAnsi="Arial"/>
          <w:sz w:val="20"/>
          <w:szCs w:val="20"/>
          <w:color w:val="auto"/>
        </w:rPr>
        <w:t>—total restaurant sales volume for all Company-owned and franchise restaurants, regardless of ownership, to</w:t>
      </w:r>
      <w:r>
        <w:rPr>
          <w:rFonts w:ascii="Arial" w:cs="Arial" w:eastAsia="Arial" w:hAnsi="Arial"/>
          <w:sz w:val="20"/>
          <w:szCs w:val="20"/>
          <w:i w:val="1"/>
          <w:iCs w:val="1"/>
          <w:color w:val="auto"/>
        </w:rPr>
        <w:t xml:space="preserve"> </w:t>
      </w:r>
      <w:r>
        <w:rPr>
          <w:rFonts w:ascii="Arial" w:cs="Arial" w:eastAsia="Arial" w:hAnsi="Arial"/>
          <w:sz w:val="20"/>
          <w:szCs w:val="20"/>
          <w:color w:val="auto"/>
        </w:rPr>
        <w:t>interpret the overall health of our brands;</w:t>
      </w:r>
    </w:p>
    <w:p>
      <w:pPr>
        <w:spacing w:after="0" w:line="190"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31"/>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Restaurant-level operating margin, Income from operations, Net income and Diluted earnings per share </w:t>
      </w:r>
      <w:r>
        <w:rPr>
          <w:rFonts w:ascii="Arial" w:cs="Arial" w:eastAsia="Arial" w:hAnsi="Arial"/>
          <w:sz w:val="20"/>
          <w:szCs w:val="20"/>
          <w:color w:val="auto"/>
        </w:rPr>
        <w:t>— financial measures utilized</w:t>
      </w:r>
      <w:r>
        <w:rPr>
          <w:rFonts w:ascii="Arial" w:cs="Arial" w:eastAsia="Arial" w:hAnsi="Arial"/>
          <w:sz w:val="20"/>
          <w:szCs w:val="20"/>
          <w:i w:val="1"/>
          <w:iCs w:val="1"/>
          <w:color w:val="auto"/>
        </w:rPr>
        <w:t xml:space="preserve"> </w:t>
      </w:r>
      <w:r>
        <w:rPr>
          <w:rFonts w:ascii="Arial" w:cs="Arial" w:eastAsia="Arial" w:hAnsi="Arial"/>
          <w:sz w:val="20"/>
          <w:szCs w:val="20"/>
          <w:color w:val="auto"/>
        </w:rPr>
        <w:t>to evaluate our operating performance.</w:t>
      </w:r>
    </w:p>
    <w:p>
      <w:pPr>
        <w:spacing w:after="0" w:line="190"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Restaurant-level operating margin is widely regarded in the industry as a useful metric to evaluate restaurant level operating efficiency and performance of ongoing restaurant-level operations, and we use it for these purposes, overall and particularly within our two segments. Our restaurant-level operating margin is expressed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ind w:left="660"/>
        <w:spacing w:after="0" w:line="263" w:lineRule="auto"/>
        <w:rPr>
          <w:sz w:val="20"/>
          <w:szCs w:val="20"/>
          <w:color w:val="auto"/>
        </w:rPr>
      </w:pPr>
      <w:r>
        <w:rPr>
          <w:rFonts w:ascii="Arial" w:cs="Arial" w:eastAsia="Arial" w:hAnsi="Arial"/>
          <w:sz w:val="19"/>
          <w:szCs w:val="19"/>
          <w:color w:val="auto"/>
        </w:rPr>
        <w:t>as the percentage of our Restaurant sales that Cost of sales, Labor and other related and Other restaurant operating (including advertising expenses) represent, in each case as such items are reflected in our Consolidated Statement of Operations. The following categories of our revenue and operating expenses are not included in restaurant-level operating margin because we do not consider them reflective of operating performance at the restaurant-level within a period:</w:t>
      </w:r>
    </w:p>
    <w:p>
      <w:pPr>
        <w:spacing w:after="0" w:line="190" w:lineRule="exact"/>
        <w:rPr>
          <w:sz w:val="20"/>
          <w:szCs w:val="20"/>
          <w:color w:val="auto"/>
        </w:rPr>
      </w:pPr>
    </w:p>
    <w:p>
      <w:pPr>
        <w:ind w:left="1300" w:hanging="644"/>
        <w:spacing w:after="0" w:line="247" w:lineRule="auto"/>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Franchise and other revenues which are earned primarily from franchise royalties and other non-food and beverage revenue streams, such as rental and sublease income.</w:t>
      </w:r>
    </w:p>
    <w:p>
      <w:pPr>
        <w:spacing w:after="0" w:line="1" w:lineRule="exact"/>
        <w:rPr>
          <w:rFonts w:ascii="Arial" w:cs="Arial" w:eastAsia="Arial" w:hAnsi="Arial"/>
          <w:sz w:val="20"/>
          <w:szCs w:val="20"/>
          <w:color w:val="auto"/>
        </w:rPr>
      </w:pPr>
    </w:p>
    <w:p>
      <w:pPr>
        <w:ind w:left="1300" w:hanging="644"/>
        <w:spacing w:after="0" w:line="239" w:lineRule="auto"/>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Depreciation and amortization which, although substantially all of which is related to restaurant-level assets, represent historical sunk costs rather than cash outlays for the restaurants.</w:t>
      </w:r>
    </w:p>
    <w:p>
      <w:pPr>
        <w:spacing w:after="0" w:line="1" w:lineRule="exact"/>
        <w:rPr>
          <w:rFonts w:ascii="Arial" w:cs="Arial" w:eastAsia="Arial" w:hAnsi="Arial"/>
          <w:sz w:val="20"/>
          <w:szCs w:val="20"/>
          <w:color w:val="auto"/>
        </w:rPr>
      </w:pPr>
    </w:p>
    <w:p>
      <w:pPr>
        <w:ind w:left="1300" w:right="20" w:hanging="644"/>
        <w:spacing w:after="0" w:line="239" w:lineRule="auto"/>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General and administrative expense which includes primarily non-restaurant-level costs associated with support of the restaurants and other activities at our corporate offices.</w:t>
      </w:r>
    </w:p>
    <w:p>
      <w:pPr>
        <w:spacing w:after="0" w:line="1" w:lineRule="exact"/>
        <w:rPr>
          <w:rFonts w:ascii="Arial" w:cs="Arial" w:eastAsia="Arial" w:hAnsi="Arial"/>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Asset impairment charges and restaurant closing costs which are not reflective of ongoing restaurant performance in a period.</w:t>
      </w:r>
    </w:p>
    <w:p>
      <w:pPr>
        <w:spacing w:after="0" w:line="236"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Restaurant-level operating margin excludes various expenses, as discussed above, that are essential to support the operations of our restaurants and may materially impact our Consolidated Statement of Operations. As a result, restaurant-level operating margin is not indicative of our consolidated results of operations and is presented exclusively as a supplement to, and not a substitute for, Net income or Income from operations. In addition, our presentation of restaurant operating margin may not be comparable to similarly titled measures used by other companies in our industry;</w:t>
      </w:r>
    </w:p>
    <w:p>
      <w:pPr>
        <w:spacing w:after="0" w:line="208" w:lineRule="exact"/>
        <w:rPr>
          <w:sz w:val="20"/>
          <w:szCs w:val="20"/>
          <w:color w:val="auto"/>
        </w:rPr>
      </w:pPr>
    </w:p>
    <w:p>
      <w:pPr>
        <w:ind w:left="660" w:right="20" w:hanging="328"/>
        <w:spacing w:after="0" w:line="260" w:lineRule="auto"/>
        <w:tabs>
          <w:tab w:leader="none" w:pos="660" w:val="left"/>
        </w:tabs>
        <w:numPr>
          <w:ilvl w:val="0"/>
          <w:numId w:val="33"/>
        </w:numPr>
        <w:rPr>
          <w:rFonts w:ascii="Arial" w:cs="Arial" w:eastAsia="Arial" w:hAnsi="Arial"/>
          <w:sz w:val="20"/>
          <w:szCs w:val="20"/>
          <w:i w:val="1"/>
          <w:iCs w:val="1"/>
          <w:color w:val="auto"/>
        </w:rPr>
      </w:pPr>
      <w:r>
        <w:rPr>
          <w:rFonts w:ascii="Arial" w:cs="Arial" w:eastAsia="Arial" w:hAnsi="Arial"/>
          <w:sz w:val="20"/>
          <w:szCs w:val="20"/>
          <w:i w:val="1"/>
          <w:iCs w:val="1"/>
          <w:color w:val="auto"/>
        </w:rPr>
        <w:t>Adjusted restaurant-level operating margin, Adjusted income from operations, Adjusted net income and Adjusted diluted earnings per share</w:t>
      </w:r>
      <w:r>
        <w:rPr>
          <w:rFonts w:ascii="Arial" w:cs="Arial" w:eastAsia="Arial" w:hAnsi="Arial"/>
          <w:sz w:val="20"/>
          <w:szCs w:val="20"/>
          <w:color w:val="auto"/>
        </w:rPr>
        <w:t>—non-GAAP financial measures utilized to evaluate our operating performance.</w:t>
      </w:r>
    </w:p>
    <w:p>
      <w:pPr>
        <w:spacing w:after="0" w:line="190" w:lineRule="exact"/>
        <w:rPr>
          <w:rFonts w:ascii="Arial" w:cs="Arial" w:eastAsia="Arial" w:hAnsi="Arial"/>
          <w:sz w:val="20"/>
          <w:szCs w:val="20"/>
          <w:i w:val="1"/>
          <w:iCs w:val="1"/>
          <w:color w:val="auto"/>
        </w:rPr>
      </w:pPr>
    </w:p>
    <w:p>
      <w:pPr>
        <w:jc w:val="both"/>
        <w:ind w:left="660"/>
        <w:spacing w:after="0" w:line="242" w:lineRule="auto"/>
        <w:rPr>
          <w:rFonts w:ascii="Arial" w:cs="Arial" w:eastAsia="Arial" w:hAnsi="Arial"/>
          <w:sz w:val="20"/>
          <w:szCs w:val="20"/>
          <w:i w:val="1"/>
          <w:iCs w:val="1"/>
          <w:color w:val="auto"/>
        </w:rPr>
      </w:pPr>
      <w:r>
        <w:rPr>
          <w:rFonts w:ascii="Arial" w:cs="Arial" w:eastAsia="Arial" w:hAnsi="Arial"/>
          <w:sz w:val="20"/>
          <w:szCs w:val="20"/>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administer employee incentive plans; and</w:t>
      </w:r>
    </w:p>
    <w:p>
      <w:pPr>
        <w:spacing w:after="0" w:line="211" w:lineRule="exact"/>
        <w:rPr>
          <w:rFonts w:ascii="Arial" w:cs="Arial" w:eastAsia="Arial" w:hAnsi="Arial"/>
          <w:sz w:val="20"/>
          <w:szCs w:val="20"/>
          <w:i w:val="1"/>
          <w:iCs w:val="1"/>
          <w:color w:val="auto"/>
        </w:rPr>
      </w:pP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i w:val="1"/>
          <w:iCs w:val="1"/>
          <w:color w:val="auto"/>
        </w:rPr>
        <w:t>Customer satisfaction scores</w:t>
      </w:r>
      <w:r>
        <w:rPr>
          <w:rFonts w:ascii="Arial" w:cs="Arial" w:eastAsia="Arial" w:hAnsi="Arial"/>
          <w:sz w:val="20"/>
          <w:szCs w:val="20"/>
          <w:color w:val="auto"/>
        </w:rPr>
        <w:t>—measurement of our customers’ experiences in a variety of key areas.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Operating Data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presents the number of our restaurants in operation at the end of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Number of restaurants (at end of the period):</w:t>
            </w:r>
          </w:p>
        </w:tc>
        <w:tc>
          <w:tcPr>
            <w:tcW w:w="2040" w:type="dxa"/>
            <w:vAlign w:val="bottom"/>
            <w:gridSpan w:val="2"/>
          </w:tcPr>
          <w:p>
            <w:pPr>
              <w:ind w:left="260"/>
              <w:spacing w:after="0"/>
              <w:rPr>
                <w:sz w:val="20"/>
                <w:szCs w:val="20"/>
                <w:color w:val="auto"/>
              </w:rPr>
            </w:pPr>
            <w:r>
              <w:rPr>
                <w:rFonts w:ascii="Arial" w:cs="Arial" w:eastAsia="Arial" w:hAnsi="Arial"/>
                <w:sz w:val="14"/>
                <w:szCs w:val="14"/>
                <w:b w:val="1"/>
                <w:bCs w:val="1"/>
                <w:color w:val="auto"/>
              </w:rPr>
              <w:t>SEPTEMBER 30, 2018</w:t>
            </w:r>
          </w:p>
        </w:tc>
        <w:tc>
          <w:tcPr>
            <w:tcW w:w="1940" w:type="dxa"/>
            <w:vAlign w:val="bottom"/>
          </w:tcPr>
          <w:p>
            <w:pPr>
              <w:jc w:val="right"/>
              <w:ind w:right="179"/>
              <w:spacing w:after="0"/>
              <w:rPr>
                <w:sz w:val="20"/>
                <w:szCs w:val="20"/>
                <w:color w:val="auto"/>
              </w:rPr>
            </w:pPr>
            <w:r>
              <w:rPr>
                <w:rFonts w:ascii="Arial" w:cs="Arial" w:eastAsia="Arial" w:hAnsi="Arial"/>
                <w:sz w:val="14"/>
                <w:szCs w:val="14"/>
                <w:b w:val="1"/>
                <w:bCs w:val="1"/>
                <w:color w:val="auto"/>
              </w:rPr>
              <w:t>SEPTEMBER 24, 2017</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44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Outback Steakhouse</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w:t>
            </w: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31"/>
        </w:trPr>
        <w:tc>
          <w:tcPr>
            <w:tcW w:w="7440" w:type="dxa"/>
            <w:vAlign w:val="bottom"/>
          </w:tcPr>
          <w:p>
            <w:pPr>
              <w:ind w:left="180"/>
              <w:spacing w:after="0"/>
              <w:rPr>
                <w:sz w:val="20"/>
                <w:szCs w:val="20"/>
                <w:color w:val="auto"/>
              </w:rPr>
            </w:pPr>
            <w:r>
              <w:rPr>
                <w:rFonts w:ascii="Arial" w:cs="Arial" w:eastAsia="Arial" w:hAnsi="Arial"/>
                <w:sz w:val="16"/>
                <w:szCs w:val="16"/>
                <w:color w:val="auto"/>
              </w:rPr>
              <w:t>Carrabba’s Italian Grill</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w:t>
            </w: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31"/>
        </w:trPr>
        <w:tc>
          <w:tcPr>
            <w:tcW w:w="744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w:t>
            </w: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1"/>
        </w:trPr>
        <w:tc>
          <w:tcPr>
            <w:tcW w:w="7440" w:type="dxa"/>
            <w:vAlign w:val="bottom"/>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4"/>
        </w:trPr>
        <w:tc>
          <w:tcPr>
            <w:tcW w:w="7440" w:type="dxa"/>
            <w:vAlign w:val="bottom"/>
          </w:tcPr>
          <w:p>
            <w:pPr>
              <w:ind w:left="180"/>
              <w:spacing w:after="0"/>
              <w:rPr>
                <w:sz w:val="20"/>
                <w:szCs w:val="20"/>
                <w:color w:val="auto"/>
              </w:rPr>
            </w:pPr>
            <w:r>
              <w:rPr>
                <w:rFonts w:ascii="Arial" w:cs="Arial" w:eastAsia="Arial" w:hAnsi="Arial"/>
                <w:sz w:val="16"/>
                <w:szCs w:val="16"/>
                <w:color w:val="auto"/>
              </w:rPr>
              <w:t>Other</w:t>
            </w: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4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1"/>
        </w:trPr>
        <w:tc>
          <w:tcPr>
            <w:tcW w:w="744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U.S. Total</w:t>
            </w: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1,233</w:t>
            </w:r>
          </w:p>
        </w:tc>
        <w:tc>
          <w:tcPr>
            <w:tcW w:w="100" w:type="dxa"/>
            <w:vAlign w:val="bottom"/>
            <w:tcBorders>
              <w:top w:val="single" w:sz="8" w:color="CCEEFF"/>
            </w:tcBorders>
          </w:tcPr>
          <w:p>
            <w:pPr>
              <w:spacing w:after="0"/>
              <w:rPr>
                <w:sz w:val="18"/>
                <w:szCs w:val="18"/>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40"/>
        </w:trPr>
        <w:tc>
          <w:tcPr>
            <w:tcW w:w="744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44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180"/>
              <w:spacing w:after="0"/>
              <w:rPr>
                <w:sz w:val="20"/>
                <w:szCs w:val="20"/>
                <w:color w:val="auto"/>
              </w:rPr>
            </w:pPr>
            <w:r>
              <w:rPr>
                <w:rFonts w:ascii="Arial" w:cs="Arial" w:eastAsia="Arial" w:hAnsi="Arial"/>
                <w:sz w:val="16"/>
                <w:szCs w:val="16"/>
                <w:color w:val="auto"/>
              </w:rPr>
              <w:t>Company-owned</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 - Brazil (1)</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Other</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Franchised</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Outback Steakhouse - South Korea</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1"/>
        </w:trPr>
        <w:tc>
          <w:tcPr>
            <w:tcW w:w="744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International Total</w:t>
            </w: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w:t>
            </w:r>
          </w:p>
        </w:tc>
        <w:tc>
          <w:tcPr>
            <w:tcW w:w="100" w:type="dxa"/>
            <w:vAlign w:val="bottom"/>
            <w:tcBorders>
              <w:top w:val="single" w:sz="8" w:color="CCEEFF"/>
            </w:tcBorders>
          </w:tcPr>
          <w:p>
            <w:pPr>
              <w:spacing w:after="0"/>
              <w:rPr>
                <w:sz w:val="18"/>
                <w:szCs w:val="18"/>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40"/>
        </w:trPr>
        <w:tc>
          <w:tcPr>
            <w:tcW w:w="744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System-wide total</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1,491</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4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restaurant counts for Brazil are reported as of August 31, 2018 and 2017, respectively, to correspond with the balance sheet dates of this subsidiary.</w:t>
      </w:r>
    </w:p>
    <w:p>
      <w:pPr>
        <w:spacing w:after="0" w:line="200" w:lineRule="exact"/>
        <w:rPr>
          <w:rFonts w:ascii="Arial" w:cs="Arial" w:eastAsia="Arial" w:hAnsi="Arial"/>
          <w:sz w:val="15"/>
          <w:szCs w:val="15"/>
          <w:color w:val="auto"/>
        </w:rPr>
      </w:pPr>
    </w:p>
    <w:p>
      <w:pPr>
        <w:spacing w:after="0" w:line="230"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sets forth, for the periods indicated, the percentages of certain items in our Consolidated Statements of Operations in relation to Total revenues or Restaurant sales, as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80" w:type="dxa"/>
            <w:vAlign w:val="bottom"/>
          </w:tcPr>
          <w:p>
            <w:pPr>
              <w:spacing w:after="0"/>
              <w:rPr>
                <w:sz w:val="17"/>
                <w:szCs w:val="17"/>
                <w:color w:val="auto"/>
              </w:rPr>
            </w:pPr>
          </w:p>
        </w:tc>
        <w:tc>
          <w:tcPr>
            <w:tcW w:w="32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32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64"/>
        </w:trPr>
        <w:tc>
          <w:tcPr>
            <w:tcW w:w="4880" w:type="dxa"/>
            <w:vAlign w:val="bottom"/>
          </w:tcPr>
          <w:p>
            <w:pPr>
              <w:spacing w:after="0"/>
              <w:rPr>
                <w:sz w:val="22"/>
                <w:szCs w:val="22"/>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24, 2017</w:t>
            </w: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SEPTEMBER 24, 2017</w:t>
            </w:r>
          </w:p>
        </w:tc>
        <w:tc>
          <w:tcPr>
            <w:tcW w:w="0" w:type="dxa"/>
            <w:vAlign w:val="bottom"/>
          </w:tcPr>
          <w:p>
            <w:pPr>
              <w:spacing w:after="0"/>
              <w:rPr>
                <w:sz w:val="1"/>
                <w:szCs w:val="1"/>
                <w:color w:val="auto"/>
              </w:rPr>
            </w:pPr>
          </w:p>
        </w:tc>
      </w:tr>
      <w:tr>
        <w:trPr>
          <w:trHeight w:val="250"/>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1560" w:type="dxa"/>
            <w:vAlign w:val="bottom"/>
          </w:tcPr>
          <w:p>
            <w:pPr>
              <w:jc w:val="right"/>
              <w:spacing w:after="0"/>
              <w:rPr>
                <w:sz w:val="20"/>
                <w:szCs w:val="20"/>
                <w:color w:val="auto"/>
              </w:rPr>
            </w:pPr>
            <w:r>
              <w:rPr>
                <w:rFonts w:ascii="Arial" w:cs="Arial" w:eastAsia="Arial" w:hAnsi="Arial"/>
                <w:sz w:val="16"/>
                <w:szCs w:val="16"/>
                <w:color w:val="auto"/>
              </w:rPr>
              <w:t>98.4 %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98.4 %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98.4 %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98.7 %</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4"/>
        </w:trPr>
        <w:tc>
          <w:tcPr>
            <w:tcW w:w="4880" w:type="dxa"/>
            <w:vAlign w:val="bottom"/>
          </w:tcPr>
          <w:p>
            <w:pPr>
              <w:ind w:left="820"/>
              <w:spacing w:after="0"/>
              <w:rPr>
                <w:sz w:val="20"/>
                <w:szCs w:val="20"/>
                <w:color w:val="auto"/>
              </w:rPr>
            </w:pPr>
            <w:r>
              <w:rPr>
                <w:rFonts w:ascii="Arial" w:cs="Arial" w:eastAsia="Arial" w:hAnsi="Arial"/>
                <w:sz w:val="16"/>
                <w:szCs w:val="16"/>
                <w:color w:val="auto"/>
              </w:rPr>
              <w:t>Total revenues</w:t>
            </w: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Cost of sales (1)</w:t>
            </w: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Labor and other related (1)</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Other restaurant operating (1)</w:t>
            </w: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impaired assets and restaurant closings</w:t>
            </w: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488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costs and expenses</w:t>
            </w: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98.7</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99.5</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96.0</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6"/>
                <w:szCs w:val="16"/>
                <w:color w:val="auto"/>
              </w:rPr>
              <w:t>Loss on extinguishment and modification of debt</w:t>
            </w: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70"/>
        </w:trPr>
        <w:tc>
          <w:tcPr>
            <w:tcW w:w="4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 net</w:t>
            </w: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(benefit) provision for income taxes</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70"/>
        </w:trPr>
        <w:tc>
          <w:tcPr>
            <w:tcW w:w="4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provision for income taxes</w:t>
            </w: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0"/>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net income (loss) attributable to noncontrolling interests</w:t>
            </w: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20"/>
                <w:szCs w:val="20"/>
                <w:color w:val="auto"/>
              </w:rPr>
              <w:t>________________</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8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line="235"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a percentage of Restaurant sales.</w:t>
      </w:r>
    </w:p>
    <w:p>
      <w:pPr>
        <w:spacing w:after="0" w:line="1"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Less than 1/10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one percent of Total revenues.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Restaurant sales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2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Arial" w:cs="Arial" w:eastAsia="Arial" w:hAnsi="Arial"/>
                <w:sz w:val="14"/>
                <w:szCs w:val="14"/>
                <w:b w:val="1"/>
                <w:bCs w:val="1"/>
                <w:color w:val="auto"/>
              </w:rPr>
              <w:t>THIRTEEN WEEKS ENDED</w:t>
            </w:r>
          </w:p>
        </w:tc>
        <w:tc>
          <w:tcPr>
            <w:tcW w:w="280" w:type="dxa"/>
            <w:vAlign w:val="bottom"/>
          </w:tcPr>
          <w:p>
            <w:pPr>
              <w:spacing w:after="0"/>
              <w:rPr>
                <w:sz w:val="17"/>
                <w:szCs w:val="17"/>
                <w:color w:val="auto"/>
              </w:rPr>
            </w:pPr>
          </w:p>
        </w:tc>
        <w:tc>
          <w:tcPr>
            <w:tcW w:w="2660" w:type="dxa"/>
            <w:vAlign w:val="bottom"/>
          </w:tcPr>
          <w:p>
            <w:pPr>
              <w:jc w:val="right"/>
              <w:ind w:right="36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37"/>
        </w:trPr>
        <w:tc>
          <w:tcPr>
            <w:tcW w:w="3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shd w:val="clear" w:color="auto" w:fill="CCEEFF"/>
              </w:rPr>
              <w:t>For the periods ended September 24, 2017 (1)</w:t>
            </w:r>
          </w:p>
        </w:tc>
        <w:tc>
          <w:tcPr>
            <w:tcW w:w="28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3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6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3,105.0</w:t>
            </w:r>
          </w:p>
        </w:tc>
        <w:tc>
          <w:tcPr>
            <w:tcW w:w="0" w:type="dxa"/>
            <w:vAlign w:val="bottom"/>
          </w:tcPr>
          <w:p>
            <w:pPr>
              <w:spacing w:after="0"/>
              <w:rPr>
                <w:sz w:val="1"/>
                <w:szCs w:val="1"/>
                <w:color w:val="auto"/>
              </w:rPr>
            </w:pPr>
          </w:p>
        </w:tc>
      </w:tr>
      <w:tr>
        <w:trPr>
          <w:trHeight w:val="237"/>
        </w:trPr>
        <w:tc>
          <w:tcPr>
            <w:tcW w:w="5820" w:type="dxa"/>
            <w:vAlign w:val="bottom"/>
            <w:gridSpan w:val="2"/>
          </w:tcPr>
          <w:p>
            <w:pPr>
              <w:ind w:left="40"/>
              <w:spacing w:after="0"/>
              <w:rPr>
                <w:sz w:val="20"/>
                <w:szCs w:val="20"/>
                <w:color w:val="auto"/>
              </w:rPr>
            </w:pPr>
            <w:r>
              <w:rPr>
                <w:rFonts w:ascii="Arial" w:cs="Arial" w:eastAsia="Arial" w:hAnsi="Arial"/>
                <w:sz w:val="16"/>
                <w:szCs w:val="16"/>
                <w:color w:val="auto"/>
              </w:rPr>
              <w:t>Change from:</w:t>
            </w:r>
          </w:p>
        </w:tc>
        <w:tc>
          <w:tcPr>
            <w:tcW w:w="2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Comparable restaurant sales (2)</w:t>
            </w:r>
          </w:p>
        </w:tc>
        <w:tc>
          <w:tcPr>
            <w:tcW w:w="2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37"/>
        </w:trPr>
        <w:tc>
          <w:tcPr>
            <w:tcW w:w="5820" w:type="dxa"/>
            <w:vAlign w:val="bottom"/>
            <w:gridSpan w:val="2"/>
          </w:tcPr>
          <w:p>
            <w:pPr>
              <w:ind w:left="380"/>
              <w:spacing w:after="0"/>
              <w:rPr>
                <w:sz w:val="20"/>
                <w:szCs w:val="20"/>
                <w:color w:val="auto"/>
              </w:rPr>
            </w:pPr>
            <w:r>
              <w:rPr>
                <w:rFonts w:ascii="Arial" w:cs="Arial" w:eastAsia="Arial" w:hAnsi="Arial"/>
                <w:sz w:val="16"/>
                <w:szCs w:val="16"/>
                <w:color w:val="auto"/>
              </w:rPr>
              <w:t>Restaurant openings (2)</w:t>
            </w:r>
          </w:p>
        </w:tc>
        <w:tc>
          <w:tcPr>
            <w:tcW w:w="240" w:type="dxa"/>
            <w:vAlign w:val="bottom"/>
          </w:tcPr>
          <w:p>
            <w:pPr>
              <w:spacing w:after="0"/>
              <w:rPr>
                <w:sz w:val="20"/>
                <w:szCs w:val="20"/>
                <w:color w:val="auto"/>
              </w:rPr>
            </w:pPr>
          </w:p>
        </w:tc>
        <w:tc>
          <w:tcPr>
            <w:tcW w:w="2300" w:type="dxa"/>
            <w:vAlign w:val="bottom"/>
          </w:tcPr>
          <w:p>
            <w:pPr>
              <w:jc w:val="right"/>
              <w:ind w:right="4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jc w:val="right"/>
              <w:ind w:right="20"/>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Divestiture of restaurants through refranchising transactions</w:t>
            </w:r>
          </w:p>
        </w:tc>
        <w:tc>
          <w:tcPr>
            <w:tcW w:w="2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37"/>
        </w:trPr>
        <w:tc>
          <w:tcPr>
            <w:tcW w:w="5820" w:type="dxa"/>
            <w:vAlign w:val="bottom"/>
            <w:gridSpan w:val="2"/>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24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Restaurant closings</w:t>
            </w:r>
          </w:p>
        </w:tc>
        <w:tc>
          <w:tcPr>
            <w:tcW w:w="24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50"/>
        </w:trPr>
        <w:tc>
          <w:tcPr>
            <w:tcW w:w="5820" w:type="dxa"/>
            <w:vAlign w:val="bottom"/>
            <w:gridSpan w:val="2"/>
          </w:tcPr>
          <w:p>
            <w:pPr>
              <w:ind w:left="40"/>
              <w:spacing w:after="0"/>
              <w:rPr>
                <w:sz w:val="20"/>
                <w:szCs w:val="20"/>
                <w:color w:val="auto"/>
              </w:rPr>
            </w:pPr>
            <w:r>
              <w:rPr>
                <w:rFonts w:ascii="Arial" w:cs="Arial" w:eastAsia="Arial" w:hAnsi="Arial"/>
                <w:sz w:val="16"/>
                <w:szCs w:val="16"/>
                <w:color w:val="auto"/>
              </w:rPr>
              <w:t>For the periods ended September 30, 2018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949.4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2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3,063.9</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020" w:type="dxa"/>
            <w:vAlign w:val="bottom"/>
            <w:vMerge w:val="continue"/>
          </w:tcPr>
          <w:p>
            <w:pPr>
              <w:spacing w:after="0"/>
              <w:rPr>
                <w:sz w:val="15"/>
                <w:szCs w:val="15"/>
                <w:color w:val="auto"/>
              </w:rPr>
            </w:pPr>
          </w:p>
        </w:tc>
        <w:tc>
          <w:tcPr>
            <w:tcW w:w="2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57"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Restaurant sales have been restated for the thirteen and thirty-nine weeks ended September 24, 2017. See Note 1 - </w:t>
      </w:r>
      <w:r>
        <w:rPr>
          <w:rFonts w:ascii="Arial" w:cs="Arial" w:eastAsia="Arial" w:hAnsi="Arial"/>
          <w:sz w:val="16"/>
          <w:szCs w:val="16"/>
          <w:i w:val="1"/>
          <w:iCs w:val="1"/>
          <w:color w:val="auto"/>
        </w:rPr>
        <w:t>Description of the Business and Basis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w:t>
      </w:r>
      <w:r>
        <w:rPr>
          <w:rFonts w:ascii="Arial" w:cs="Arial" w:eastAsia="Arial" w:hAnsi="Arial"/>
          <w:sz w:val="16"/>
          <w:szCs w:val="16"/>
          <w:color w:val="auto"/>
        </w:rPr>
        <w:t>of the Notes to Consolidated Financial Statements for details regarding the impact of implementing ASU No. 2014-09.</w:t>
      </w:r>
    </w:p>
    <w:p>
      <w:pPr>
        <w:sectPr>
          <w:pgSz w:w="11900" w:h="16838" w:orient="portrait"/>
          <w:cols w:equalWidth="0" w:num="1">
            <w:col w:w="11420"/>
          </w:cols>
          <w:pgMar w:left="240" w:top="122"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34" w:lineRule="exact"/>
        <w:rPr>
          <w:sz w:val="20"/>
          <w:szCs w:val="20"/>
          <w:color w:val="auto"/>
        </w:rPr>
      </w:pPr>
    </w:p>
    <w:p>
      <w:pPr>
        <w:ind w:left="660" w:hanging="652"/>
        <w:spacing w:after="0" w:line="310" w:lineRule="auto"/>
        <w:tabs>
          <w:tab w:leader="none" w:pos="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thirty-nine weeks ended September 24, 2017 included several high-volume days between December 26th and December 31st and the thirty-nine weeks ended September 30, 2018 excluded these high-volume days. This shift had an approximate $19.0 million negative impact on Restaurant sales in 2018.</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Restaurant sales in the thirteen weeks ended September 30, 2018 was primarily attributable to higher U.S. comparable restaurant sales and the opening of 30 new restaurants not included in our comparable restaurant sales base. The increase in restaurant sales was partially offset by the effect of foreign currency translation of the Brazilian Real relative to the U.S. dollar and the closing of 26 restaurants since June 25, 2017.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Restaurant sales in the thirty-nine weeks ended September 30, 2018 was primarily attributable to: (i) domestic refranchising,</w:t>
      </w:r>
    </w:p>
    <w:p>
      <w:pPr>
        <w:spacing w:after="0" w:line="39" w:lineRule="exact"/>
        <w:rPr>
          <w:sz w:val="20"/>
          <w:szCs w:val="20"/>
          <w:color w:val="auto"/>
        </w:rPr>
      </w:pPr>
    </w:p>
    <w:p>
      <w:pPr>
        <w:jc w:val="both"/>
        <w:ind w:firstLine="8"/>
        <w:spacing w:after="0" w:line="260" w:lineRule="auto"/>
        <w:tabs>
          <w:tab w:leader="none" w:pos="291"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closing of 63 restaurants since December 25, 2016, (iii) the effect of foreign currency translation primarily due to the depreciation of the Brazilian Real and (iv) the one-week shift in the fiscal calendar. The decrease in restaurant sales was partially offset by the opening of 48 new restaurants not included in our comparable restaurant sales base and higher U.S. comparable restaurant sales.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Average Restaurant Unit Volumes and Operating Weeks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average restaurant unit volumes and operating weeks,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5120" w:type="dxa"/>
            <w:vAlign w:val="bottom"/>
          </w:tcPr>
          <w:p>
            <w:pPr>
              <w:spacing w:after="0"/>
              <w:rPr>
                <w:sz w:val="13"/>
                <w:szCs w:val="13"/>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24, 2017</w:t>
            </w: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300" w:type="dxa"/>
            <w:vAlign w:val="bottom"/>
          </w:tcPr>
          <w:p>
            <w:pPr>
              <w:jc w:val="center"/>
              <w:ind w:right="81"/>
              <w:spacing w:after="0" w:line="153" w:lineRule="exact"/>
              <w:rPr>
                <w:sz w:val="20"/>
                <w:szCs w:val="20"/>
                <w:color w:val="auto"/>
              </w:rPr>
            </w:pPr>
            <w:r>
              <w:rPr>
                <w:rFonts w:ascii="Arial" w:cs="Arial" w:eastAsia="Arial" w:hAnsi="Arial"/>
                <w:sz w:val="14"/>
                <w:szCs w:val="14"/>
                <w:b w:val="1"/>
                <w:bCs w:val="1"/>
                <w:color w:val="auto"/>
                <w:w w:val="99"/>
              </w:rPr>
              <w:t>SEPTEMBER 24,</w:t>
            </w: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89"/>
        </w:trPr>
        <w:tc>
          <w:tcPr>
            <w:tcW w:w="5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(Restated) (1)</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(Restated) (1)</w:t>
            </w:r>
          </w:p>
        </w:tc>
        <w:tc>
          <w:tcPr>
            <w:tcW w:w="0" w:type="dxa"/>
            <w:vAlign w:val="bottom"/>
          </w:tcPr>
          <w:p>
            <w:pPr>
              <w:spacing w:after="0"/>
              <w:rPr>
                <w:sz w:val="1"/>
                <w:szCs w:val="1"/>
                <w:color w:val="auto"/>
              </w:rPr>
            </w:pPr>
          </w:p>
        </w:tc>
      </w:tr>
      <w:tr>
        <w:trPr>
          <w:trHeight w:val="250"/>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restaurant unit volumes: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80"/>
              <w:spacing w:after="0"/>
              <w:rPr>
                <w:sz w:val="20"/>
                <w:szCs w:val="20"/>
                <w:color w:val="auto"/>
              </w:rPr>
            </w:pPr>
            <w:r>
              <w:rPr>
                <w:rFonts w:ascii="Arial" w:cs="Arial" w:eastAsia="Arial" w:hAnsi="Arial"/>
                <w:sz w:val="16"/>
                <w:szCs w:val="16"/>
                <w:color w:val="auto"/>
              </w:rPr>
              <w:t>U.S.</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65,636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62,555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69,461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66,948</w:t>
            </w:r>
          </w:p>
        </w:tc>
        <w:tc>
          <w:tcPr>
            <w:tcW w:w="0" w:type="dxa"/>
            <w:vAlign w:val="bottom"/>
          </w:tcPr>
          <w:p>
            <w:pPr>
              <w:spacing w:after="0"/>
              <w:rPr>
                <w:sz w:val="1"/>
                <w:szCs w:val="1"/>
                <w:color w:val="auto"/>
              </w:rPr>
            </w:pPr>
          </w:p>
        </w:tc>
      </w:tr>
      <w:tr>
        <w:trPr>
          <w:trHeight w:val="237"/>
        </w:trPr>
        <w:tc>
          <w:tcPr>
            <w:tcW w:w="5120" w:type="dxa"/>
            <w:vAlign w:val="bottom"/>
          </w:tcPr>
          <w:p>
            <w:pPr>
              <w:ind w:left="280"/>
              <w:spacing w:after="0"/>
              <w:rPr>
                <w:sz w:val="20"/>
                <w:szCs w:val="20"/>
                <w:color w:val="auto"/>
              </w:rPr>
            </w:pPr>
            <w:r>
              <w:rPr>
                <w:rFonts w:ascii="Arial" w:cs="Arial" w:eastAsia="Arial" w:hAnsi="Arial"/>
                <w:sz w:val="16"/>
                <w:szCs w:val="16"/>
                <w:color w:val="auto"/>
              </w:rPr>
              <w:t>Carrabba’s Italian Grill</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51,000</w:t>
            </w:r>
          </w:p>
        </w:tc>
        <w:tc>
          <w:tcPr>
            <w:tcW w:w="12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51,167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55,542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55,935</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Bonefish Grill</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54,517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53,554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58,585</w:t>
            </w:r>
          </w:p>
        </w:tc>
        <w:tc>
          <w:tcPr>
            <w:tcW w:w="0" w:type="dxa"/>
            <w:vAlign w:val="bottom"/>
          </w:tcPr>
          <w:p>
            <w:pPr>
              <w:spacing w:after="0"/>
              <w:rPr>
                <w:sz w:val="1"/>
                <w:szCs w:val="1"/>
                <w:color w:val="auto"/>
              </w:rPr>
            </w:pPr>
          </w:p>
        </w:tc>
      </w:tr>
      <w:tr>
        <w:trPr>
          <w:trHeight w:val="237"/>
        </w:trPr>
        <w:tc>
          <w:tcPr>
            <w:tcW w:w="5120" w:type="dxa"/>
            <w:vAlign w:val="bottom"/>
          </w:tcPr>
          <w:p>
            <w:pPr>
              <w:ind w:left="280"/>
              <w:spacing w:after="0"/>
              <w:rPr>
                <w:sz w:val="20"/>
                <w:szCs w:val="20"/>
                <w:color w:val="auto"/>
              </w:rPr>
            </w:pPr>
            <w:r>
              <w:rPr>
                <w:rFonts w:ascii="Arial" w:cs="Arial" w:eastAsia="Arial" w:hAnsi="Arial"/>
                <w:sz w:val="16"/>
                <w:szCs w:val="16"/>
                <w:color w:val="auto"/>
              </w:rPr>
              <w:t>Fleming’s Prime Steakhouse &amp; Wine Bar</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71,046</w:t>
            </w:r>
          </w:p>
        </w:tc>
        <w:tc>
          <w:tcPr>
            <w:tcW w:w="12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68,809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80,557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79,300</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280"/>
              <w:spacing w:after="0"/>
              <w:rPr>
                <w:sz w:val="20"/>
                <w:szCs w:val="20"/>
                <w:color w:val="auto"/>
              </w:rPr>
            </w:pPr>
            <w:r>
              <w:rPr>
                <w:rFonts w:ascii="Arial" w:cs="Arial" w:eastAsia="Arial" w:hAnsi="Arial"/>
                <w:sz w:val="16"/>
                <w:szCs w:val="16"/>
                <w:color w:val="auto"/>
              </w:rPr>
              <w:t>Outback Steakhouse - Brazil (2)</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67,149</w:t>
            </w:r>
          </w:p>
        </w:tc>
        <w:tc>
          <w:tcPr>
            <w:tcW w:w="12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83,856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75,136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85,214</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weeks: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80"/>
              <w:spacing w:after="0"/>
              <w:rPr>
                <w:sz w:val="20"/>
                <w:szCs w:val="20"/>
                <w:color w:val="auto"/>
              </w:rPr>
            </w:pPr>
            <w:r>
              <w:rPr>
                <w:rFonts w:ascii="Arial" w:cs="Arial" w:eastAsia="Arial" w:hAnsi="Arial"/>
                <w:sz w:val="16"/>
                <w:szCs w:val="16"/>
                <w:color w:val="auto"/>
              </w:rPr>
              <w:t>U.S.</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23,785</w:t>
            </w:r>
          </w:p>
        </w:tc>
        <w:tc>
          <w:tcPr>
            <w:tcW w:w="0" w:type="dxa"/>
            <w:vAlign w:val="bottom"/>
          </w:tcPr>
          <w:p>
            <w:pPr>
              <w:spacing w:after="0"/>
              <w:rPr>
                <w:sz w:val="1"/>
                <w:szCs w:val="1"/>
                <w:color w:val="auto"/>
              </w:rPr>
            </w:pPr>
          </w:p>
        </w:tc>
      </w:tr>
      <w:tr>
        <w:trPr>
          <w:trHeight w:val="237"/>
        </w:trPr>
        <w:tc>
          <w:tcPr>
            <w:tcW w:w="5120" w:type="dxa"/>
            <w:vAlign w:val="bottom"/>
          </w:tcPr>
          <w:p>
            <w:pPr>
              <w:ind w:left="280"/>
              <w:spacing w:after="0"/>
              <w:rPr>
                <w:sz w:val="20"/>
                <w:szCs w:val="20"/>
                <w:color w:val="auto"/>
              </w:rPr>
            </w:pPr>
            <w:r>
              <w:rPr>
                <w:rFonts w:ascii="Arial" w:cs="Arial" w:eastAsia="Arial" w:hAnsi="Arial"/>
                <w:sz w:val="16"/>
                <w:szCs w:val="16"/>
                <w:color w:val="auto"/>
              </w:rPr>
              <w:t>Carrabba’s Italian Grill</w:t>
            </w:r>
          </w:p>
        </w:tc>
        <w:tc>
          <w:tcPr>
            <w:tcW w:w="38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2,912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2,950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8,748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8,974</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Bonefish Grill</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7,690</w:t>
            </w:r>
          </w:p>
        </w:tc>
        <w:tc>
          <w:tcPr>
            <w:tcW w:w="0" w:type="dxa"/>
            <w:vAlign w:val="bottom"/>
          </w:tcPr>
          <w:p>
            <w:pPr>
              <w:spacing w:after="0"/>
              <w:rPr>
                <w:sz w:val="1"/>
                <w:szCs w:val="1"/>
                <w:color w:val="auto"/>
              </w:rPr>
            </w:pPr>
          </w:p>
        </w:tc>
      </w:tr>
      <w:tr>
        <w:trPr>
          <w:trHeight w:val="237"/>
        </w:trPr>
        <w:tc>
          <w:tcPr>
            <w:tcW w:w="5120" w:type="dxa"/>
            <w:vAlign w:val="bottom"/>
          </w:tcPr>
          <w:p>
            <w:pPr>
              <w:ind w:left="280"/>
              <w:spacing w:after="0"/>
              <w:rPr>
                <w:sz w:val="20"/>
                <w:szCs w:val="20"/>
                <w:color w:val="auto"/>
              </w:rPr>
            </w:pPr>
            <w:r>
              <w:rPr>
                <w:rFonts w:ascii="Arial" w:cs="Arial" w:eastAsia="Arial" w:hAnsi="Arial"/>
                <w:sz w:val="16"/>
                <w:szCs w:val="16"/>
                <w:color w:val="auto"/>
              </w:rPr>
              <w:t>Fleming’s Prime Steakhouse &amp; Wine Bar</w:t>
            </w:r>
          </w:p>
        </w:tc>
        <w:tc>
          <w:tcPr>
            <w:tcW w:w="38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2,718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2,624</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280"/>
              <w:spacing w:after="0"/>
              <w:rPr>
                <w:sz w:val="20"/>
                <w:szCs w:val="20"/>
                <w:color w:val="auto"/>
              </w:rPr>
            </w:pPr>
            <w:r>
              <w:rPr>
                <w:rFonts w:ascii="Arial" w:cs="Arial" w:eastAsia="Arial" w:hAnsi="Arial"/>
                <w:sz w:val="16"/>
                <w:szCs w:val="16"/>
                <w:color w:val="auto"/>
              </w:rPr>
              <w:t>Outback Steakhouse - Brazil</w:t>
            </w:r>
          </w:p>
        </w:tc>
        <w:tc>
          <w:tcPr>
            <w:tcW w:w="38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1,209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3,515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3,310</w:t>
            </w:r>
          </w:p>
        </w:tc>
        <w:tc>
          <w:tcPr>
            <w:tcW w:w="0" w:type="dxa"/>
            <w:vAlign w:val="bottom"/>
          </w:tcPr>
          <w:p>
            <w:pPr>
              <w:spacing w:after="0"/>
              <w:rPr>
                <w:sz w:val="1"/>
                <w:szCs w:val="1"/>
                <w:color w:val="auto"/>
              </w:rPr>
            </w:pPr>
          </w:p>
        </w:tc>
      </w:tr>
      <w:tr>
        <w:trPr>
          <w:trHeight w:val="226"/>
        </w:trPr>
        <w:tc>
          <w:tcPr>
            <w:tcW w:w="5120" w:type="dxa"/>
            <w:vAlign w:val="bottom"/>
          </w:tcPr>
          <w:p>
            <w:pPr>
              <w:spacing w:after="0"/>
              <w:rPr>
                <w:sz w:val="20"/>
                <w:szCs w:val="20"/>
                <w:color w:val="auto"/>
              </w:rPr>
            </w:pPr>
            <w:r>
              <w:rPr>
                <w:rFonts w:ascii="Arial" w:cs="Arial" w:eastAsia="Arial" w:hAnsi="Arial"/>
                <w:sz w:val="16"/>
                <w:szCs w:val="16"/>
                <w:color w:val="auto"/>
              </w:rPr>
              <w:t>____________________</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right="20" w:hanging="652"/>
        <w:spacing w:after="0" w:line="24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Activity has been restated for the retrospective adoption of ASU No. 2014-09. 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of the Notes to Consolidated Financial Statements for details regarding the impact of implementing ASU No. 2014-09.</w:t>
      </w:r>
    </w:p>
    <w:p>
      <w:pPr>
        <w:ind w:left="660" w:right="20" w:hanging="652"/>
        <w:spacing w:after="0" w:line="257"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Translated at average exchange rates of 3.84 and 3.22 for the thirteen weeks ended September 30, 2018 and September 24, 2017, respectively, and 3.49 and 3.20 for the thirty-nine weeks ended September 30, 2018 and September 24, 2017, respectively.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Comparable Restaurant Sales, Traffic and Average Check Per Person Increases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comparable restaurant sales, traffic and average check per person increases,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60" w:type="dxa"/>
            <w:vAlign w:val="bottom"/>
          </w:tcPr>
          <w:p>
            <w:pPr>
              <w:spacing w:after="0"/>
              <w:rPr>
                <w:sz w:val="17"/>
                <w:szCs w:val="17"/>
                <w:color w:val="auto"/>
              </w:rPr>
            </w:pPr>
          </w:p>
        </w:tc>
        <w:tc>
          <w:tcPr>
            <w:tcW w:w="32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32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13"/>
                <w:szCs w:val="13"/>
                <w:color w:val="auto"/>
              </w:rPr>
            </w:pPr>
          </w:p>
        </w:tc>
        <w:tc>
          <w:tcPr>
            <w:tcW w:w="16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 2018</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24, 2017</w:t>
            </w:r>
          </w:p>
        </w:tc>
        <w:tc>
          <w:tcPr>
            <w:tcW w:w="16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 2018</w:t>
            </w: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SEPTEMBER 24, 2017</w:t>
            </w: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540" w:type="dxa"/>
            <w:vAlign w:val="bottom"/>
          </w:tcPr>
          <w:p>
            <w:pPr>
              <w:ind w:left="68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540" w:type="dxa"/>
            <w:vAlign w:val="bottom"/>
          </w:tcPr>
          <w:p>
            <w:pPr>
              <w:jc w:val="right"/>
              <w:ind w:right="60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 over year percentage change:</w:t>
            </w: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Arial" w:cs="Arial" w:eastAsia="Arial" w:hAnsi="Arial"/>
                <w:sz w:val="16"/>
                <w:szCs w:val="16"/>
                <w:color w:val="auto"/>
                <w:w w:val="98"/>
              </w:rPr>
              <w:t>Comparable restaurant sales (stores open 18 months or more) (2):</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540" w:type="dxa"/>
            <w:vAlign w:val="bottom"/>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6"/>
                <w:szCs w:val="16"/>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86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540" w:type="dxa"/>
            <w:vAlign w:val="bottom"/>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4860" w:type="dxa"/>
            <w:vAlign w:val="bottom"/>
          </w:tcPr>
          <w:p>
            <w:pPr>
              <w:ind w:left="380"/>
              <w:spacing w:after="0"/>
              <w:rPr>
                <w:sz w:val="20"/>
                <w:szCs w:val="20"/>
                <w:color w:val="auto"/>
              </w:rPr>
            </w:pPr>
            <w:r>
              <w:rPr>
                <w:rFonts w:ascii="Arial" w:cs="Arial" w:eastAsia="Arial" w:hAnsi="Arial"/>
                <w:sz w:val="16"/>
                <w:szCs w:val="16"/>
                <w:color w:val="auto"/>
              </w:rPr>
              <w:t>Combined U.S. (3)</w:t>
            </w:r>
          </w:p>
        </w:tc>
        <w:tc>
          <w:tcPr>
            <w:tcW w:w="154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380"/>
              <w:spacing w:after="0"/>
              <w:rPr>
                <w:sz w:val="20"/>
                <w:szCs w:val="20"/>
                <w:color w:val="auto"/>
              </w:rPr>
            </w:pPr>
            <w:r>
              <w:rPr>
                <w:rFonts w:ascii="Arial" w:cs="Arial" w:eastAsia="Arial" w:hAnsi="Arial"/>
                <w:sz w:val="16"/>
                <w:szCs w:val="16"/>
                <w:color w:val="auto"/>
              </w:rPr>
              <w:t>Outback Steakhouse - Brazil (4)</w:t>
            </w:r>
          </w:p>
        </w:tc>
        <w:tc>
          <w:tcPr>
            <w:tcW w:w="15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4.8 %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8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Arial" w:cs="Arial" w:eastAsia="Arial" w:hAnsi="Arial"/>
                <w:sz w:val="16"/>
                <w:szCs w:val="16"/>
                <w:color w:val="auto"/>
              </w:rPr>
              <w:t>Traffic:</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54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486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5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486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15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380"/>
              <w:spacing w:after="0"/>
              <w:rPr>
                <w:sz w:val="20"/>
                <w:szCs w:val="20"/>
                <w:color w:val="auto"/>
              </w:rPr>
            </w:pPr>
            <w:r>
              <w:rPr>
                <w:rFonts w:ascii="Arial" w:cs="Arial" w:eastAsia="Arial" w:hAnsi="Arial"/>
                <w:sz w:val="16"/>
                <w:szCs w:val="16"/>
                <w:color w:val="auto"/>
              </w:rPr>
              <w:t>Outback Steakhouse - Brazil</w:t>
            </w:r>
          </w:p>
        </w:tc>
        <w:tc>
          <w:tcPr>
            <w:tcW w:w="154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8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Arial" w:cs="Arial" w:eastAsia="Arial" w:hAnsi="Arial"/>
                <w:sz w:val="16"/>
                <w:szCs w:val="16"/>
                <w:color w:val="auto"/>
              </w:rPr>
              <w:t>Average check per person increases (5):</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540" w:type="dxa"/>
            <w:vAlign w:val="bottom"/>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37"/>
        </w:trPr>
        <w:tc>
          <w:tcPr>
            <w:tcW w:w="486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54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37"/>
        </w:trPr>
        <w:tc>
          <w:tcPr>
            <w:tcW w:w="486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154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380"/>
              <w:spacing w:after="0"/>
              <w:rPr>
                <w:sz w:val="20"/>
                <w:szCs w:val="20"/>
                <w:color w:val="auto"/>
              </w:rPr>
            </w:pPr>
            <w:r>
              <w:rPr>
                <w:rFonts w:ascii="Arial" w:cs="Arial" w:eastAsia="Arial" w:hAnsi="Arial"/>
                <w:sz w:val="16"/>
                <w:szCs w:val="16"/>
                <w:color w:val="auto"/>
              </w:rPr>
              <w:t>Outback Steakhouse - Brazil</w:t>
            </w:r>
          </w:p>
        </w:tc>
        <w:tc>
          <w:tcPr>
            <w:tcW w:w="1540" w:type="dxa"/>
            <w:vAlign w:val="bottom"/>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6.2 %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jc w:val="both"/>
        <w:ind w:left="660" w:hanging="652"/>
        <w:spacing w:after="0" w:line="246"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 Q3 2018, comparable restaurant sales and traffic compare the thirteen weeks from July 2, 2018 through September 30, 2018 to the thirteen weeks from July 3, 2017 through October 1, 2017, and the thirty-nine weeks from January 1, 2018 through September 30, 2018 to the thirty-nine weeks from January 2, 2017 through October 1, 2017.</w:t>
      </w:r>
    </w:p>
    <w:p>
      <w:pPr>
        <w:spacing w:after="0" w:line="1"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Comparable restaurant sales exclude the effect of fluctuations in foreign currency rates. Relocated international restaurants closed more than 30 days and relocated U.S. restaurants closed more than 60 days are excluded from comparable restaurant sales until at least 18 months after reopening.</w:t>
      </w:r>
    </w:p>
    <w:p>
      <w:pPr>
        <w:ind w:left="660" w:right="20" w:hanging="652"/>
        <w:spacing w:after="0" w:line="246"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Combined U.S. comparable restaurant sales for the thirteen weeks ended September 24, 2017 includes an estimated (1.0%) impact related to hurricanes that occurred during the quarter.</w:t>
      </w: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trading day impact from calendar period reporting.</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Average check per person includes the impact of menu pricing changes, product mix and discounts.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Franchise and other 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24, 2017</w:t>
            </w: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2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w w:val="99"/>
              </w:rPr>
              <w:t>SEPTEMBER 24,</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89"/>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(Restated) (1)</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w w:val="91"/>
              </w:rPr>
              <w:t>(Restated) (1)</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revenues (2)</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revenues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and other revenues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46"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of the Notes to Consolidated Financial Statements for details regarding the impact of implementing ASU No. 2014-09.</w:t>
      </w:r>
    </w:p>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franchise royalties, advertising fees and initial franchise fees.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COSTS AND EXPENSES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sales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THIRTY-NINE WEEKS ENDED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4"/>
        </w:trPr>
        <w:tc>
          <w:tcPr>
            <w:tcW w:w="29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24, 2017</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94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r>
      <w:tr>
        <w:trPr>
          <w:trHeight w:val="250"/>
        </w:trPr>
        <w:tc>
          <w:tcPr>
            <w:tcW w:w="2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sales</w:t>
            </w:r>
          </w:p>
        </w:tc>
        <w:tc>
          <w:tcPr>
            <w:tcW w:w="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307.5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94"/>
              </w:rPr>
              <w:t>296.6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982.4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960" w:type="dxa"/>
            <w:vAlign w:val="bottom"/>
          </w:tcPr>
          <w:p>
            <w:pPr>
              <w:ind w:left="18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0.4%</w:t>
            </w:r>
          </w:p>
        </w:tc>
      </w:tr>
    </w:tbl>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Cost of sales increased as a percentage of Restaurant sales in the thirteen weeks ended September 30, 2018 as compared to the thirteen weeks ended September 24, 2017 primarily due to 1.1% for commodity cost inflation, partially offset by a decrease as a percentage of Restaurant sales of 0.3% from the impact of certain cost saving initiatives.</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Cost of sales increased as a percentage of Restaurant sales in the thirty-nine weeks ended September 30, 2018 as compared to the thirty-nine weeks ended September 24, 2017 primarily due to 0.9% for commodity cost inflation, partially offset by a decrease as a percentage of Restaurant sales of 0.7% for changes in average check per person.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 and other related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THIRTY-NINE WEEKS ENDED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4"/>
        </w:trPr>
        <w:tc>
          <w:tcPr>
            <w:tcW w:w="29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24, 2017</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94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r>
      <w:tr>
        <w:trPr>
          <w:trHeight w:val="250"/>
        </w:trPr>
        <w:tc>
          <w:tcPr>
            <w:tcW w:w="2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Labor and other related</w:t>
            </w:r>
          </w:p>
        </w:tc>
        <w:tc>
          <w:tcPr>
            <w:tcW w:w="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289.0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94"/>
              </w:rPr>
              <w:t>285.3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960" w:type="dxa"/>
            <w:vAlign w:val="bottom"/>
          </w:tcPr>
          <w:p>
            <w:pPr>
              <w:ind w:left="18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10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w:t>
            </w:r>
          </w:p>
        </w:tc>
      </w:tr>
    </w:tbl>
    <w:p>
      <w:pPr>
        <w:spacing w:after="0" w:line="24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Labor and other related expenses were flat as a percentage of Restaurant sales in the thirteen weeks ended September 30, 2018 as compared to the thirteen weeks ended September 24, 2017 primarily due to 0.8% from wage rate increases, offset by decreases as a percentage of Restaurant sales of 0.5% from increases in average check per person and 0.3% from the impact of certain cost saving initiatives.</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Labor and other related expenses increased as a percentage of Restaurant sales in the thirty-nine weeks ended September 30, 2018 as compared to the thirty-nine weeks ended September 24, 2017 primarily due to 0.9% from wage rate increases. The increase was partially offset by decreases as a percentage of Restaurant sales of 0.4% from increases in average check per person and 0.3% from the impact of certain cost saving initiatives.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restaurant operating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4"/>
                <w:szCs w:val="14"/>
                <w:b w:val="1"/>
                <w:bCs w:val="1"/>
                <w:color w:val="auto"/>
              </w:rPr>
              <w:t>THIRTY-NINE WEEKS ENDED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8"/>
        </w:trPr>
        <w:tc>
          <w:tcPr>
            <w:tcW w:w="2940" w:type="dxa"/>
            <w:vAlign w:val="bottom"/>
          </w:tcPr>
          <w:p>
            <w:pPr>
              <w:spacing w:after="0"/>
              <w:rPr>
                <w:sz w:val="22"/>
                <w:szCs w:val="22"/>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940" w:type="dxa"/>
            <w:vAlign w:val="bottom"/>
          </w:tcPr>
          <w:p>
            <w:pPr>
              <w:spacing w:after="0"/>
              <w:rPr>
                <w:sz w:val="22"/>
                <w:szCs w:val="22"/>
                <w:color w:val="auto"/>
              </w:rPr>
            </w:pPr>
          </w:p>
        </w:tc>
      </w:tr>
      <w:tr>
        <w:trPr>
          <w:trHeight w:val="289"/>
        </w:trPr>
        <w:tc>
          <w:tcPr>
            <w:tcW w:w="294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(Restated) (1)</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(Restated) (1)</w:t>
            </w:r>
          </w:p>
        </w:tc>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Change</w:t>
            </w:r>
          </w:p>
        </w:tc>
      </w:tr>
      <w:tr>
        <w:trPr>
          <w:trHeight w:val="250"/>
        </w:trPr>
        <w:tc>
          <w:tcPr>
            <w:tcW w:w="2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restaurant operating</w:t>
            </w: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235.9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735.5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940" w:type="dxa"/>
            <w:vAlign w:val="bottom"/>
          </w:tcPr>
          <w:p>
            <w:pPr>
              <w:ind w:left="18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940" w:type="dxa"/>
            <w:vAlign w:val="bottom"/>
          </w:tcPr>
          <w:p>
            <w:pPr>
              <w:ind w:left="620"/>
              <w:spacing w:after="0"/>
              <w:rPr>
                <w:sz w:val="20"/>
                <w:szCs w:val="20"/>
                <w:color w:val="auto"/>
              </w:rPr>
            </w:pPr>
            <w:r>
              <w:rPr>
                <w:rFonts w:ascii="Arial" w:cs="Arial" w:eastAsia="Arial" w:hAnsi="Arial"/>
                <w:sz w:val="16"/>
                <w:szCs w:val="16"/>
                <w:color w:val="auto"/>
                <w:w w:val="99"/>
              </w:rPr>
              <w:t>—%</w:t>
            </w:r>
          </w:p>
        </w:tc>
      </w:tr>
      <w:tr>
        <w:trPr>
          <w:trHeight w:val="226"/>
        </w:trPr>
        <w:tc>
          <w:tcPr>
            <w:tcW w:w="2940" w:type="dxa"/>
            <w:vAlign w:val="bottom"/>
          </w:tcPr>
          <w:p>
            <w:pPr>
              <w:jc w:val="right"/>
              <w:ind w:right="1241"/>
              <w:spacing w:after="0"/>
              <w:rPr>
                <w:sz w:val="20"/>
                <w:szCs w:val="20"/>
                <w:color w:val="auto"/>
              </w:rPr>
            </w:pPr>
            <w:r>
              <w:rPr>
                <w:rFonts w:ascii="Arial" w:cs="Arial" w:eastAsia="Arial" w:hAnsi="Arial"/>
                <w:sz w:val="16"/>
                <w:szCs w:val="16"/>
                <w:color w:val="auto"/>
                <w:w w:val="89"/>
              </w:rPr>
              <w:t>____________________</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ind w:left="660" w:hanging="652"/>
        <w:spacing w:after="0" w:line="257"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of the Notes to Consolidated Financial Statements for details regarding the impact of implementing ASU No. 2014-09.</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Other restaurant operating expenses decreased as a percentage of Restaurant sales in the thirteen weeks ended September 30, 2018 as compared to the thirteen weeks ended September 24, 2017 primarily due to 0.6% from the impact of certain cost saving initiatives, partially offset by an increase as a percentage of Restaurant sales of 0.2% from operating expense inflation.</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Other restaurant operating expenses were flat as a percentage of Restaurant sales in the thirty-nine weeks ended September 30, 2018 as compared to the thirty-nine weeks ended September 24, 2017 primarily due to 0.4% from the impact of certain cost saving initiatives, offset by increases as a percentage of Restaurant sales of 0.2% from operating expense inflation and 0.2% from rent increases.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4"/>
                <w:szCs w:val="14"/>
                <w:b w:val="1"/>
                <w:bCs w:val="1"/>
                <w:color w:val="auto"/>
              </w:rPr>
              <w:t>THIRTY-NINE WEEKS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53"/>
        </w:trPr>
        <w:tc>
          <w:tcPr>
            <w:tcW w:w="3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SEPTEMBER 30,</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SEPTEMBER 24,</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5"/>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7"/>
                <w:szCs w:val="17"/>
                <w:color w:val="auto"/>
              </w:rPr>
            </w:pPr>
          </w:p>
        </w:tc>
        <w:tc>
          <w:tcPr>
            <w:tcW w:w="1320" w:type="dxa"/>
            <w:vAlign w:val="bottom"/>
          </w:tcPr>
          <w:p>
            <w:pPr>
              <w:jc w:val="right"/>
              <w:ind w:right="52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23"/>
              <w:spacing w:after="0"/>
              <w:rPr>
                <w:sz w:val="20"/>
                <w:szCs w:val="20"/>
                <w:color w:val="auto"/>
              </w:rPr>
            </w:pPr>
            <w:r>
              <w:rPr>
                <w:rFonts w:ascii="Arial" w:cs="Arial" w:eastAsia="Arial" w:hAnsi="Arial"/>
                <w:sz w:val="14"/>
                <w:szCs w:val="14"/>
                <w:b w:val="1"/>
                <w:bCs w:val="1"/>
                <w:color w:val="auto"/>
              </w:rPr>
              <w:t>Change</w:t>
            </w:r>
          </w:p>
        </w:tc>
      </w:tr>
      <w:tr>
        <w:trPr>
          <w:trHeight w:val="224"/>
        </w:trPr>
        <w:tc>
          <w:tcPr>
            <w:tcW w:w="3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50.6</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151.5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142.5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9.0</w:t>
            </w:r>
          </w:p>
        </w:tc>
      </w:tr>
      <w:tr>
        <w:trPr>
          <w:trHeight w:val="33"/>
        </w:trPr>
        <w:tc>
          <w:tcPr>
            <w:tcW w:w="3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Depreciation and amortization expense increased in the thirteen weeks ended September 30, 2018 as compared to the thirteen weeks ended September 24, 2017 primarily due to additional depreciation expense related to restaurant openings and relocations, and technology projects.</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Depreciation and amortization expense increased in the thirty-nine weeks ended September 30, 2018 as compared to the thirty-nine weeks ended September 24, 2017 primarily due to additional depreciation expense related to restaurant openings and relocations, and technology projects, partially offset by the impact of domestic refranchising and fewer renovations.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General and administrative expense includes salaries and benefits, management incentive programs, related payroll tax and benefits, other employee-related costs and professional services. Following is a summary of the change in general and administrative expense for the periods indicated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7"/>
                <w:szCs w:val="17"/>
                <w:color w:val="auto"/>
              </w:rPr>
            </w:pPr>
          </w:p>
        </w:tc>
        <w:tc>
          <w:tcPr>
            <w:tcW w:w="2340" w:type="dxa"/>
            <w:vAlign w:val="bottom"/>
            <w:gridSpan w:val="2"/>
          </w:tcPr>
          <w:p>
            <w:pPr>
              <w:ind w:left="8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2420" w:type="dxa"/>
            <w:vAlign w:val="bottom"/>
          </w:tcPr>
          <w:p>
            <w:pPr>
              <w:jc w:val="right"/>
              <w:ind w:right="20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37"/>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periods ended September 24, 2017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4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215.1</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Incentive compensation (1)</w:t>
            </w:r>
          </w:p>
        </w:tc>
        <w:tc>
          <w:tcPr>
            <w:tcW w:w="2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6280" w:type="dxa"/>
            <w:vAlign w:val="bottom"/>
          </w:tcPr>
          <w:p>
            <w:pPr>
              <w:ind w:left="380"/>
              <w:spacing w:after="0"/>
              <w:rPr>
                <w:sz w:val="20"/>
                <w:szCs w:val="20"/>
                <w:color w:val="auto"/>
              </w:rPr>
            </w:pPr>
            <w:r>
              <w:rPr>
                <w:rFonts w:ascii="Arial" w:cs="Arial" w:eastAsia="Arial" w:hAnsi="Arial"/>
                <w:sz w:val="16"/>
                <w:szCs w:val="16"/>
                <w:color w:val="auto"/>
              </w:rPr>
              <w:t>Severance</w:t>
            </w:r>
          </w:p>
        </w:tc>
        <w:tc>
          <w:tcPr>
            <w:tcW w:w="200" w:type="dxa"/>
            <w:vAlign w:val="bottom"/>
          </w:tcPr>
          <w:p>
            <w:pPr>
              <w:spacing w:after="0"/>
              <w:rPr>
                <w:sz w:val="20"/>
                <w:szCs w:val="20"/>
                <w:color w:val="auto"/>
              </w:rPr>
            </w:pPr>
          </w:p>
        </w:tc>
        <w:tc>
          <w:tcPr>
            <w:tcW w:w="222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6280" w:type="dxa"/>
            <w:vAlign w:val="bottom"/>
          </w:tcPr>
          <w:p>
            <w:pPr>
              <w:ind w:left="380"/>
              <w:spacing w:after="0"/>
              <w:rPr>
                <w:sz w:val="20"/>
                <w:szCs w:val="20"/>
                <w:color w:val="auto"/>
              </w:rPr>
            </w:pPr>
            <w:r>
              <w:rPr>
                <w:rFonts w:ascii="Arial" w:cs="Arial" w:eastAsia="Arial" w:hAnsi="Arial"/>
                <w:sz w:val="16"/>
                <w:szCs w:val="16"/>
                <w:color w:val="auto"/>
              </w:rPr>
              <w:t>Foreign currency exchange</w:t>
            </w:r>
          </w:p>
        </w:tc>
        <w:tc>
          <w:tcPr>
            <w:tcW w:w="2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Computer expense</w:t>
            </w:r>
          </w:p>
        </w:tc>
        <w:tc>
          <w:tcPr>
            <w:tcW w:w="2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6280" w:type="dxa"/>
            <w:vAlign w:val="bottom"/>
          </w:tcPr>
          <w:p>
            <w:pPr>
              <w:ind w:left="3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3"/>
                <w:szCs w:val="23"/>
                <w:color w:val="auto"/>
              </w:rPr>
            </w:pPr>
          </w:p>
        </w:tc>
        <w:tc>
          <w:tcPr>
            <w:tcW w:w="2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4"/>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periods ended September 30, 2018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4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212.5</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retention compensation and excludes stock-based 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impaired assets and restaurant closings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4"/>
                <w:szCs w:val="14"/>
                <w:b w:val="1"/>
                <w:bCs w:val="1"/>
                <w:color w:val="auto"/>
              </w:rPr>
              <w:t>THIRTY-NINE WEEKS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53"/>
        </w:trPr>
        <w:tc>
          <w:tcPr>
            <w:tcW w:w="3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SEPTEMBER 30,</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SEPTEMBER 24,</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5"/>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7"/>
                <w:szCs w:val="17"/>
                <w:color w:val="auto"/>
              </w:rPr>
            </w:pPr>
          </w:p>
        </w:tc>
        <w:tc>
          <w:tcPr>
            <w:tcW w:w="1320" w:type="dxa"/>
            <w:vAlign w:val="bottom"/>
          </w:tcPr>
          <w:p>
            <w:pPr>
              <w:jc w:val="right"/>
              <w:ind w:right="52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23"/>
              <w:spacing w:after="0"/>
              <w:rPr>
                <w:sz w:val="20"/>
                <w:szCs w:val="20"/>
                <w:color w:val="auto"/>
              </w:rPr>
            </w:pPr>
            <w:r>
              <w:rPr>
                <w:rFonts w:ascii="Arial" w:cs="Arial" w:eastAsia="Arial" w:hAnsi="Arial"/>
                <w:sz w:val="14"/>
                <w:szCs w:val="14"/>
                <w:b w:val="1"/>
                <w:bCs w:val="1"/>
                <w:color w:val="auto"/>
              </w:rPr>
              <w:t>Change</w:t>
            </w:r>
          </w:p>
        </w:tc>
      </w:tr>
      <w:tr>
        <w:trPr>
          <w:trHeight w:val="206"/>
        </w:trPr>
        <w:tc>
          <w:tcPr>
            <w:tcW w:w="3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Provision for impaired assets and restaurant</w:t>
            </w:r>
          </w:p>
        </w:tc>
        <w:tc>
          <w:tcPr>
            <w:tcW w:w="3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06"/>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closings</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33"/>
        </w:trPr>
        <w:tc>
          <w:tcPr>
            <w:tcW w:w="3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thirty-nine weeks ended September 30, 2018, we recognized asset impairment and closure charges of $9.1 million related to the restructuring of certain international markets, including China.</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In connection with the Closure Initiatives, we recognized pre-tax impairment and restaurant and closure charges of $3.8 million </w:t>
      </w:r>
      <w:r>
        <w:rPr>
          <w:rFonts w:ascii="Arial" w:cs="Arial" w:eastAsia="Arial" w:hAnsi="Arial"/>
          <w:sz w:val="16"/>
          <w:szCs w:val="16"/>
          <w:color w:val="auto"/>
        </w:rPr>
        <w:t>and</w:t>
      </w:r>
      <w:r>
        <w:rPr>
          <w:rFonts w:ascii="Arial" w:cs="Arial" w:eastAsia="Arial" w:hAnsi="Arial"/>
          <w:sz w:val="18"/>
          <w:szCs w:val="18"/>
          <w:color w:val="auto"/>
        </w:rPr>
        <w:t xml:space="preserve"> $21.8 million during the thirteen and thirty-nine weeks ended September 24, 2017, respectively. We expect to incur additional charges of approximately $2.2 million to $2.8 million for the Closure Initiatives through Q3 2019, including costs associated with lease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During the thirteen and thirty-nine weeks ended September 24, 2017, we recognized impairment charges of $9.5 million within the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segment in connection with the remeasurement of certain surplus properties currently leased to the owners of our former restaurant concepts.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The remaining restaurant impairment and closing charges resulted primarily from locations identified for remodel, relocation or closure.</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Note 3 - </w:t>
      </w:r>
      <w:r>
        <w:rPr>
          <w:rFonts w:ascii="Arial" w:cs="Arial" w:eastAsia="Arial" w:hAnsi="Arial"/>
          <w:sz w:val="20"/>
          <w:szCs w:val="20"/>
          <w:i w:val="1"/>
          <w:iCs w:val="1"/>
          <w:color w:val="auto"/>
        </w:rPr>
        <w:t>Impairments and Exit Costs</w:t>
      </w:r>
      <w:r>
        <w:rPr>
          <w:rFonts w:ascii="Arial" w:cs="Arial" w:eastAsia="Arial" w:hAnsi="Arial"/>
          <w:sz w:val="20"/>
          <w:szCs w:val="20"/>
          <w:color w:val="auto"/>
        </w:rPr>
        <w:t xml:space="preserve"> of the Notes to Consolidated Financial Statements for further information.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THIRTY-NINE WEEKS ENDED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8"/>
        </w:trPr>
        <w:tc>
          <w:tcPr>
            <w:tcW w:w="2960" w:type="dxa"/>
            <w:vAlign w:val="bottom"/>
          </w:tcPr>
          <w:p>
            <w:pPr>
              <w:spacing w:after="0"/>
              <w:rPr>
                <w:sz w:val="22"/>
                <w:szCs w:val="22"/>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24, 2017</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89"/>
        </w:trPr>
        <w:tc>
          <w:tcPr>
            <w:tcW w:w="29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(Restated) (1)</w:t>
            </w:r>
          </w:p>
        </w:tc>
        <w:tc>
          <w:tcPr>
            <w:tcW w:w="18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(Restated) (1)</w:t>
            </w:r>
          </w:p>
        </w:tc>
        <w:tc>
          <w:tcPr>
            <w:tcW w:w="16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r>
        <w:trPr>
          <w:trHeight w:val="237"/>
        </w:trPr>
        <w:tc>
          <w:tcPr>
            <w:tcW w:w="2960" w:type="dxa"/>
            <w:vAlign w:val="bottom"/>
            <w:tcBorders>
              <w:top w:val="single" w:sz="8" w:color="CCEEFF"/>
              <w:bottom w:val="single" w:sz="8" w:color="CCEEFF"/>
            </w:tcBorders>
            <w:shd w:val="clear" w:color="auto" w:fill="CCEEFF"/>
          </w:tcPr>
          <w:p>
            <w:pPr>
              <w:jc w:val="center"/>
              <w:ind w:right="1241"/>
              <w:spacing w:after="0"/>
              <w:rPr>
                <w:sz w:val="20"/>
                <w:szCs w:val="20"/>
                <w:color w:val="auto"/>
              </w:rPr>
            </w:pPr>
            <w:r>
              <w:rPr>
                <w:rFonts w:ascii="Arial" w:cs="Arial" w:eastAsia="Arial" w:hAnsi="Arial"/>
                <w:sz w:val="16"/>
                <w:szCs w:val="16"/>
                <w:color w:val="auto"/>
                <w:w w:val="92"/>
              </w:rPr>
              <w:t>Income from operations</w:t>
            </w:r>
          </w:p>
        </w:tc>
        <w:tc>
          <w:tcPr>
            <w:tcW w:w="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0.4</w:t>
            </w:r>
          </w:p>
        </w:tc>
      </w:tr>
      <w:tr>
        <w:trPr>
          <w:trHeight w:val="237"/>
        </w:trPr>
        <w:tc>
          <w:tcPr>
            <w:tcW w:w="2960" w:type="dxa"/>
            <w:vAlign w:val="bottom"/>
          </w:tcPr>
          <w:p>
            <w:pPr>
              <w:jc w:val="center"/>
              <w:ind w:right="1241"/>
              <w:spacing w:after="0"/>
              <w:rPr>
                <w:sz w:val="20"/>
                <w:szCs w:val="20"/>
                <w:color w:val="auto"/>
              </w:rPr>
            </w:pPr>
            <w:r>
              <w:rPr>
                <w:rFonts w:ascii="Arial" w:cs="Arial" w:eastAsia="Arial" w:hAnsi="Arial"/>
                <w:sz w:val="16"/>
                <w:szCs w:val="16"/>
                <w:color w:val="auto"/>
                <w:w w:val="89"/>
              </w:rPr>
              <w:t>% of Total revenues</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ind w:left="900"/>
              <w:spacing w:after="0"/>
              <w:rPr>
                <w:sz w:val="20"/>
                <w:szCs w:val="20"/>
                <w:color w:val="auto"/>
              </w:rPr>
            </w:pPr>
            <w:r>
              <w:rPr>
                <w:rFonts w:ascii="Arial" w:cs="Arial" w:eastAsia="Arial" w:hAnsi="Arial"/>
                <w:sz w:val="16"/>
                <w:szCs w:val="16"/>
                <w:color w:val="auto"/>
                <w:w w:val="98"/>
              </w:rPr>
              <w:t>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ind w:left="400"/>
              <w:spacing w:after="0"/>
              <w:rPr>
                <w:sz w:val="20"/>
                <w:szCs w:val="20"/>
                <w:color w:val="auto"/>
              </w:rPr>
            </w:pPr>
            <w:r>
              <w:rPr>
                <w:rFonts w:ascii="Arial" w:cs="Arial" w:eastAsia="Arial" w:hAnsi="Arial"/>
                <w:sz w:val="16"/>
                <w:szCs w:val="16"/>
                <w:color w:val="auto"/>
                <w:w w:val="93"/>
              </w:rPr>
              <w:t>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420"/>
              <w:spacing w:after="0"/>
              <w:rPr>
                <w:sz w:val="20"/>
                <w:szCs w:val="20"/>
                <w:color w:val="auto"/>
              </w:rPr>
            </w:pPr>
            <w:r>
              <w:rPr>
                <w:rFonts w:ascii="Arial" w:cs="Arial" w:eastAsia="Arial" w:hAnsi="Arial"/>
                <w:sz w:val="16"/>
                <w:szCs w:val="16"/>
                <w:color w:val="auto"/>
                <w:w w:val="93"/>
              </w:rPr>
              <w:t>0.1%</w:t>
            </w:r>
          </w:p>
        </w:tc>
      </w:tr>
      <w:tr>
        <w:trPr>
          <w:trHeight w:val="226"/>
        </w:trPr>
        <w:tc>
          <w:tcPr>
            <w:tcW w:w="2960" w:type="dxa"/>
            <w:vAlign w:val="bottom"/>
          </w:tcPr>
          <w:p>
            <w:pPr>
              <w:jc w:val="center"/>
              <w:ind w:right="1261"/>
              <w:spacing w:after="0"/>
              <w:rPr>
                <w:sz w:val="20"/>
                <w:szCs w:val="20"/>
                <w:color w:val="auto"/>
              </w:rPr>
            </w:pPr>
            <w:r>
              <w:rPr>
                <w:rFonts w:ascii="Arial" w:cs="Arial" w:eastAsia="Arial" w:hAnsi="Arial"/>
                <w:sz w:val="16"/>
                <w:szCs w:val="16"/>
                <w:color w:val="auto"/>
                <w:w w:val="91"/>
              </w:rPr>
              <w:t>____________________</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ind w:left="660" w:hanging="652"/>
        <w:spacing w:after="0" w:line="257"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of the Notes to Consolidated Financial Statements for details regarding the impact of implementing ASU No. 2014-09.</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income from operations generated in the thirteen weeks ended September 30, 2018 as compared to the thirteen weeks ended September 24, 2017 was primarily due to: (i) lower impairment charges and restaurant closing costs, (ii) the impact of certain cost saving initiatives and (iii) increases in average check per person. These increases were partially offset by: (i) commodity and labor inflation, (ii) higher incentive compensation expense and (iii) lower comparable sales in Brazil.</w:t>
      </w:r>
    </w:p>
    <w:p>
      <w:pPr>
        <w:spacing w:after="0" w:line="205"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The increase in income from operations generated in the thirty-nine weeks ended September 30, 2018 as compared to the thirty-nine weeks ended September 24, 2017 was primarily due to: (i) increases in average check per person, (ii) lower impairment charges and restaurant closing costs and (iii) the impact of certain cost saving initiatives. These increases were partially offset by: (i) commodity, labor and operating expense inflation, (ii) higher depreciation and amortization expense, (iii) increased rent expense and (iv) higher incentive compensation expense.</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(expense) income, net</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Other (expense) income, net, includes items deemed to be non-operating based on management’s assessment of the nature of the item in relation to our core operations. Other income, net, for the thirteen and thirty-nine weeks ended September 24, 2017 includes a net gain of $8.4 million from the sale of one U.S Company-owned Carrabba’s Italian Grill location, and for the thirty-nine weeks ended September 24, 2017 an aggregate net gain of $7.4 million in connection with the sale of 54 of our U.S. Company-owned locations to two of </w:t>
      </w:r>
      <w:r>
        <w:rPr>
          <w:rFonts w:ascii="Arial" w:cs="Arial" w:eastAsia="Arial" w:hAnsi="Arial"/>
          <w:sz w:val="20"/>
          <w:szCs w:val="20"/>
          <w:color w:val="252525"/>
        </w:rPr>
        <w:t>our existing franchisees in</w:t>
      </w:r>
      <w:r>
        <w:rPr>
          <w:rFonts w:ascii="Arial" w:cs="Arial" w:eastAsia="Arial" w:hAnsi="Arial"/>
          <w:sz w:val="20"/>
          <w:szCs w:val="20"/>
          <w:color w:val="auto"/>
        </w:rPr>
        <w:t xml:space="preserve"> </w:t>
      </w:r>
      <w:r>
        <w:rPr>
          <w:rFonts w:ascii="Arial" w:cs="Arial" w:eastAsia="Arial" w:hAnsi="Arial"/>
          <w:sz w:val="20"/>
          <w:szCs w:val="20"/>
          <w:color w:val="252525"/>
        </w:rPr>
        <w:t>2017.</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continue to pursue refranchising opportunities in select markets as we look to further optimize our restaurant portfolio. As a result of these transactions, we may record future net gains or losses, impairment charges or transaction related expenses.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4"/>
                <w:szCs w:val="14"/>
                <w:b w:val="1"/>
                <w:bCs w:val="1"/>
                <w:color w:val="auto"/>
              </w:rPr>
              <w:t>THIRTY-NINE WEEKS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53"/>
        </w:trPr>
        <w:tc>
          <w:tcPr>
            <w:tcW w:w="3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SEPTEMBER 30,</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SEPTEMBER 24,</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5"/>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7"/>
                <w:szCs w:val="17"/>
                <w:color w:val="auto"/>
              </w:rPr>
            </w:pPr>
          </w:p>
        </w:tc>
        <w:tc>
          <w:tcPr>
            <w:tcW w:w="1320" w:type="dxa"/>
            <w:vAlign w:val="bottom"/>
          </w:tcPr>
          <w:p>
            <w:pPr>
              <w:jc w:val="right"/>
              <w:ind w:right="52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23"/>
              <w:spacing w:after="0"/>
              <w:rPr>
                <w:sz w:val="20"/>
                <w:szCs w:val="20"/>
                <w:color w:val="auto"/>
              </w:rPr>
            </w:pPr>
            <w:r>
              <w:rPr>
                <w:rFonts w:ascii="Arial" w:cs="Arial" w:eastAsia="Arial" w:hAnsi="Arial"/>
                <w:sz w:val="14"/>
                <w:szCs w:val="14"/>
                <w:b w:val="1"/>
                <w:bCs w:val="1"/>
                <w:color w:val="auto"/>
              </w:rPr>
              <w:t>Change</w:t>
            </w:r>
          </w:p>
        </w:tc>
      </w:tr>
      <w:tr>
        <w:trPr>
          <w:trHeight w:val="224"/>
        </w:trPr>
        <w:tc>
          <w:tcPr>
            <w:tcW w:w="3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11.6</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0.9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33.2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29.4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3.8</w:t>
            </w:r>
          </w:p>
        </w:tc>
      </w:tr>
      <w:tr>
        <w:trPr>
          <w:trHeight w:val="33"/>
        </w:trPr>
        <w:tc>
          <w:tcPr>
            <w:tcW w:w="3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increase in Interest expense, net for the thirteen weeks ended September 30, 2018 is primarily due to higher interest rates, partially offset by lower interest expense from our derivative instruments.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increase in Interest expense, net for the thirty-nine weeks ended September 30, 2018 is primarily due to: (i) additional draws on our revolving credit facility, (ii) our May 2017 incremental term loan borrowing and (iii) higher interest rates. These increases were partially offset by: (i) lower interest expense from our derivative instruments and (ii) repayment of our PRP mortgage loan.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 provision for income taxes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THIRTY-NINE WEEKS ENDED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53"/>
        </w:trPr>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SEPTEMBER 24,</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5"/>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7"/>
                <w:szCs w:val="17"/>
                <w:color w:val="auto"/>
              </w:rPr>
            </w:pPr>
          </w:p>
        </w:tc>
        <w:tc>
          <w:tcPr>
            <w:tcW w:w="1300" w:type="dxa"/>
            <w:vAlign w:val="bottom"/>
          </w:tcPr>
          <w:p>
            <w:pPr>
              <w:ind w:left="44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100" w:type="dxa"/>
            <w:vAlign w:val="bottom"/>
          </w:tcPr>
          <w:p>
            <w:pPr>
              <w:jc w:val="right"/>
              <w:ind w:right="243"/>
              <w:spacing w:after="0"/>
              <w:rPr>
                <w:sz w:val="20"/>
                <w:szCs w:val="20"/>
                <w:color w:val="auto"/>
              </w:rPr>
            </w:pPr>
            <w:r>
              <w:rPr>
                <w:rFonts w:ascii="Arial" w:cs="Arial" w:eastAsia="Arial" w:hAnsi="Arial"/>
                <w:sz w:val="14"/>
                <w:szCs w:val="14"/>
                <w:b w:val="1"/>
                <w:bCs w:val="1"/>
                <w:color w:val="auto"/>
              </w:rPr>
              <w:t>Change</w:t>
            </w:r>
          </w:p>
        </w:tc>
      </w:tr>
      <w:tr>
        <w:trPr>
          <w:trHeight w:val="250"/>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(6,516)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17,744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Effective income tax rate</w:t>
            </w:r>
          </w:p>
        </w:tc>
        <w:tc>
          <w:tcPr>
            <w:tcW w:w="140" w:type="dxa"/>
            <w:vAlign w:val="bottom"/>
          </w:tcPr>
          <w:p>
            <w:pPr>
              <w:spacing w:after="0"/>
              <w:rPr>
                <w:sz w:val="20"/>
                <w:szCs w:val="20"/>
                <w:color w:val="auto"/>
              </w:rPr>
            </w:pPr>
          </w:p>
        </w:tc>
        <w:tc>
          <w:tcPr>
            <w:tcW w:w="1420" w:type="dxa"/>
            <w:vAlign w:val="bottom"/>
            <w:gridSpan w:val="2"/>
          </w:tcPr>
          <w:p>
            <w:pPr>
              <w:jc w:val="center"/>
              <w:ind w:left="544"/>
              <w:spacing w:after="0"/>
              <w:rPr>
                <w:sz w:val="20"/>
                <w:szCs w:val="20"/>
                <w:color w:val="auto"/>
              </w:rPr>
            </w:pPr>
            <w:r>
              <w:rPr>
                <w:rFonts w:ascii="Arial" w:cs="Arial" w:eastAsia="Arial" w:hAnsi="Arial"/>
                <w:sz w:val="16"/>
                <w:szCs w:val="16"/>
                <w:color w:val="auto"/>
              </w:rPr>
              <w:t>(NM)</w:t>
            </w:r>
          </w:p>
        </w:tc>
        <w:tc>
          <w:tcPr>
            <w:tcW w:w="140" w:type="dxa"/>
            <w:vAlign w:val="bottom"/>
          </w:tcPr>
          <w:p>
            <w:pPr>
              <w:spacing w:after="0"/>
              <w:rPr>
                <w:sz w:val="20"/>
                <w:szCs w:val="20"/>
                <w:color w:val="auto"/>
              </w:rPr>
            </w:pPr>
          </w:p>
        </w:tc>
        <w:tc>
          <w:tcPr>
            <w:tcW w:w="1420" w:type="dxa"/>
            <w:vAlign w:val="bottom"/>
            <w:gridSpan w:val="2"/>
          </w:tcPr>
          <w:p>
            <w:pPr>
              <w:jc w:val="center"/>
              <w:ind w:left="543"/>
              <w:spacing w:after="0"/>
              <w:rPr>
                <w:sz w:val="20"/>
                <w:szCs w:val="20"/>
                <w:color w:val="auto"/>
              </w:rPr>
            </w:pPr>
            <w:r>
              <w:rPr>
                <w:rFonts w:ascii="Arial" w:cs="Arial" w:eastAsia="Arial" w:hAnsi="Arial"/>
                <w:sz w:val="16"/>
                <w:szCs w:val="16"/>
                <w:color w:val="auto"/>
              </w:rPr>
              <w:t>(NM)</w:t>
            </w:r>
          </w:p>
        </w:tc>
        <w:tc>
          <w:tcPr>
            <w:tcW w:w="1020" w:type="dxa"/>
            <w:vAlign w:val="bottom"/>
            <w:gridSpan w:val="2"/>
          </w:tcPr>
          <w:p>
            <w:pPr>
              <w:ind w:left="520"/>
              <w:spacing w:after="0"/>
              <w:rPr>
                <w:sz w:val="20"/>
                <w:szCs w:val="20"/>
                <w:color w:val="auto"/>
              </w:rPr>
            </w:pPr>
            <w:r>
              <w:rPr>
                <w:rFonts w:ascii="Arial" w:cs="Arial" w:eastAsia="Arial" w:hAnsi="Arial"/>
                <w:sz w:val="16"/>
                <w:szCs w:val="16"/>
                <w:color w:val="auto"/>
              </w:rPr>
              <w:t>(NM)</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12"/>
        </w:trPr>
        <w:tc>
          <w:tcPr>
            <w:tcW w:w="2880" w:type="dxa"/>
            <w:vAlign w:val="bottom"/>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6"/>
        </w:trPr>
        <w:tc>
          <w:tcPr>
            <w:tcW w:w="2880" w:type="dxa"/>
            <w:vAlign w:val="bottom"/>
          </w:tcPr>
          <w:p>
            <w:pPr>
              <w:spacing w:after="0"/>
              <w:rPr>
                <w:sz w:val="20"/>
                <w:szCs w:val="20"/>
                <w:color w:val="auto"/>
              </w:rPr>
            </w:pPr>
            <w:r>
              <w:rPr>
                <w:rFonts w:ascii="Arial" w:cs="Arial" w:eastAsia="Arial" w:hAnsi="Arial"/>
                <w:sz w:val="16"/>
                <w:szCs w:val="16"/>
                <w:color w:val="auto"/>
              </w:rPr>
              <w:t>NM  Not meaningful.</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205"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 increase in the benefit for income taxes for the thirteen weeks ended September 30, 2018 as compared to the thirteen weeks ended September 24, 2017 was primarily due to a reduction in the U.S. federal corporate tax rate from the Tax Act, lower forecasted pre-tax income in 2018 and the impact of certain favorable discrete tax items recorded in 2018, partially offset by changes to our estimate of the forecasted full-year effective tax rate relative to prior quarters in 2017.</w:t>
      </w:r>
    </w:p>
    <w:p>
      <w:pPr>
        <w:spacing w:after="0" w:line="205"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 effective income tax rate for the thirty-nine weeks ended September 30, 2018 decreased by 23.6 percentage points as compared to the thirty-nine weeks ended September 24, 2017. The decrease was primarily due to a reduction in the U.S. federal corporate tax rate from the Tax Act, lower actual and forecasted pre-tax income and excess tax benefits from equity-based compensation arrangements recorded in 2018, partially offset by a domestic manufacturing deduction recorded in 2017.</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SEGMENT PERFORMANCE</w:t>
      </w:r>
    </w:p>
    <w:p>
      <w:pPr>
        <w:spacing w:after="0" w:line="229"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color w:val="auto"/>
        </w:rPr>
        <w:t>We identify our restaurant concepts and international markets as operating segments, which reflects how we manage our business, review operating performance and allocate resources. Resources are allocated and performance is assessed by our CEO, whom we have determined to be our CODM. We aggregate our operating segments into two reportable segments, U.S. and International. The U.S. segment includes all brands operating in the U.S. while brands operating outside the U.S. are included in the International segment. Resources are allocated and performance is assessed by our CEO, whom we have determined to be our CODM. The following is a summary of reporting segments: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REPORTABLE SEGMENT (1)</w:t>
            </w:r>
          </w:p>
        </w:tc>
        <w:tc>
          <w:tcPr>
            <w:tcW w:w="1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CONCEPT</w:t>
            </w: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26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40" w:type="dxa"/>
            <w:vAlign w:val="bottom"/>
            <w:tcBorders>
              <w:right w:val="single" w:sz="8" w:color="auto"/>
            </w:tcBorders>
          </w:tcPr>
          <w:p>
            <w:pPr>
              <w:spacing w:after="0"/>
              <w:rPr>
                <w:sz w:val="24"/>
                <w:szCs w:val="24"/>
                <w:color w:val="auto"/>
              </w:rPr>
            </w:pPr>
          </w:p>
        </w:tc>
        <w:tc>
          <w:tcPr>
            <w:tcW w:w="260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600" w:type="dxa"/>
            <w:vAlign w:val="bottom"/>
          </w:tcPr>
          <w:p>
            <w:pPr>
              <w:jc w:val="right"/>
              <w:ind w:right="1181"/>
              <w:spacing w:after="0"/>
              <w:rPr>
                <w:sz w:val="20"/>
                <w:szCs w:val="20"/>
                <w:color w:val="auto"/>
              </w:rPr>
            </w:pPr>
            <w:r>
              <w:rPr>
                <w:rFonts w:ascii="Arial" w:cs="Arial" w:eastAsia="Arial" w:hAnsi="Arial"/>
                <w:sz w:val="16"/>
                <w:szCs w:val="16"/>
                <w:color w:val="auto"/>
                <w:w w:val="87"/>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0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Revenues for both segments include only transactions with customers and exclude intersegment revenues. Excluded from income from operations for U.S. and International are legal and certain corporate costs not directly related to the performance of the segments, certain stock-based compensation expenses and certain bonus expenses.</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40"/>
          </w:cols>
          <w:pgMar w:left="240" w:top="122" w:right="21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Refer to Note 16 </w:t>
      </w:r>
      <w:r>
        <w:rPr>
          <w:rFonts w:ascii="Arial" w:cs="Arial" w:eastAsia="Arial" w:hAnsi="Arial"/>
          <w:sz w:val="18"/>
          <w:szCs w:val="18"/>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of the Notes to Consolidated Financial Statements for a reconciliation of segment income from operations to the consolidated operating results.</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Restaurant-level operating margin is widely regarded in the industry as a useful metric to evaluate restaurant-level operating efficiency and performance of ongoing restaurant-level operations, and we use it for these purposes, overall and particularly within our two segments. See the </w:t>
      </w:r>
      <w:r>
        <w:rPr>
          <w:rFonts w:ascii="Arial" w:cs="Arial" w:eastAsia="Arial" w:hAnsi="Arial"/>
          <w:sz w:val="20"/>
          <w:szCs w:val="20"/>
          <w:i w:val="1"/>
          <w:iCs w:val="1"/>
          <w:color w:val="auto"/>
        </w:rPr>
        <w:t xml:space="preserve">Overview-Key Performance Indicators </w:t>
      </w:r>
      <w:r>
        <w:rPr>
          <w:rFonts w:ascii="Arial" w:cs="Arial" w:eastAsia="Arial" w:hAnsi="Arial"/>
          <w:sz w:val="20"/>
          <w:szCs w:val="20"/>
          <w:color w:val="auto"/>
        </w:rPr>
        <w:t>section of Management’s Discussion and Analysis for additional details regarding the calculation of</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restaurant-level operating margin.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THIRTY-NINE WEEKS ENDED</w:t>
            </w:r>
          </w:p>
        </w:tc>
      </w:tr>
      <w:tr>
        <w:trPr>
          <w:trHeight w:val="258"/>
        </w:trPr>
        <w:tc>
          <w:tcPr>
            <w:tcW w:w="2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SEPTEMBER 24, 2017</w:t>
            </w:r>
          </w:p>
        </w:tc>
      </w:tr>
      <w:tr>
        <w:trPr>
          <w:trHeight w:val="289"/>
        </w:trPr>
        <w:tc>
          <w:tcPr>
            <w:tcW w:w="2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(Restated) (1)</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260"/>
              <w:spacing w:after="0"/>
              <w:rPr>
                <w:sz w:val="20"/>
                <w:szCs w:val="20"/>
                <w:color w:val="auto"/>
              </w:rPr>
            </w:pPr>
            <w:r>
              <w:rPr>
                <w:rFonts w:ascii="Arial" w:cs="Arial" w:eastAsia="Arial" w:hAnsi="Arial"/>
                <w:sz w:val="14"/>
                <w:szCs w:val="14"/>
                <w:b w:val="1"/>
                <w:bCs w:val="1"/>
                <w:color w:val="auto"/>
              </w:rPr>
              <w:t>(Restated) (1)</w:t>
            </w:r>
          </w:p>
        </w:tc>
      </w:tr>
      <w:tr>
        <w:trPr>
          <w:trHeight w:val="250"/>
        </w:trPr>
        <w:tc>
          <w:tcPr>
            <w:tcW w:w="20" w:type="dxa"/>
            <w:vAlign w:val="bottom"/>
          </w:tcPr>
          <w:p>
            <w:pPr>
              <w:spacing w:after="0"/>
              <w:rPr>
                <w:sz w:val="21"/>
                <w:szCs w:val="21"/>
                <w:color w:val="auto"/>
              </w:rPr>
            </w:pPr>
          </w:p>
        </w:tc>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Arial" w:cs="Arial" w:eastAsia="Arial" w:hAnsi="Arial"/>
                <w:sz w:val="16"/>
                <w:szCs w:val="16"/>
                <w:color w:val="auto"/>
              </w:rPr>
              <w:t>Restaurant sales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848,837</w:t>
            </w:r>
          </w:p>
        </w:tc>
        <w:tc>
          <w:tcPr>
            <w:tcW w:w="10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826,076</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2,742,118</w:t>
            </w:r>
          </w:p>
        </w:tc>
        <w:tc>
          <w:tcPr>
            <w:tcW w:w="1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2,769,895</w:t>
            </w: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Franchise and other revenues</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12,656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12,733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40,437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33,383</w:t>
            </w:r>
          </w:p>
        </w:tc>
      </w:tr>
      <w:tr>
        <w:trPr>
          <w:trHeight w:val="224"/>
        </w:trPr>
        <w:tc>
          <w:tcPr>
            <w:tcW w:w="20" w:type="dxa"/>
            <w:vAlign w:val="bottom"/>
          </w:tcPr>
          <w:p>
            <w:pPr>
              <w:spacing w:after="0"/>
              <w:rPr>
                <w:sz w:val="19"/>
                <w:szCs w:val="19"/>
                <w:color w:val="auto"/>
              </w:rPr>
            </w:pPr>
          </w:p>
        </w:tc>
        <w:tc>
          <w:tcPr>
            <w:tcW w:w="5020" w:type="dxa"/>
            <w:vAlign w:val="bottom"/>
          </w:tcPr>
          <w:p>
            <w:pPr>
              <w:ind w:left="360"/>
              <w:spacing w:after="0"/>
              <w:rPr>
                <w:sz w:val="20"/>
                <w:szCs w:val="20"/>
                <w:color w:val="auto"/>
              </w:rPr>
            </w:pPr>
            <w:r>
              <w:rPr>
                <w:rFonts w:ascii="Arial" w:cs="Arial" w:eastAsia="Arial" w:hAnsi="Arial"/>
                <w:sz w:val="16"/>
                <w:szCs w:val="16"/>
                <w:color w:val="auto"/>
              </w:rPr>
              <w:t>Total revenues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861,493</w:t>
            </w:r>
          </w:p>
        </w:tc>
        <w:tc>
          <w:tcPr>
            <w:tcW w:w="10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838,809</w:t>
            </w:r>
          </w:p>
        </w:tc>
        <w:tc>
          <w:tcPr>
            <w:tcW w:w="1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2,782,555</w:t>
            </w:r>
          </w:p>
        </w:tc>
        <w:tc>
          <w:tcPr>
            <w:tcW w:w="10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2,803,278</w:t>
            </w: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Restaurant-level operating margin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37"/>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Arial" w:cs="Arial" w:eastAsia="Arial" w:hAnsi="Arial"/>
                <w:sz w:val="16"/>
                <w:szCs w:val="16"/>
                <w:color w:val="auto"/>
              </w:rPr>
              <w:t>Income from operations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44,598</w:t>
            </w:r>
          </w:p>
        </w:tc>
        <w:tc>
          <w:tcPr>
            <w:tcW w:w="10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30,224</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230,645</w:t>
            </w:r>
          </w:p>
        </w:tc>
        <w:tc>
          <w:tcPr>
            <w:tcW w:w="1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213,248</w:t>
            </w: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Operating income margin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193"/>
        </w:trPr>
        <w:tc>
          <w:tcPr>
            <w:tcW w:w="2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____________________</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r>
    </w:tbl>
    <w:p>
      <w:pPr>
        <w:ind w:left="660" w:hanging="652"/>
        <w:spacing w:after="0" w:line="257"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of the Notes to Consolidated Financial Statements for details regarding the impact of implementing ASU No. 2014-09.</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U.S. segment Restaurant sales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7"/>
                <w:szCs w:val="17"/>
                <w:color w:val="auto"/>
              </w:rPr>
            </w:pPr>
          </w:p>
        </w:tc>
        <w:tc>
          <w:tcPr>
            <w:tcW w:w="2240" w:type="dxa"/>
            <w:vAlign w:val="bottom"/>
            <w:gridSpan w:val="2"/>
          </w:tcPr>
          <w:p>
            <w:pPr>
              <w:ind w:left="4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2420" w:type="dxa"/>
            <w:vAlign w:val="bottom"/>
          </w:tcPr>
          <w:p>
            <w:pPr>
              <w:jc w:val="right"/>
              <w:ind w:right="20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37"/>
        </w:trPr>
        <w:tc>
          <w:tcPr>
            <w:tcW w:w="3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shd w:val="clear" w:color="auto" w:fill="CCEEFF"/>
              </w:rPr>
              <w:t>For the periods ended September 24, 2017 (1)</w:t>
            </w:r>
          </w:p>
        </w:tc>
        <w:tc>
          <w:tcPr>
            <w:tcW w:w="33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4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2,769.9</w:t>
            </w:r>
          </w:p>
        </w:tc>
        <w:tc>
          <w:tcPr>
            <w:tcW w:w="0" w:type="dxa"/>
            <w:vAlign w:val="bottom"/>
          </w:tcPr>
          <w:p>
            <w:pPr>
              <w:spacing w:after="0"/>
              <w:rPr>
                <w:sz w:val="1"/>
                <w:szCs w:val="1"/>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Change from:</w:t>
            </w: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Comparable restaurant sales (2)</w:t>
            </w:r>
          </w:p>
        </w:tc>
        <w:tc>
          <w:tcPr>
            <w:tcW w:w="1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37"/>
        </w:trPr>
        <w:tc>
          <w:tcPr>
            <w:tcW w:w="6400" w:type="dxa"/>
            <w:vAlign w:val="bottom"/>
            <w:gridSpan w:val="2"/>
          </w:tcPr>
          <w:p>
            <w:pPr>
              <w:ind w:left="380"/>
              <w:spacing w:after="0"/>
              <w:rPr>
                <w:sz w:val="20"/>
                <w:szCs w:val="20"/>
                <w:color w:val="auto"/>
              </w:rPr>
            </w:pPr>
            <w:r>
              <w:rPr>
                <w:rFonts w:ascii="Arial" w:cs="Arial" w:eastAsia="Arial" w:hAnsi="Arial"/>
                <w:sz w:val="16"/>
                <w:szCs w:val="16"/>
                <w:color w:val="auto"/>
              </w:rPr>
              <w:t>Restaurant openings (2)</w:t>
            </w:r>
          </w:p>
        </w:tc>
        <w:tc>
          <w:tcPr>
            <w:tcW w:w="180" w:type="dxa"/>
            <w:vAlign w:val="bottom"/>
          </w:tcPr>
          <w:p>
            <w:pPr>
              <w:spacing w:after="0"/>
              <w:rPr>
                <w:sz w:val="20"/>
                <w:szCs w:val="20"/>
                <w:color w:val="auto"/>
              </w:rPr>
            </w:pPr>
          </w:p>
        </w:tc>
        <w:tc>
          <w:tcPr>
            <w:tcW w:w="2120" w:type="dxa"/>
            <w:vAlign w:val="bottom"/>
          </w:tcPr>
          <w:p>
            <w:pPr>
              <w:jc w:val="right"/>
              <w:ind w:right="2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jc w:val="right"/>
              <w:ind w:right="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Divestiture of restaurants through refranchising transactions</w:t>
            </w:r>
          </w:p>
        </w:tc>
        <w:tc>
          <w:tcPr>
            <w:tcW w:w="1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Restaurant closings</w:t>
            </w:r>
          </w:p>
        </w:tc>
        <w:tc>
          <w:tcPr>
            <w:tcW w:w="18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 the periods ended September 30,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848.8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2,742.1</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020" w:type="dxa"/>
            <w:vAlign w:val="bottom"/>
            <w:vMerge w:val="continue"/>
          </w:tcPr>
          <w:p>
            <w:pPr>
              <w:spacing w:after="0"/>
              <w:rPr>
                <w:sz w:val="15"/>
                <w:szCs w:val="15"/>
                <w:color w:val="auto"/>
              </w:rPr>
            </w:pPr>
          </w:p>
        </w:tc>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5"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Restaurant sales have been restated for the thirteen and thirty-nine weeks ended September 24, 2017. See Note 1 - </w:t>
      </w:r>
      <w:r>
        <w:rPr>
          <w:rFonts w:ascii="Arial" w:cs="Arial" w:eastAsia="Arial" w:hAnsi="Arial"/>
          <w:sz w:val="16"/>
          <w:szCs w:val="16"/>
          <w:i w:val="1"/>
          <w:iCs w:val="1"/>
          <w:color w:val="auto"/>
        </w:rPr>
        <w:t>Description of the Business and Basis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w:t>
      </w:r>
      <w:r>
        <w:rPr>
          <w:rFonts w:ascii="Arial" w:cs="Arial" w:eastAsia="Arial" w:hAnsi="Arial"/>
          <w:sz w:val="16"/>
          <w:szCs w:val="16"/>
          <w:color w:val="auto"/>
        </w:rPr>
        <w:t>of the Notes to Consolidated Financial Statements for details regarding the impact of implementing ASU No. 2014-09.</w:t>
      </w:r>
    </w:p>
    <w:p>
      <w:pPr>
        <w:ind w:left="660" w:hanging="652"/>
        <w:spacing w:after="0" w:line="257"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thirty-nine weeks ended September 30, 2018 includes an approximate $19.0 million negative impact on Restaurant sales from a one-week shift in the fiscal calendar.</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increase in U.S. Restaurant sales in the thirteen weeks ended September 30, 2018 was primarily attributable to higher comparable restaurant sales and the opening of 10 new restaurants not included in our comparable restaurant sales base, partially offset by the closing of 13 restaurants since June 25, 2017.</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The decrease in U.S. Restaurant sales in the thirty-nine weeks ended September 30, 2018 was primarily attributable to </w:t>
      </w:r>
      <w:r>
        <w:rPr>
          <w:rFonts w:ascii="Arial" w:cs="Arial" w:eastAsia="Arial" w:hAnsi="Arial"/>
          <w:sz w:val="20"/>
          <w:szCs w:val="20"/>
          <w:color w:val="252525"/>
        </w:rPr>
        <w:t>the refranchising of</w:t>
      </w:r>
      <w:r>
        <w:rPr>
          <w:rFonts w:ascii="Arial" w:cs="Arial" w:eastAsia="Arial" w:hAnsi="Arial"/>
          <w:sz w:val="20"/>
          <w:szCs w:val="20"/>
          <w:color w:val="auto"/>
        </w:rPr>
        <w:t xml:space="preserve"> </w:t>
      </w:r>
      <w:r>
        <w:rPr>
          <w:rFonts w:ascii="Arial" w:cs="Arial" w:eastAsia="Arial" w:hAnsi="Arial"/>
          <w:sz w:val="20"/>
          <w:szCs w:val="20"/>
          <w:color w:val="252525"/>
        </w:rPr>
        <w:t xml:space="preserve">certain Company-owned </w:t>
      </w:r>
      <w:r>
        <w:rPr>
          <w:rFonts w:ascii="Arial" w:cs="Arial" w:eastAsia="Arial" w:hAnsi="Arial"/>
          <w:sz w:val="20"/>
          <w:szCs w:val="20"/>
          <w:color w:val="000000"/>
        </w:rPr>
        <w:t>restaurants, the closing of 50 restaurants since December 25, 2016 and the one-week shift in the fiscal calendar. The</w:t>
      </w:r>
      <w:r>
        <w:rPr>
          <w:rFonts w:ascii="Arial" w:cs="Arial" w:eastAsia="Arial" w:hAnsi="Arial"/>
          <w:sz w:val="20"/>
          <w:szCs w:val="20"/>
          <w:color w:val="252525"/>
        </w:rPr>
        <w:t xml:space="preserve"> </w:t>
      </w:r>
      <w:r>
        <w:rPr>
          <w:rFonts w:ascii="Arial" w:cs="Arial" w:eastAsia="Arial" w:hAnsi="Arial"/>
          <w:sz w:val="20"/>
          <w:szCs w:val="20"/>
          <w:color w:val="000000"/>
        </w:rPr>
        <w:t>decrease in restaurant sales was partially offset by higher comparable restaurant sales and the opening of 15 new restaurants not included in our comparable restaurant sales base.</w:t>
      </w:r>
    </w:p>
    <w:p>
      <w:pPr>
        <w:sectPr>
          <w:pgSz w:w="11900" w:h="16838" w:orient="portrait"/>
          <w:cols w:equalWidth="0" w:num="1">
            <w:col w:w="11420"/>
          </w:cols>
          <w:pgMar w:left="240" w:top="122" w:right="2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U.S. income from operations generated in the thirteen weeks ended September 30, 2018 as compared to the thirteen weeks ended September 24, 2017, was primarily due to: (i) lower impairment charges and restaurant closing costs, primarily related to the remeasurement of certain surplus properties in 2017, (ii) the impact of certain cost saving initiatives and (iii) increases in average check per person, partially offset by commodity and labor expense inflation.</w:t>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increase in U.S. income from operations generated in the thirty-nine weeks ended September 30, 2018 as compared to the thirty-nine weeks ended September 24, 2017, was primarily due to: (i) lower impairment charges and restaurant closing costs, primarily related to the Closure Initiatives and the remeasurement of certain surplus properties in 2017, (ii) the impact of certain cost saving initiatives and (iii) increases in average check per person, partially offset by commodity, labor and operating expense inflation and higher depreciation and amortization expense.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THIRTY-NINE WEEKS ENDED</w:t>
            </w:r>
          </w:p>
        </w:tc>
      </w:tr>
      <w:tr>
        <w:trPr>
          <w:trHeight w:val="258"/>
        </w:trPr>
        <w:tc>
          <w:tcPr>
            <w:tcW w:w="2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SEPTEMBER 24, 2017</w:t>
            </w:r>
          </w:p>
        </w:tc>
      </w:tr>
      <w:tr>
        <w:trPr>
          <w:trHeight w:val="289"/>
        </w:trPr>
        <w:tc>
          <w:tcPr>
            <w:tcW w:w="2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(Restated) (1)</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260"/>
              <w:spacing w:after="0"/>
              <w:rPr>
                <w:sz w:val="20"/>
                <w:szCs w:val="20"/>
                <w:color w:val="auto"/>
              </w:rPr>
            </w:pPr>
            <w:r>
              <w:rPr>
                <w:rFonts w:ascii="Arial" w:cs="Arial" w:eastAsia="Arial" w:hAnsi="Arial"/>
                <w:sz w:val="14"/>
                <w:szCs w:val="14"/>
                <w:b w:val="1"/>
                <w:bCs w:val="1"/>
                <w:color w:val="auto"/>
              </w:rPr>
              <w:t>(Restated) (1)</w:t>
            </w:r>
          </w:p>
        </w:tc>
      </w:tr>
      <w:tr>
        <w:trPr>
          <w:trHeight w:val="250"/>
        </w:trPr>
        <w:tc>
          <w:tcPr>
            <w:tcW w:w="20" w:type="dxa"/>
            <w:vAlign w:val="bottom"/>
          </w:tcPr>
          <w:p>
            <w:pPr>
              <w:spacing w:after="0"/>
              <w:rPr>
                <w:sz w:val="21"/>
                <w:szCs w:val="21"/>
                <w:color w:val="auto"/>
              </w:rPr>
            </w:pPr>
          </w:p>
        </w:tc>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Arial" w:cs="Arial" w:eastAsia="Arial" w:hAnsi="Arial"/>
                <w:sz w:val="16"/>
                <w:szCs w:val="16"/>
                <w:color w:val="auto"/>
              </w:rPr>
              <w:t>Restaurant sales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100,563</w:t>
            </w:r>
          </w:p>
        </w:tc>
        <w:tc>
          <w:tcPr>
            <w:tcW w:w="10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113,936</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321,769</w:t>
            </w:r>
          </w:p>
        </w:tc>
        <w:tc>
          <w:tcPr>
            <w:tcW w:w="1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335,132</w:t>
            </w: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Franchise and other revenues</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2,965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2,842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8,976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8,346</w:t>
            </w:r>
          </w:p>
        </w:tc>
      </w:tr>
      <w:tr>
        <w:trPr>
          <w:trHeight w:val="224"/>
        </w:trPr>
        <w:tc>
          <w:tcPr>
            <w:tcW w:w="20" w:type="dxa"/>
            <w:vAlign w:val="bottom"/>
          </w:tcPr>
          <w:p>
            <w:pPr>
              <w:spacing w:after="0"/>
              <w:rPr>
                <w:sz w:val="19"/>
                <w:szCs w:val="19"/>
                <w:color w:val="auto"/>
              </w:rPr>
            </w:pPr>
          </w:p>
        </w:tc>
        <w:tc>
          <w:tcPr>
            <w:tcW w:w="5020" w:type="dxa"/>
            <w:vAlign w:val="bottom"/>
          </w:tcPr>
          <w:p>
            <w:pPr>
              <w:ind w:left="360"/>
              <w:spacing w:after="0"/>
              <w:rPr>
                <w:sz w:val="20"/>
                <w:szCs w:val="20"/>
                <w:color w:val="auto"/>
              </w:rPr>
            </w:pPr>
            <w:r>
              <w:rPr>
                <w:rFonts w:ascii="Arial" w:cs="Arial" w:eastAsia="Arial" w:hAnsi="Arial"/>
                <w:sz w:val="16"/>
                <w:szCs w:val="16"/>
                <w:color w:val="auto"/>
              </w:rPr>
              <w:t>Total revenues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103,528</w:t>
            </w:r>
          </w:p>
        </w:tc>
        <w:tc>
          <w:tcPr>
            <w:tcW w:w="10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116,778</w:t>
            </w:r>
          </w:p>
        </w:tc>
        <w:tc>
          <w:tcPr>
            <w:tcW w:w="1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330,745</w:t>
            </w:r>
          </w:p>
        </w:tc>
        <w:tc>
          <w:tcPr>
            <w:tcW w:w="10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343,478</w:t>
            </w: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Restaurant-level operating margin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37"/>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Arial" w:cs="Arial" w:eastAsia="Arial" w:hAnsi="Arial"/>
                <w:sz w:val="16"/>
                <w:szCs w:val="16"/>
                <w:color w:val="auto"/>
              </w:rPr>
              <w:t>Income from operations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7,776</w:t>
            </w:r>
          </w:p>
        </w:tc>
        <w:tc>
          <w:tcPr>
            <w:tcW w:w="10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8,394</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14,052</w:t>
            </w:r>
          </w:p>
        </w:tc>
        <w:tc>
          <w:tcPr>
            <w:tcW w:w="1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26,757</w:t>
            </w: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Operating income margin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193"/>
        </w:trPr>
        <w:tc>
          <w:tcPr>
            <w:tcW w:w="2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____________________</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r>
    </w:tbl>
    <w:p>
      <w:pPr>
        <w:ind w:left="660" w:hanging="652"/>
        <w:spacing w:after="0" w:line="257"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of the Notes to Consolidated Financial Statements for details regarding the impact of implementing ASU No. 2014-09.</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International segment Restaurant sales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7"/>
                <w:szCs w:val="17"/>
                <w:color w:val="auto"/>
              </w:rPr>
            </w:pPr>
          </w:p>
        </w:tc>
        <w:tc>
          <w:tcPr>
            <w:tcW w:w="2340" w:type="dxa"/>
            <w:vAlign w:val="bottom"/>
            <w:gridSpan w:val="2"/>
          </w:tcPr>
          <w:p>
            <w:pPr>
              <w:ind w:left="8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7"/>
                <w:szCs w:val="17"/>
                <w:color w:val="auto"/>
              </w:rPr>
            </w:pPr>
          </w:p>
        </w:tc>
        <w:tc>
          <w:tcPr>
            <w:tcW w:w="2420" w:type="dxa"/>
            <w:vAlign w:val="bottom"/>
          </w:tcPr>
          <w:p>
            <w:pPr>
              <w:jc w:val="right"/>
              <w:ind w:right="20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37"/>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periods ended September 24, 2017 (1)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4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335.1</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2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37"/>
        </w:trPr>
        <w:tc>
          <w:tcPr>
            <w:tcW w:w="6280" w:type="dxa"/>
            <w:vAlign w:val="bottom"/>
          </w:tcPr>
          <w:p>
            <w:pPr>
              <w:ind w:left="380"/>
              <w:spacing w:after="0"/>
              <w:rPr>
                <w:sz w:val="20"/>
                <w:szCs w:val="20"/>
                <w:color w:val="auto"/>
              </w:rPr>
            </w:pPr>
            <w:r>
              <w:rPr>
                <w:rFonts w:ascii="Arial" w:cs="Arial" w:eastAsia="Arial" w:hAnsi="Arial"/>
                <w:sz w:val="16"/>
                <w:szCs w:val="16"/>
                <w:color w:val="auto"/>
              </w:rPr>
              <w:t>Restaurant closings</w:t>
            </w:r>
          </w:p>
        </w:tc>
        <w:tc>
          <w:tcPr>
            <w:tcW w:w="2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Comparable restaurant sales</w:t>
            </w:r>
          </w:p>
        </w:tc>
        <w:tc>
          <w:tcPr>
            <w:tcW w:w="2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70"/>
        </w:trPr>
        <w:tc>
          <w:tcPr>
            <w:tcW w:w="62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Restaurant openings</w:t>
            </w:r>
          </w:p>
        </w:tc>
        <w:tc>
          <w:tcPr>
            <w:tcW w:w="200" w:type="dxa"/>
            <w:vAlign w:val="bottom"/>
            <w:tcBorders>
              <w:bottom w:val="single" w:sz="8" w:color="auto"/>
            </w:tcBorders>
          </w:tcPr>
          <w:p>
            <w:pPr>
              <w:spacing w:after="0"/>
              <w:rPr>
                <w:sz w:val="23"/>
                <w:szCs w:val="23"/>
                <w:color w:val="auto"/>
              </w:rPr>
            </w:pPr>
          </w:p>
        </w:tc>
        <w:tc>
          <w:tcPr>
            <w:tcW w:w="2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periods ended September 30,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321.8</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57"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Restaurant sales have been restated for the thirteen and thirty-nine weeks ended September 24, 2017. See Note 1 - </w:t>
      </w:r>
      <w:r>
        <w:rPr>
          <w:rFonts w:ascii="Arial" w:cs="Arial" w:eastAsia="Arial" w:hAnsi="Arial"/>
          <w:sz w:val="16"/>
          <w:szCs w:val="16"/>
          <w:i w:val="1"/>
          <w:iCs w:val="1"/>
          <w:color w:val="auto"/>
        </w:rPr>
        <w:t>Description of the Business and Basis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w:t>
      </w:r>
      <w:r>
        <w:rPr>
          <w:rFonts w:ascii="Arial" w:cs="Arial" w:eastAsia="Arial" w:hAnsi="Arial"/>
          <w:sz w:val="16"/>
          <w:szCs w:val="16"/>
          <w:color w:val="auto"/>
        </w:rPr>
        <w:t>of the Notes to Consolidated Financial Statements for details regarding the impact of implementing ASU No. 2014-09.</w:t>
      </w:r>
    </w:p>
    <w:p>
      <w:pPr>
        <w:spacing w:after="0" w:line="15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decrease in Restaurant sales in the thirteen weeks ended September 30, 2018 was primarily attributable to: (i) the effect of foreign currency translation of the Brazilian Real relative to the U.S. dollar, (ii) the closing of 13 restaurants since June 25, 2017 and (iii) lower comparable restaurant sales, partially offset by the opening of 20 new restaurants not included in our comparable restaurant sales base.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decrease in Restaurant sales in the thirty-nine weeks ended September 30, 2018 was primarily attributable to: (i) the effect of foreign currency translation of the Brazilian Real relative to the U.S. dollar, (ii) lower comparable restaurant sales and (iii) the closing of 13 restaurants since December 25, 2016, partially offset by the opening of 33 new restaurants not included in our comparable restaurant sales base.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decrease in International income from operations in the thirteen weeks ended September 30, 2018 as compared to the thirteen weeks ended September 24, 2017 was primarily due to lower comparable sales in Brazil and an increase in labor, commodity and operating expense inflation, partially offset by lower general and administrative expense and lower impairment charges and restaurant closing costs. General and administrative expense for the International segment decreased primarily from lower incentive compensation expense and the effects of currency exchange.</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International income from operations in the thirty-nine weeks ended September 30, 2018 as compared to the thirty-nine weeks ended September 24, 2017 was primarily due to: (i) certain impairment charges and restaurant closing costs, (ii) labor, operating expense and commodity inflation, (iii) an increase in advertising expense and (iv) changes in product mix. These decreases were offset by an increase in average check per person.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System-Wide Sales - </w:t>
      </w:r>
      <w:r>
        <w:rPr>
          <w:rFonts w:ascii="Arial" w:cs="Arial" w:eastAsia="Arial" w:hAnsi="Arial"/>
          <w:sz w:val="20"/>
          <w:szCs w:val="20"/>
          <w:color w:val="auto"/>
        </w:rPr>
        <w:t>System-wide sales is a non-GAAP financial measure that includes sales of all restaurants operating under our brand names,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2 </w:t>
      </w:r>
      <w:r>
        <w:rPr>
          <w:rFonts w:ascii="Arial" w:cs="Arial" w:eastAsia="Arial" w:hAnsi="Arial"/>
          <w:sz w:val="18"/>
          <w:szCs w:val="18"/>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of the Notes to Consolidated Financial Statements.</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 provides a summary of sales of franchised restaurants,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FRANCHISE SALES</w:t>
            </w:r>
          </w:p>
        </w:tc>
        <w:tc>
          <w:tcPr>
            <w:tcW w:w="3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20" w:type="dxa"/>
            <w:vAlign w:val="bottom"/>
          </w:tcPr>
          <w:p>
            <w:pPr>
              <w:jc w:val="right"/>
              <w:ind w:right="101"/>
              <w:spacing w:after="0" w:line="153" w:lineRule="exact"/>
              <w:rPr>
                <w:sz w:val="20"/>
                <w:szCs w:val="20"/>
                <w:color w:val="auto"/>
              </w:rPr>
            </w:pPr>
            <w:r>
              <w:rPr>
                <w:rFonts w:ascii="Arial" w:cs="Arial" w:eastAsia="Arial" w:hAnsi="Arial"/>
                <w:sz w:val="14"/>
                <w:szCs w:val="14"/>
                <w:b w:val="1"/>
                <w:bCs w:val="1"/>
                <w:color w:val="auto"/>
              </w:rPr>
              <w:t>SEPTEMBER 24,</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40" w:type="dxa"/>
            <w:vAlign w:val="bottom"/>
          </w:tcPr>
          <w:p>
            <w:pPr>
              <w:spacing w:after="0"/>
              <w:rPr>
                <w:sz w:val="17"/>
                <w:szCs w:val="17"/>
                <w:color w:val="auto"/>
              </w:rPr>
            </w:pPr>
          </w:p>
        </w:tc>
        <w:tc>
          <w:tcPr>
            <w:tcW w:w="1320" w:type="dxa"/>
            <w:vAlign w:val="bottom"/>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Outback Steakhouse (1)</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Bonefish Grill</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Steakhouse-South Korea</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6"/>
                <w:szCs w:val="16"/>
                <w:color w:val="auto"/>
              </w:rPr>
              <w:t>Total franchise sales (2)</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1"/>
                <w:szCs w:val="21"/>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Q2 2017, we sold 53 Outback Steakhouse restaurants and one Carrabba’s Italian Grill restaurant, which are now operated as franchises.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Franchise sales are not included in Total revenues in the Consolidated Statements of Operations and Comprehensive (Loss) Income.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restaurant-level operating margin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the percentages of certain operating cost financial statement line items in relation to Restaurant sales: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THIRTEEN WEEKS ENDED</w:t>
            </w:r>
          </w:p>
        </w:tc>
        <w:tc>
          <w:tcPr>
            <w:tcW w:w="164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340" w:type="dxa"/>
            <w:vAlign w:val="bottom"/>
            <w:tcBorders>
              <w:bottom w:val="single" w:sz="8" w:color="auto"/>
            </w:tcBorders>
            <w:gridSpan w:val="3"/>
          </w:tcPr>
          <w:p>
            <w:pPr>
              <w:jc w:val="right"/>
              <w:ind w:right="862"/>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2"/>
                <w:szCs w:val="22"/>
                <w:color w:val="auto"/>
              </w:rPr>
            </w:pPr>
          </w:p>
        </w:tc>
        <w:tc>
          <w:tcPr>
            <w:tcW w:w="336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4"/>
                <w:szCs w:val="14"/>
                <w:b w:val="1"/>
                <w:bCs w:val="1"/>
                <w:color w:val="auto"/>
              </w:rPr>
              <w:t>SEPTEMBER 24, 2017</w:t>
            </w: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740" w:type="dxa"/>
            <w:vAlign w:val="bottom"/>
            <w:gridSpan w:val="2"/>
          </w:tcPr>
          <w:p>
            <w:pPr>
              <w:ind w:left="340"/>
              <w:spacing w:after="0"/>
              <w:rPr>
                <w:sz w:val="20"/>
                <w:szCs w:val="20"/>
                <w:color w:val="auto"/>
              </w:rPr>
            </w:pPr>
            <w:r>
              <w:rPr>
                <w:rFonts w:ascii="Arial" w:cs="Arial" w:eastAsia="Arial" w:hAnsi="Arial"/>
                <w:sz w:val="14"/>
                <w:szCs w:val="14"/>
                <w:b w:val="1"/>
                <w:bCs w:val="1"/>
                <w:color w:val="auto"/>
              </w:rPr>
              <w:t>ADJUSTED (1)</w:t>
            </w: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640" w:type="dxa"/>
            <w:vAlign w:val="bottom"/>
          </w:tcPr>
          <w:p>
            <w:pPr>
              <w:jc w:val="right"/>
              <w:ind w:right="260"/>
              <w:spacing w:after="0"/>
              <w:rPr>
                <w:sz w:val="20"/>
                <w:szCs w:val="20"/>
                <w:color w:val="auto"/>
              </w:rPr>
            </w:pPr>
            <w:r>
              <w:rPr>
                <w:rFonts w:ascii="Arial" w:cs="Arial" w:eastAsia="Arial" w:hAnsi="Arial"/>
                <w:sz w:val="14"/>
                <w:szCs w:val="14"/>
                <w:b w:val="1"/>
                <w:bCs w:val="1"/>
                <w:color w:val="auto"/>
              </w:rPr>
              <w:t>ADJUSTED (1)</w:t>
            </w:r>
          </w:p>
        </w:tc>
      </w:tr>
      <w:tr>
        <w:trPr>
          <w:trHeight w:val="237"/>
        </w:trPr>
        <w:tc>
          <w:tcPr>
            <w:tcW w:w="20" w:type="dxa"/>
            <w:vAlign w:val="bottom"/>
          </w:tcPr>
          <w:p>
            <w:pPr>
              <w:spacing w:after="0"/>
              <w:rPr>
                <w:sz w:val="20"/>
                <w:szCs w:val="20"/>
                <w:color w:val="auto"/>
              </w:rPr>
            </w:pPr>
          </w:p>
        </w:tc>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84"/>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37"/>
        </w:trPr>
        <w:tc>
          <w:tcPr>
            <w:tcW w:w="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62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33"/>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84"/>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54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THIRTY-NINE WEEKS ENDED</w:t>
            </w:r>
          </w:p>
        </w:tc>
        <w:tc>
          <w:tcPr>
            <w:tcW w:w="164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340" w:type="dxa"/>
            <w:vAlign w:val="bottom"/>
            <w:tcBorders>
              <w:bottom w:val="single" w:sz="8" w:color="auto"/>
            </w:tcBorders>
            <w:gridSpan w:val="3"/>
          </w:tcPr>
          <w:p>
            <w:pPr>
              <w:jc w:val="right"/>
              <w:ind w:right="862"/>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2"/>
                <w:szCs w:val="22"/>
                <w:color w:val="auto"/>
              </w:rPr>
            </w:pPr>
          </w:p>
        </w:tc>
        <w:tc>
          <w:tcPr>
            <w:tcW w:w="336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4"/>
                <w:szCs w:val="14"/>
                <w:b w:val="1"/>
                <w:bCs w:val="1"/>
                <w:color w:val="auto"/>
              </w:rPr>
              <w:t>SEPTEMBER 24, 2017</w:t>
            </w: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740" w:type="dxa"/>
            <w:vAlign w:val="bottom"/>
            <w:gridSpan w:val="2"/>
          </w:tcPr>
          <w:p>
            <w:pPr>
              <w:ind w:left="340"/>
              <w:spacing w:after="0"/>
              <w:rPr>
                <w:sz w:val="20"/>
                <w:szCs w:val="20"/>
                <w:color w:val="auto"/>
              </w:rPr>
            </w:pPr>
            <w:r>
              <w:rPr>
                <w:rFonts w:ascii="Arial" w:cs="Arial" w:eastAsia="Arial" w:hAnsi="Arial"/>
                <w:sz w:val="14"/>
                <w:szCs w:val="14"/>
                <w:b w:val="1"/>
                <w:bCs w:val="1"/>
                <w:color w:val="auto"/>
              </w:rPr>
              <w:t>ADJUSTED (1)</w:t>
            </w: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640" w:type="dxa"/>
            <w:vAlign w:val="bottom"/>
          </w:tcPr>
          <w:p>
            <w:pPr>
              <w:jc w:val="right"/>
              <w:ind w:right="260"/>
              <w:spacing w:after="0"/>
              <w:rPr>
                <w:sz w:val="20"/>
                <w:szCs w:val="20"/>
                <w:color w:val="auto"/>
              </w:rPr>
            </w:pPr>
            <w:r>
              <w:rPr>
                <w:rFonts w:ascii="Arial" w:cs="Arial" w:eastAsia="Arial" w:hAnsi="Arial"/>
                <w:sz w:val="14"/>
                <w:szCs w:val="14"/>
                <w:b w:val="1"/>
                <w:bCs w:val="1"/>
                <w:color w:val="auto"/>
              </w:rPr>
              <w:t>ADJUSTED (1)</w:t>
            </w:r>
          </w:p>
        </w:tc>
      </w:tr>
      <w:tr>
        <w:trPr>
          <w:trHeight w:val="237"/>
        </w:trPr>
        <w:tc>
          <w:tcPr>
            <w:tcW w:w="20" w:type="dxa"/>
            <w:vAlign w:val="bottom"/>
          </w:tcPr>
          <w:p>
            <w:pPr>
              <w:spacing w:after="0"/>
              <w:rPr>
                <w:sz w:val="20"/>
                <w:szCs w:val="20"/>
                <w:color w:val="auto"/>
              </w:rPr>
            </w:pPr>
          </w:p>
        </w:tc>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9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37"/>
        </w:trPr>
        <w:tc>
          <w:tcPr>
            <w:tcW w:w="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62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33"/>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9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193"/>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_________________</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bl>
    <w:p>
      <w:pPr>
        <w:ind w:left="660" w:hanging="652"/>
        <w:spacing w:after="0" w:line="257"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Includes adjustments recorded in Other restaurant operating for the following activities, as described in the </w:t>
      </w:r>
      <w:r>
        <w:rPr>
          <w:rFonts w:ascii="Arial" w:cs="Arial" w:eastAsia="Arial" w:hAnsi="Arial"/>
          <w:sz w:val="16"/>
          <w:szCs w:val="16"/>
          <w:i w:val="1"/>
          <w:iCs w:val="1"/>
          <w:color w:val="auto"/>
        </w:rPr>
        <w:t>Adjusted income from operations, Adjusted net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Adjusted diluted earnings per share </w:t>
      </w:r>
      <w:r>
        <w:rPr>
          <w:rFonts w:ascii="Arial" w:cs="Arial" w:eastAsia="Arial" w:hAnsi="Arial"/>
          <w:sz w:val="16"/>
          <w:szCs w:val="16"/>
          <w:color w:val="auto"/>
        </w:rPr>
        <w:t>table below:</w:t>
      </w:r>
    </w:p>
    <w:p>
      <w:pPr>
        <w:spacing w:after="0" w:line="95" w:lineRule="exact"/>
        <w:rPr>
          <w:sz w:val="20"/>
          <w:szCs w:val="20"/>
          <w:color w:val="auto"/>
        </w:rPr>
      </w:pPr>
    </w:p>
    <w:tbl>
      <w:tblPr>
        <w:tblLayout w:type="fixed"/>
        <w:tblInd w:w="1050" w:type="dxa"/>
        <w:tblCellMar>
          <w:top w:w="0" w:type="dxa"/>
          <w:left w:w="0" w:type="dxa"/>
          <w:bottom w:w="0" w:type="dxa"/>
          <w:right w:w="0" w:type="dxa"/>
        </w:tblCellMar>
      </w:tblPr>
      <w:tr>
        <w:trPr>
          <w:trHeight w:val="277"/>
        </w:trPr>
        <w:tc>
          <w:tcPr>
            <w:tcW w:w="4100" w:type="dxa"/>
            <w:vAlign w:val="bottom"/>
            <w:tcBorders>
              <w:top w:val="single" w:sz="8" w:color="auto"/>
              <w:lef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780" w:type="dxa"/>
            <w:vAlign w:val="bottom"/>
            <w:tcBorders>
              <w:top w:val="single" w:sz="8" w:color="auto"/>
              <w:bottom w:val="single" w:sz="8" w:color="auto"/>
            </w:tcBorders>
            <w:gridSpan w:val="4"/>
          </w:tcPr>
          <w:p>
            <w:pPr>
              <w:jc w:val="right"/>
              <w:ind w:right="423"/>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780" w:type="dxa"/>
            <w:vAlign w:val="bottom"/>
            <w:tcBorders>
              <w:top w:val="single" w:sz="8" w:color="auto"/>
              <w:bottom w:val="single" w:sz="8" w:color="auto"/>
              <w:right w:val="single" w:sz="8" w:color="auto"/>
            </w:tcBorders>
            <w:gridSpan w:val="4"/>
          </w:tcPr>
          <w:p>
            <w:pPr>
              <w:jc w:val="right"/>
              <w:ind w:right="343"/>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410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3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24,</w:t>
            </w:r>
          </w:p>
        </w:tc>
        <w:tc>
          <w:tcPr>
            <w:tcW w:w="120" w:type="dxa"/>
            <w:vAlign w:val="bottom"/>
          </w:tcPr>
          <w:p>
            <w:pPr>
              <w:spacing w:after="0"/>
              <w:rPr>
                <w:sz w:val="13"/>
                <w:szCs w:val="13"/>
                <w:color w:val="auto"/>
              </w:rPr>
            </w:pPr>
          </w:p>
        </w:tc>
        <w:tc>
          <w:tcPr>
            <w:tcW w:w="13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80" w:type="dxa"/>
            <w:vAlign w:val="bottom"/>
            <w:tcBorders>
              <w:right w:val="single" w:sz="8" w:color="auto"/>
            </w:tcBorders>
          </w:tcPr>
          <w:p>
            <w:pPr>
              <w:jc w:val="right"/>
              <w:ind w:right="83"/>
              <w:spacing w:after="0" w:line="153" w:lineRule="exact"/>
              <w:rPr>
                <w:sz w:val="20"/>
                <w:szCs w:val="20"/>
                <w:color w:val="auto"/>
              </w:rPr>
            </w:pPr>
            <w:r>
              <w:rPr>
                <w:rFonts w:ascii="Arial" w:cs="Arial" w:eastAsia="Arial" w:hAnsi="Arial"/>
                <w:sz w:val="14"/>
                <w:szCs w:val="14"/>
                <w:b w:val="1"/>
                <w:bCs w:val="1"/>
                <w:color w:val="auto"/>
                <w:w w:val="99"/>
              </w:rPr>
              <w:t>SEPTEMBER 24,</w:t>
            </w:r>
          </w:p>
        </w:tc>
      </w:tr>
      <w:tr>
        <w:trPr>
          <w:trHeight w:val="205"/>
        </w:trPr>
        <w:tc>
          <w:tcPr>
            <w:tcW w:w="410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2017</w:t>
            </w:r>
          </w:p>
        </w:tc>
      </w:tr>
      <w:tr>
        <w:trPr>
          <w:trHeight w:val="237"/>
        </w:trPr>
        <w:tc>
          <w:tcPr>
            <w:tcW w:w="41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Restaurant and asset impairments and closing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right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4.8</w:t>
            </w:r>
          </w:p>
        </w:tc>
      </w:tr>
      <w:tr>
        <w:trPr>
          <w:trHeight w:val="270"/>
        </w:trPr>
        <w:tc>
          <w:tcPr>
            <w:tcW w:w="410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6"/>
                <w:szCs w:val="16"/>
                <w:color w:val="auto"/>
              </w:rPr>
              <w:t>Restaurant relocations and related costs</w:t>
            </w: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6"/>
                <w:szCs w:val="16"/>
                <w:color w:val="auto"/>
              </w:rPr>
              <w:t>0.7</w:t>
            </w:r>
          </w:p>
        </w:tc>
      </w:tr>
      <w:tr>
        <w:trPr>
          <w:trHeight w:val="275"/>
        </w:trPr>
        <w:tc>
          <w:tcPr>
            <w:tcW w:w="4100" w:type="dxa"/>
            <w:vAlign w:val="bottom"/>
            <w:tcBorders>
              <w:left w:val="single" w:sz="8" w:color="auto"/>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right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5.5</w:t>
            </w:r>
          </w:p>
        </w:tc>
      </w:tr>
      <w:tr>
        <w:trPr>
          <w:trHeight w:val="20"/>
        </w:trPr>
        <w:tc>
          <w:tcPr>
            <w:tcW w:w="4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right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income from operations, Adjusted net income and Adjusted diluted earnings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SEPTEMBER 24, 2017</w:t>
            </w:r>
          </w:p>
        </w:tc>
        <w:tc>
          <w:tcPr>
            <w:tcW w:w="0" w:type="dxa"/>
            <w:vAlign w:val="bottom"/>
          </w:tcPr>
          <w:p>
            <w:pPr>
              <w:spacing w:after="0"/>
              <w:rPr>
                <w:sz w:val="1"/>
                <w:szCs w:val="1"/>
                <w:color w:val="auto"/>
              </w:rPr>
            </w:pPr>
          </w:p>
        </w:tc>
      </w:tr>
      <w:tr>
        <w:trPr>
          <w:trHeight w:val="237"/>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123,832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123,395</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i w:val="1"/>
                <w:iCs w:val="1"/>
                <w:color w:val="auto"/>
              </w:rPr>
              <w:t>Operating income margin</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Restaurant and asset impairments and closing costs (1)</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2,840</w:t>
            </w:r>
          </w:p>
        </w:tc>
        <w:tc>
          <w:tcPr>
            <w:tcW w:w="10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w w:val="89"/>
              </w:rPr>
              <w:t>15,292</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12,021</w:t>
            </w:r>
          </w:p>
        </w:tc>
        <w:tc>
          <w:tcPr>
            <w:tcW w:w="1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31,491</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 (2)</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2,528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Restaurant relocations and related costs (3)</w:t>
            </w:r>
          </w:p>
        </w:tc>
        <w:tc>
          <w:tcPr>
            <w:tcW w:w="3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1,560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3,743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4,638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8,101</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Legal and contingent matters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Transaction-related expenses (4)</w:t>
            </w:r>
          </w:p>
        </w:tc>
        <w:tc>
          <w:tcPr>
            <w:tcW w:w="38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57"/>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income from operations adjustments</w:t>
            </w:r>
          </w:p>
        </w:tc>
        <w:tc>
          <w:tcPr>
            <w:tcW w:w="3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20,050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20,910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42,054</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income from operations</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19,465</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25,269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144,742</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165,449</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Adjusted operating income margin</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96,191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89,341</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operations 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6,928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20,050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20,910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42,054</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Gain on disposal of business and other costs (5)</w:t>
            </w:r>
          </w:p>
        </w:tc>
        <w:tc>
          <w:tcPr>
            <w:tcW w:w="3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8"/>
              </w:rPr>
              <w:t>(7,570)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(14,854)</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extinguishment and modification of debt</w:t>
            </w:r>
          </w:p>
        </w:tc>
        <w:tc>
          <w:tcPr>
            <w:tcW w:w="3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24"/>
        </w:trPr>
        <w:tc>
          <w:tcPr>
            <w:tcW w:w="504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 adjustments, before income taxes</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6,928</w:t>
            </w:r>
          </w:p>
        </w:tc>
        <w:tc>
          <w:tcPr>
            <w:tcW w:w="100" w:type="dxa"/>
            <w:vAlign w:val="bottom"/>
            <w:tcBorders>
              <w:top w:val="single" w:sz="8" w:color="CCEEFF"/>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12,480</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20,910</w:t>
            </w: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27,460</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 to provision for income taxes (6)</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(5,074)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(3,762)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(14,018)</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adjustments</w:t>
            </w: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5,285</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7,406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17,148</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13,442</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w:t>
            </w: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9,357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12,989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113,339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102,783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0.88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diluted earnings per share</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84"/>
        </w:trPr>
        <w:tc>
          <w:tcPr>
            <w:tcW w:w="5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40"/>
              <w:spacing w:after="0"/>
              <w:rPr>
                <w:sz w:val="20"/>
                <w:szCs w:val="20"/>
                <w:color w:val="auto"/>
              </w:rPr>
            </w:pPr>
            <w:r>
              <w:rPr>
                <w:rFonts w:ascii="Arial" w:cs="Arial" w:eastAsia="Arial" w:hAnsi="Arial"/>
                <w:sz w:val="16"/>
                <w:szCs w:val="16"/>
                <w:color w:val="auto"/>
              </w:rPr>
              <w:t>Diluted weighted average common shares outstanding</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93,324</w:t>
            </w:r>
          </w:p>
        </w:tc>
        <w:tc>
          <w:tcPr>
            <w:tcW w:w="1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95,655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94,489</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101,497</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46"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asset impairment charges and related costs primarily associated with: (i) approved closure and restructuring initiatives, (ii) the restructuring of certain international markets in 2018 and (iii) the remeasurement of certain surplus properties.</w:t>
      </w:r>
    </w:p>
    <w:p>
      <w:pPr>
        <w:ind w:left="660" w:hanging="652"/>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Relates to severance expense incurred primarily as a result of restructuring of certain functions.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asset impairment charges and accelerated depreciation incurred in connection with our relocation program.</w:t>
      </w:r>
    </w:p>
    <w:p>
      <w:pPr>
        <w:spacing w:after="0" w:line="5" w:lineRule="exact"/>
        <w:rPr>
          <w:rFonts w:ascii="Arial" w:cs="Arial" w:eastAsia="Arial" w:hAnsi="Arial"/>
          <w:sz w:val="16"/>
          <w:szCs w:val="16"/>
          <w:color w:val="auto"/>
        </w:rPr>
      </w:pPr>
    </w:p>
    <w:p>
      <w:pPr>
        <w:ind w:left="660" w:right="20" w:hanging="652"/>
        <w:spacing w:after="0" w:line="246"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Relates primarily to professional fees related to certain income tax items in which the associated tax benefit is adjusted in Adjustments to provision for income taxes, as described in footnote 6 below.</w:t>
      </w:r>
    </w:p>
    <w:p>
      <w:pPr>
        <w:ind w:left="660" w:hanging="652"/>
        <w:spacing w:after="0" w:line="246"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Primarily relates to: (i) the sale of 54 U.S. Company-owned restaurants to existing franchisees, (ii) a gain on the sale of one Carrabba’s Italian Grill restaurant and (iii) expenses related to certain surplus properties.</w:t>
      </w:r>
    </w:p>
    <w:p>
      <w:pPr>
        <w:ind w:left="660" w:right="20" w:hanging="652"/>
        <w:spacing w:after="0" w:line="257"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income tax effect of the adjustments for the periods presented. Adjustments include the impact of excluding $4.6 million of discrete income tax items for the thirty-nine weeks ended September 24, 2017.</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LIQUIDITY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liquidity sources consist of cash flow from our operations, cash and cash equivalents and credit capacity under our credit facilities. We expect to use cash primarily for general operating expenses, share repurchases and dividend payments, remodeling or relocating older restaurants, principal and interest payments on our debt, development of new restaurants and new markets, obligations related to our deferred compensation plans and investments in technology.</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believe that our expected liquidity sources are adequate to fund debt service requirements, lease obligations, capital expenditures and working capital obligations for at least the next 12 months. However, our ability to continue to meet these requirements and obligations will depend on, among other things, our ability to achieve anticipated levels of revenue and cash flow and our ability to manage costs and working capital successfully.</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 As of September 30, 2018, we had $78.6 million in cash and cash equivalents, of which $24.6 million was held</w:t>
      </w:r>
      <w:r>
        <w:rPr>
          <w:rFonts w:ascii="Arial" w:cs="Arial" w:eastAsia="Arial" w:hAnsi="Arial"/>
          <w:sz w:val="20"/>
          <w:szCs w:val="20"/>
          <w:i w:val="1"/>
          <w:iCs w:val="1"/>
          <w:color w:val="auto"/>
        </w:rPr>
        <w:t xml:space="preserve"> </w:t>
      </w:r>
      <w:r>
        <w:rPr>
          <w:rFonts w:ascii="Arial" w:cs="Arial" w:eastAsia="Arial" w:hAnsi="Arial"/>
          <w:sz w:val="20"/>
          <w:szCs w:val="20"/>
          <w:color w:val="auto"/>
        </w:rPr>
        <w:t>by foreign affiliates. The international jurisdictions in which we have significant cash do not have any known restrictions that would prohibit repatriation.</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We previously considered the earnings in our foreign subsidiaries to be indefinitely reinvested and, accordingly, recorded no deferred income taxes. Given the Tax Act’s significant changes and potential opportunities to repatriate cash free of U.S. federal tax, we continue to evaluate our current permanent reinvestment assertions. This evaluation includes the repatriation of historical earnings (2017 and prior) that have been previously taxed under the Tax Act. See Note 14 - </w:t>
      </w:r>
      <w:r>
        <w:rPr>
          <w:rFonts w:ascii="Arial" w:cs="Arial" w:eastAsia="Arial" w:hAnsi="Arial"/>
          <w:sz w:val="20"/>
          <w:szCs w:val="20"/>
          <w:i w:val="1"/>
          <w:iCs w:val="1"/>
          <w:color w:val="auto"/>
        </w:rPr>
        <w:t>Income Taxes</w:t>
      </w:r>
      <w:r>
        <w:rPr>
          <w:rFonts w:ascii="Arial" w:cs="Arial" w:eastAsia="Arial" w:hAnsi="Arial"/>
          <w:sz w:val="20"/>
          <w:szCs w:val="20"/>
          <w:color w:val="auto"/>
        </w:rPr>
        <w:t xml:space="preserve"> of the Notes to Consolidated Financial Statements for further information regarding the Tax Act.</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of September 30, 2018, we had aggregate E&amp;P from foreign subsidiaries of approximately $103.0 million, which is considered previously taxed income subsequent to the Tax Act. We currently consider the remaining financial statement carrying amounts over the tax basis of our investments in our foreign subsidiaries to be indefinitely reinvested and have not recorded a deferred tax liability. The determination of any unrecorded deferred tax liability on this amount is not practicable due to the uncertainty of how these investments would be recovered.</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Closure Initiatives </w:t>
      </w:r>
      <w:r>
        <w:rPr>
          <w:rFonts w:ascii="Arial" w:cs="Arial" w:eastAsia="Arial" w:hAnsi="Arial"/>
          <w:sz w:val="19"/>
          <w:szCs w:val="19"/>
          <w:color w:val="auto"/>
        </w:rPr>
        <w:t>- Total aggregate future undiscounted cash expenditures of $21.6 million to $26.5 million for the Closure Initiatives,</w:t>
      </w:r>
      <w:r>
        <w:rPr>
          <w:rFonts w:ascii="Arial" w:cs="Arial" w:eastAsia="Arial" w:hAnsi="Arial"/>
          <w:sz w:val="19"/>
          <w:szCs w:val="19"/>
          <w:i w:val="1"/>
          <w:iCs w:val="1"/>
          <w:color w:val="auto"/>
        </w:rPr>
        <w:t xml:space="preserve"> </w:t>
      </w:r>
      <w:r>
        <w:rPr>
          <w:rFonts w:ascii="Arial" w:cs="Arial" w:eastAsia="Arial" w:hAnsi="Arial"/>
          <w:sz w:val="19"/>
          <w:szCs w:val="19"/>
          <w:color w:val="auto"/>
        </w:rPr>
        <w:t>primarily related to lease liabilities, are expected to occur over the remaining lease terms with the final term ending in January 2029.</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Capital Expenditures </w:t>
      </w:r>
      <w:r>
        <w:rPr>
          <w:rFonts w:ascii="Arial" w:cs="Arial" w:eastAsia="Arial" w:hAnsi="Arial"/>
          <w:sz w:val="20"/>
          <w:szCs w:val="20"/>
          <w:color w:val="auto"/>
        </w:rPr>
        <w:t>- We estimate that our capital expenditures will total approximately $200.0 million in 2018. The amount of actual capital</w:t>
      </w:r>
      <w:r>
        <w:rPr>
          <w:rFonts w:ascii="Arial" w:cs="Arial" w:eastAsia="Arial" w:hAnsi="Arial"/>
          <w:sz w:val="20"/>
          <w:szCs w:val="20"/>
          <w:i w:val="1"/>
          <w:iCs w:val="1"/>
          <w:color w:val="auto"/>
        </w:rPr>
        <w:t xml:space="preserve"> </w:t>
      </w:r>
      <w:r>
        <w:rPr>
          <w:rFonts w:ascii="Arial" w:cs="Arial" w:eastAsia="Arial" w:hAnsi="Arial"/>
          <w:sz w:val="20"/>
          <w:szCs w:val="20"/>
          <w:color w:val="auto"/>
        </w:rPr>
        <w:t>expenditures may be affected by general economic, financial, competitive, legislative and regulatory factors, among other things, including restrictions imposed by our borrowing arrangements.</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Credit Facilities </w:t>
      </w:r>
      <w:r>
        <w:rPr>
          <w:rFonts w:ascii="Arial" w:cs="Arial" w:eastAsia="Arial" w:hAnsi="Arial"/>
          <w:sz w:val="20"/>
          <w:szCs w:val="20"/>
          <w:color w:val="auto"/>
        </w:rPr>
        <w:t>- As of September 30, 2018, we had $1.1 billion of outstanding borrowings under our Senior Secured Credit Facility. We</w:t>
      </w:r>
      <w:r>
        <w:rPr>
          <w:rFonts w:ascii="Arial" w:cs="Arial" w:eastAsia="Arial" w:hAnsi="Arial"/>
          <w:sz w:val="20"/>
          <w:szCs w:val="20"/>
          <w:i w:val="1"/>
          <w:iCs w:val="1"/>
          <w:color w:val="auto"/>
        </w:rPr>
        <w:t xml:space="preserve"> </w:t>
      </w:r>
      <w:r>
        <w:rPr>
          <w:rFonts w:ascii="Arial" w:cs="Arial" w:eastAsia="Arial" w:hAnsi="Arial"/>
          <w:sz w:val="20"/>
          <w:szCs w:val="20"/>
          <w:color w:val="auto"/>
        </w:rPr>
        <w:t>continue to evaluate whether we will make further payments of our outstanding debt ahead of scheduled maturities. Following is a summary of our outstanding credit facilities as of the dates indicated and principal payments and debt issuance from December 31, 2017 to September 30,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60" w:type="dxa"/>
            <w:vAlign w:val="bottom"/>
            <w:gridSpan w:val="5"/>
          </w:tcPr>
          <w:p>
            <w:pPr>
              <w:ind w:left="260"/>
              <w:spacing w:after="0"/>
              <w:rPr>
                <w:sz w:val="20"/>
                <w:szCs w:val="20"/>
                <w:color w:val="auto"/>
              </w:rPr>
            </w:pPr>
            <w:r>
              <w:rPr>
                <w:rFonts w:ascii="Arial" w:cs="Arial" w:eastAsia="Arial" w:hAnsi="Arial"/>
                <w:sz w:val="14"/>
                <w:szCs w:val="14"/>
                <w:b w:val="1"/>
                <w:bCs w:val="1"/>
                <w:color w:val="auto"/>
              </w:rPr>
              <w:t>SENIOR SECURED CREDIT FACILITY</w:t>
            </w:r>
          </w:p>
        </w:tc>
        <w:tc>
          <w:tcPr>
            <w:tcW w:w="124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rPr>
              <w:t>TOTAL CREDIT</w:t>
            </w:r>
          </w:p>
        </w:tc>
        <w:tc>
          <w:tcPr>
            <w:tcW w:w="0" w:type="dxa"/>
            <w:vAlign w:val="bottom"/>
          </w:tcPr>
          <w:p>
            <w:pPr>
              <w:spacing w:after="0"/>
              <w:rPr>
                <w:sz w:val="1"/>
                <w:szCs w:val="1"/>
                <w:color w:val="auto"/>
              </w:rPr>
            </w:pPr>
          </w:p>
        </w:tc>
      </w:tr>
      <w:tr>
        <w:trPr>
          <w:trHeight w:val="58"/>
        </w:trPr>
        <w:tc>
          <w:tcPr>
            <w:tcW w:w="64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5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64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 LOAN A</w:t>
            </w:r>
          </w:p>
        </w:tc>
        <w:tc>
          <w:tcPr>
            <w:tcW w:w="1860" w:type="dxa"/>
            <w:vAlign w:val="bottom"/>
            <w:gridSpan w:val="3"/>
          </w:tcPr>
          <w:p>
            <w:pPr>
              <w:ind w:left="80"/>
              <w:spacing w:after="0"/>
              <w:rPr>
                <w:sz w:val="20"/>
                <w:szCs w:val="20"/>
                <w:color w:val="auto"/>
              </w:rPr>
            </w:pPr>
            <w:r>
              <w:rPr>
                <w:rFonts w:ascii="Arial" w:cs="Arial" w:eastAsia="Arial" w:hAnsi="Arial"/>
                <w:sz w:val="14"/>
                <w:szCs w:val="14"/>
                <w:b w:val="1"/>
                <w:bCs w:val="1"/>
                <w:color w:val="auto"/>
              </w:rPr>
              <w:t>REVOLVING FACILITY</w:t>
            </w:r>
          </w:p>
        </w:tc>
        <w:tc>
          <w:tcPr>
            <w:tcW w:w="160" w:type="dxa"/>
            <w:vAlign w:val="bottom"/>
          </w:tcPr>
          <w:p>
            <w:pPr>
              <w:spacing w:after="0"/>
              <w:rPr>
                <w:sz w:val="17"/>
                <w:szCs w:val="17"/>
                <w:color w:val="auto"/>
              </w:rPr>
            </w:pPr>
          </w:p>
        </w:tc>
        <w:tc>
          <w:tcPr>
            <w:tcW w:w="1080" w:type="dxa"/>
            <w:vAlign w:val="bottom"/>
          </w:tcPr>
          <w:p>
            <w:pPr>
              <w:jc w:val="right"/>
              <w:ind w:right="141"/>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37"/>
        </w:trPr>
        <w:tc>
          <w:tcPr>
            <w:tcW w:w="6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1,100,000</w:t>
            </w:r>
          </w:p>
        </w:tc>
        <w:tc>
          <w:tcPr>
            <w:tcW w:w="0" w:type="dxa"/>
            <w:vAlign w:val="bottom"/>
          </w:tcPr>
          <w:p>
            <w:pPr>
              <w:spacing w:after="0"/>
              <w:rPr>
                <w:sz w:val="1"/>
                <w:szCs w:val="1"/>
                <w:color w:val="auto"/>
              </w:rPr>
            </w:pPr>
          </w:p>
        </w:tc>
      </w:tr>
      <w:tr>
        <w:trPr>
          <w:trHeight w:val="237"/>
        </w:trPr>
        <w:tc>
          <w:tcPr>
            <w:tcW w:w="6480" w:type="dxa"/>
            <w:vAlign w:val="bottom"/>
          </w:tcPr>
          <w:p>
            <w:pPr>
              <w:ind w:left="40"/>
              <w:spacing w:after="0"/>
              <w:rPr>
                <w:sz w:val="20"/>
                <w:szCs w:val="20"/>
                <w:color w:val="auto"/>
              </w:rPr>
            </w:pPr>
            <w:r>
              <w:rPr>
                <w:rFonts w:ascii="Arial" w:cs="Arial" w:eastAsia="Arial" w:hAnsi="Arial"/>
                <w:sz w:val="16"/>
                <w:szCs w:val="16"/>
                <w:color w:val="auto"/>
              </w:rPr>
              <w:t>2018 new debt</w:t>
            </w:r>
          </w:p>
        </w:tc>
        <w:tc>
          <w:tcPr>
            <w:tcW w:w="24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379,700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379,700</w:t>
            </w: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 payments</w:t>
            </w: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(18,750)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(329,700)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(348,450)</w:t>
            </w:r>
          </w:p>
        </w:tc>
        <w:tc>
          <w:tcPr>
            <w:tcW w:w="0" w:type="dxa"/>
            <w:vAlign w:val="bottom"/>
          </w:tcPr>
          <w:p>
            <w:pPr>
              <w:spacing w:after="0"/>
              <w:rPr>
                <w:sz w:val="1"/>
                <w:szCs w:val="1"/>
                <w:color w:val="auto"/>
              </w:rPr>
            </w:pPr>
          </w:p>
        </w:tc>
      </w:tr>
      <w:tr>
        <w:trPr>
          <w:trHeight w:val="290"/>
        </w:trPr>
        <w:tc>
          <w:tcPr>
            <w:tcW w:w="6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as of September 30, 2018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481,250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650,000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1,131,250</w:t>
            </w:r>
          </w:p>
        </w:tc>
        <w:tc>
          <w:tcPr>
            <w:tcW w:w="0" w:type="dxa"/>
            <w:vAlign w:val="bottom"/>
          </w:tcPr>
          <w:p>
            <w:pPr>
              <w:spacing w:after="0"/>
              <w:rPr>
                <w:sz w:val="1"/>
                <w:szCs w:val="1"/>
                <w:color w:val="auto"/>
              </w:rPr>
            </w:pPr>
          </w:p>
        </w:tc>
      </w:tr>
      <w:tr>
        <w:trPr>
          <w:trHeight w:val="311"/>
        </w:trPr>
        <w:tc>
          <w:tcPr>
            <w:tcW w:w="64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40"/>
              <w:spacing w:after="0"/>
              <w:rPr>
                <w:sz w:val="20"/>
                <w:szCs w:val="20"/>
                <w:color w:val="auto"/>
              </w:rPr>
            </w:pPr>
            <w:r>
              <w:rPr>
                <w:rFonts w:ascii="Arial" w:cs="Arial" w:eastAsia="Arial" w:hAnsi="Arial"/>
                <w:sz w:val="16"/>
                <w:szCs w:val="16"/>
                <w:color w:val="auto"/>
              </w:rPr>
              <w:t>Weighted-average interest rate, as of September 30, 2018</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Principal maturity date</w:t>
            </w:r>
          </w:p>
        </w:tc>
        <w:tc>
          <w:tcPr>
            <w:tcW w:w="2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November 2022</w:t>
            </w:r>
          </w:p>
        </w:tc>
        <w:tc>
          <w:tcPr>
            <w:tcW w:w="3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November 2022</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Credit Agreement </w:t>
      </w:r>
      <w:r>
        <w:rPr>
          <w:rFonts w:ascii="Arial" w:cs="Arial" w:eastAsia="Arial" w:hAnsi="Arial"/>
          <w:sz w:val="20"/>
          <w:szCs w:val="20"/>
          <w:color w:val="auto"/>
        </w:rPr>
        <w:t>- As of September 30, 2018, we had $327.9 million in available unused borrowing capacity under our revolving credit</w:t>
      </w:r>
      <w:r>
        <w:rPr>
          <w:rFonts w:ascii="Arial" w:cs="Arial" w:eastAsia="Arial" w:hAnsi="Arial"/>
          <w:sz w:val="20"/>
          <w:szCs w:val="20"/>
          <w:i w:val="1"/>
          <w:iCs w:val="1"/>
          <w:color w:val="auto"/>
        </w:rPr>
        <w:t xml:space="preserve"> </w:t>
      </w:r>
      <w:r>
        <w:rPr>
          <w:rFonts w:ascii="Arial" w:cs="Arial" w:eastAsia="Arial" w:hAnsi="Arial"/>
          <w:sz w:val="20"/>
          <w:szCs w:val="20"/>
          <w:color w:val="auto"/>
        </w:rPr>
        <w:t>facility, net of letters of credit of $22.1 million.</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Credit Agreement contains term loan mandatory prepayment requirements of 50% of our annual excess cash flow, as defined in the Credit Agreement. The amount outstanding required to be prepaid may vary based on our leverage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ratio and year end results. Other than the required minimum amortization premiums of $25.0 million, we do not anticipate any other payments will be required through September 29, 2019.</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Debt Covenants </w:t>
      </w:r>
      <w:r>
        <w:rPr>
          <w:rFonts w:ascii="Arial" w:cs="Arial" w:eastAsia="Arial" w:hAnsi="Arial"/>
          <w:sz w:val="20"/>
          <w:szCs w:val="20"/>
          <w:color w:val="auto"/>
        </w:rPr>
        <w:t>- Our Credit Agreement contains various financial and non-financial covenants. A violation of these covenants could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negatively impact our liquidity by restricting our ability to borrow under the revolving credit facility and cause an acceleration of the amounts due under the credit facilities. See Note 12 - </w:t>
      </w:r>
      <w:r>
        <w:rPr>
          <w:rFonts w:ascii="Arial" w:cs="Arial" w:eastAsia="Arial" w:hAnsi="Arial"/>
          <w:sz w:val="20"/>
          <w:szCs w:val="20"/>
          <w:i w:val="1"/>
          <w:iCs w:val="1"/>
          <w:color w:val="auto"/>
        </w:rPr>
        <w:t>Long-term Debt, Net</w:t>
      </w:r>
      <w:r>
        <w:rPr>
          <w:rFonts w:ascii="Arial" w:cs="Arial" w:eastAsia="Arial" w:hAnsi="Arial"/>
          <w:sz w:val="20"/>
          <w:szCs w:val="20"/>
          <w:color w:val="auto"/>
        </w:rPr>
        <w:t xml:space="preserve"> in our Annual Report on Form 10-K for the year ended December 31, 2017 for further information.</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September 30, 2018 and December 31, 2017, we were in compliance with our debt covenants. We believe that we will remain in compliance with our debt covenants during the next 12 months.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Cash Flow Hedges of Interest Rate Risk - </w:t>
      </w:r>
      <w:r>
        <w:rPr>
          <w:rFonts w:ascii="Arial" w:cs="Arial" w:eastAsia="Arial" w:hAnsi="Arial"/>
          <w:sz w:val="20"/>
          <w:szCs w:val="20"/>
          <w:color w:val="252525"/>
        </w:rPr>
        <w:t>We have variable-to-fixed interest rate swap agreements with eight counterparties to hedge a portion</w:t>
      </w:r>
      <w:r>
        <w:rPr>
          <w:rFonts w:ascii="Arial" w:cs="Arial" w:eastAsia="Arial" w:hAnsi="Arial"/>
          <w:sz w:val="20"/>
          <w:szCs w:val="20"/>
          <w:i w:val="1"/>
          <w:iCs w:val="1"/>
          <w:color w:val="auto"/>
        </w:rPr>
        <w:t xml:space="preserve"> </w:t>
      </w:r>
      <w:r>
        <w:rPr>
          <w:rFonts w:ascii="Arial" w:cs="Arial" w:eastAsia="Arial" w:hAnsi="Arial"/>
          <w:sz w:val="20"/>
          <w:szCs w:val="20"/>
          <w:color w:val="252525"/>
        </w:rPr>
        <w:t>of the cash flows of our variable rate debt. The 2014 Swap Agreements have an aggregate notional amount of $400.0 million and mature on May 16, 2019. We pay a weighted-average fixed rate of 2.02% on the $400.0 million notional amount and receive payments from the counterparty based on the 30-day LIBOR rate.</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In October 2018, we entered into variable-to-fixed interest rate swap agreements with </w:t>
      </w:r>
      <w:r>
        <w:rPr>
          <w:rFonts w:ascii="Arial" w:cs="Arial" w:eastAsia="Arial" w:hAnsi="Arial"/>
          <w:sz w:val="20"/>
          <w:szCs w:val="20"/>
          <w:color w:val="252525"/>
        </w:rPr>
        <w:t>12 counterparties to hedge a portion of the cash flows of</w:t>
      </w:r>
      <w:r>
        <w:rPr>
          <w:rFonts w:ascii="Arial" w:cs="Arial" w:eastAsia="Arial" w:hAnsi="Arial"/>
          <w:sz w:val="20"/>
          <w:szCs w:val="20"/>
          <w:color w:val="auto"/>
        </w:rPr>
        <w:t xml:space="preserve"> </w:t>
      </w:r>
      <w:r>
        <w:rPr>
          <w:rFonts w:ascii="Arial" w:cs="Arial" w:eastAsia="Arial" w:hAnsi="Arial"/>
          <w:sz w:val="20"/>
          <w:szCs w:val="20"/>
          <w:color w:val="252525"/>
        </w:rPr>
        <w:t xml:space="preserve">our variable rate debt. The 2018 Swap Agreements have an aggregate notional amount of $550.0 million, a forward start date of May 16, 2019 (the maturity date of the 2014 Swap Agreements), and mature on November 30, 2022. Under the terms of the 2018 Swap Agreements, we will pay a weighted-average fixed rate of 3.04% on the notional amount and receive payments from the counterparty based on the </w:t>
      </w:r>
      <w:r>
        <w:rPr>
          <w:rFonts w:ascii="Arial" w:cs="Arial" w:eastAsia="Arial" w:hAnsi="Arial"/>
          <w:sz w:val="20"/>
          <w:szCs w:val="20"/>
          <w:color w:val="000000"/>
        </w:rPr>
        <w:t>one-month</w:t>
      </w:r>
      <w:r>
        <w:rPr>
          <w:rFonts w:ascii="Arial" w:cs="Arial" w:eastAsia="Arial" w:hAnsi="Arial"/>
          <w:sz w:val="20"/>
          <w:szCs w:val="20"/>
          <w:color w:val="252525"/>
        </w:rPr>
        <w:t xml:space="preserve"> </w:t>
      </w:r>
      <w:r>
        <w:rPr>
          <w:rFonts w:ascii="Arial" w:cs="Arial" w:eastAsia="Arial" w:hAnsi="Arial"/>
          <w:sz w:val="20"/>
          <w:szCs w:val="20"/>
          <w:color w:val="000000"/>
        </w:rPr>
        <w:t xml:space="preserve">LIBOR </w:t>
      </w:r>
      <w:r>
        <w:rPr>
          <w:rFonts w:ascii="Arial" w:cs="Arial" w:eastAsia="Arial" w:hAnsi="Arial"/>
          <w:sz w:val="20"/>
          <w:szCs w:val="20"/>
          <w:color w:val="252525"/>
        </w:rPr>
        <w:t>rate. See Note</w:t>
      </w:r>
      <w:r>
        <w:rPr>
          <w:rFonts w:ascii="Arial" w:cs="Arial" w:eastAsia="Arial" w:hAnsi="Arial"/>
          <w:sz w:val="20"/>
          <w:szCs w:val="20"/>
          <w:color w:val="000000"/>
        </w:rPr>
        <w:t xml:space="preserve"> 12 - </w:t>
      </w:r>
      <w:r>
        <w:rPr>
          <w:rFonts w:ascii="Arial" w:cs="Arial" w:eastAsia="Arial" w:hAnsi="Arial"/>
          <w:sz w:val="20"/>
          <w:szCs w:val="20"/>
          <w:i w:val="1"/>
          <w:iCs w:val="1"/>
          <w:color w:val="000000"/>
        </w:rPr>
        <w:t>Derivative Instruments and Hedging Activities</w:t>
      </w:r>
      <w:r>
        <w:rPr>
          <w:rFonts w:ascii="Arial" w:cs="Arial" w:eastAsia="Arial" w:hAnsi="Arial"/>
          <w:sz w:val="20"/>
          <w:szCs w:val="20"/>
          <w:color w:val="000000"/>
        </w:rPr>
        <w:t xml:space="preserve"> of the Notes to Consolidated Financial Statements for further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SUMMARY OF CASH FLOWS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a summary of our cash flows provided by (used in) operating, investing and financing activities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24, 2017</w:t>
            </w:r>
          </w:p>
        </w:tc>
      </w:tr>
      <w:tr>
        <w:trPr>
          <w:trHeight w:val="237"/>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cash provided by operating activities</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155,196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223,015</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(124,303)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(62,535)</w:t>
            </w: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(196,206)</w:t>
            </w:r>
          </w:p>
        </w:tc>
      </w:tr>
      <w:tr>
        <w:trPr>
          <w:trHeight w:val="27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(4,861)</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1,972</w:t>
            </w: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(33,754)</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Operating activities </w:t>
      </w:r>
      <w:r>
        <w:rPr>
          <w:rFonts w:ascii="Arial" w:cs="Arial" w:eastAsia="Arial" w:hAnsi="Arial"/>
          <w:sz w:val="19"/>
          <w:szCs w:val="19"/>
          <w:color w:val="auto"/>
        </w:rPr>
        <w:t>- Net cash provided by operating activities decreased during the thirty-nine weeks ended September 30, 2018, as compared</w:t>
      </w:r>
      <w:r>
        <w:rPr>
          <w:rFonts w:ascii="Arial" w:cs="Arial" w:eastAsia="Arial" w:hAnsi="Arial"/>
          <w:sz w:val="19"/>
          <w:szCs w:val="19"/>
          <w:i w:val="1"/>
          <w:iCs w:val="1"/>
          <w:color w:val="auto"/>
        </w:rPr>
        <w:t xml:space="preserve"> </w:t>
      </w:r>
      <w:r>
        <w:rPr>
          <w:rFonts w:ascii="Arial" w:cs="Arial" w:eastAsia="Arial" w:hAnsi="Arial"/>
          <w:sz w:val="19"/>
          <w:szCs w:val="19"/>
          <w:color w:val="auto"/>
        </w:rPr>
        <w:t>to the thirty-nine weeks ended September 24, 2017 primarily due to decreases from: (i) the timing of collections of gift card receivables, (ii) an increase in incentive compensation payments, (iii) the timing of payments on accounts payable and other accrual payments and (iv) higher payments for inventory. These decreases were partially offset by lower income tax payments.</w:t>
      </w:r>
    </w:p>
    <w:p>
      <w:pPr>
        <w:spacing w:after="0" w:line="190"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i w:val="1"/>
          <w:iCs w:val="1"/>
          <w:color w:val="auto"/>
        </w:rPr>
        <w:t xml:space="preserve">Investing activities - </w:t>
      </w:r>
      <w:r>
        <w:rPr>
          <w:rFonts w:ascii="Arial" w:cs="Arial" w:eastAsia="Arial" w:hAnsi="Arial"/>
          <w:sz w:val="18"/>
          <w:szCs w:val="18"/>
          <w:color w:val="auto"/>
        </w:rPr>
        <w:t>Net cash used in investing activities for the thirty-nine weeks ended September 30, 2018 consisted of 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proceeds from sale-leaseback transactions and proceeds from the disposal of property, fixtures and equipment.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Net cash used in investing activities for the thirty-nine weeks ended September 24, 2017 consisted primarily of capital expenditures, partially offset by proceeds from sale-leaseback transactions and proceeds from refranchising transactions.</w:t>
      </w:r>
    </w:p>
    <w:p>
      <w:pPr>
        <w:spacing w:after="0" w:line="190" w:lineRule="exact"/>
        <w:rPr>
          <w:sz w:val="20"/>
          <w:szCs w:val="20"/>
          <w:color w:val="auto"/>
        </w:rPr>
      </w:pPr>
    </w:p>
    <w:p>
      <w:pPr>
        <w:spacing w:after="0" w:line="275" w:lineRule="auto"/>
        <w:rPr>
          <w:sz w:val="20"/>
          <w:szCs w:val="20"/>
          <w:color w:val="auto"/>
        </w:rPr>
      </w:pPr>
      <w:r>
        <w:rPr>
          <w:rFonts w:ascii="Arial" w:cs="Arial" w:eastAsia="Arial" w:hAnsi="Arial"/>
          <w:sz w:val="18"/>
          <w:szCs w:val="18"/>
          <w:i w:val="1"/>
          <w:iCs w:val="1"/>
          <w:color w:val="auto"/>
        </w:rPr>
        <w:t xml:space="preserve">Financing activities - </w:t>
      </w:r>
      <w:r>
        <w:rPr>
          <w:rFonts w:ascii="Arial" w:cs="Arial" w:eastAsia="Arial" w:hAnsi="Arial"/>
          <w:sz w:val="18"/>
          <w:szCs w:val="18"/>
          <w:color w:val="auto"/>
        </w:rPr>
        <w:t>Net cash used in financing activities for the thirty-nine weeks ended September 30, 2018 was primarily attributable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 the repurchase of common stock, (ii) payment of cash dividends on our common stock, (iii) the repayment of long-term debt and</w:t>
      </w:r>
    </w:p>
    <w:p>
      <w:pPr>
        <w:spacing w:after="0" w:line="1" w:lineRule="exact"/>
        <w:rPr>
          <w:sz w:val="20"/>
          <w:szCs w:val="20"/>
          <w:color w:val="auto"/>
        </w:rPr>
      </w:pPr>
    </w:p>
    <w:p>
      <w:pPr>
        <w:ind w:right="20" w:firstLine="8"/>
        <w:spacing w:after="0" w:line="244" w:lineRule="auto"/>
        <w:tabs>
          <w:tab w:leader="none" w:pos="341"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repayments of partner deposits and accrued partner obligations. Net cash used in financing activities was partially offset by drawdowns on our revolving credit facility, net of repayments and proceeds from share-based compensation.</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Net cash used in financing activities for the thirty-nine weeks ended September 24, 2017 was primarily attributable to the following: (i) the repurchase of common stock, (ii) repayments on our PRP Mortgage Loan, (iii) payment of cash dividends on our common stock, (iv) repayments of partner deposits and accrued partner obligations and (v) the purchase of outstanding limited partnership interests in certain restaurants. Net cash used in financing activities was partially offset by proceeds from: (i) the incremental Term loan A-2, (ii) drawdowns on our revolving credit facility, net of repayments, and (iii) the sale of a property that did not qualify for sale-leaseback accounting.</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current assets, current liabilities and working capital (deficit):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Pr>
          <w:p>
            <w:pPr>
              <w:spacing w:after="0"/>
              <w:rPr>
                <w:sz w:val="17"/>
                <w:szCs w:val="17"/>
                <w:color w:val="auto"/>
              </w:rPr>
            </w:pPr>
          </w:p>
        </w:tc>
        <w:tc>
          <w:tcPr>
            <w:tcW w:w="1820" w:type="dxa"/>
            <w:vAlign w:val="bottom"/>
          </w:tcPr>
          <w:p>
            <w:pPr>
              <w:jc w:val="right"/>
              <w:ind w:right="261"/>
              <w:spacing w:after="0"/>
              <w:rPr>
                <w:sz w:val="20"/>
                <w:szCs w:val="20"/>
                <w:color w:val="auto"/>
              </w:rPr>
            </w:pPr>
            <w:r>
              <w:rPr>
                <w:rFonts w:ascii="Arial" w:cs="Arial" w:eastAsia="Arial" w:hAnsi="Arial"/>
                <w:sz w:val="14"/>
                <w:szCs w:val="14"/>
                <w:b w:val="1"/>
                <w:bCs w:val="1"/>
                <w:color w:val="auto"/>
              </w:rPr>
              <w:t>DECEMBER 31, 2017</w:t>
            </w:r>
          </w:p>
        </w:tc>
      </w:tr>
      <w:tr>
        <w:trPr>
          <w:trHeight w:val="237"/>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228,454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360,209</w:t>
            </w:r>
          </w:p>
        </w:tc>
      </w:tr>
      <w:tr>
        <w:trPr>
          <w:trHeight w:val="270"/>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620,649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813,392</w:t>
            </w: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Working capital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(392,195)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(453,183)</w:t>
            </w: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Working capital (deficit) includes Unearned revenue primarily from unredeemed gift cards of $202.3 million and $330.8 million as of September 30, 2018 and December 31, 2017, respectively.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used to service debt obligations and to make capital expenditures.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Deferred Compensation Programs - </w:t>
      </w:r>
      <w:r>
        <w:rPr>
          <w:rFonts w:ascii="Arial" w:cs="Arial" w:eastAsia="Arial" w:hAnsi="Arial"/>
          <w:sz w:val="20"/>
          <w:szCs w:val="20"/>
          <w:color w:val="auto"/>
        </w:rPr>
        <w:t>The deferred compensation obligation due to managing and chef partners was $81.7 million and $96.3</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as of September 30, 2018 and December 31, 2017, respectively. We invest in various corporate-owned life insurance policies, which are held within an irrevocable grantor or “rabbi” trust account for settlement of our obligations under the deferred compensation plans. The rabbi trust is funded through our voluntary contributions. The unfunded obligation for managing and chef partners’ deferred compensation was $35.6 million as of September 30, 2018.</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use capital to fund the deferred compensation plans and currently expect annual cash funding of $14.0 million to $16.0 million for 2018. Actual funding of the deferred compensation obligations and future funding requirements may vary significantly depending on the actual performance compared to targets, timing of deferred payments of partner contracts, forfeiture rates, number of partner participants, growth of partner investments and our funding strategy.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DIVIDENDS AND SHARE REPURCHASES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Dividends </w:t>
      </w:r>
      <w:r>
        <w:rPr>
          <w:rFonts w:ascii="Arial" w:cs="Arial" w:eastAsia="Arial" w:hAnsi="Arial"/>
          <w:sz w:val="20"/>
          <w:szCs w:val="20"/>
          <w:color w:val="auto"/>
        </w:rPr>
        <w:t>- In October 2018, the Board declared a quarterly cash dividend of $0.09 per share, payable on November 21, 2018. Future dividend</w:t>
      </w:r>
      <w:r>
        <w:rPr>
          <w:rFonts w:ascii="Arial" w:cs="Arial" w:eastAsia="Arial" w:hAnsi="Arial"/>
          <w:sz w:val="20"/>
          <w:szCs w:val="20"/>
          <w:i w:val="1"/>
          <w:iCs w:val="1"/>
          <w:color w:val="auto"/>
        </w:rPr>
        <w:t xml:space="preserve"> </w:t>
      </w:r>
      <w:r>
        <w:rPr>
          <w:rFonts w:ascii="Arial" w:cs="Arial" w:eastAsia="Arial" w:hAnsi="Arial"/>
          <w:sz w:val="20"/>
          <w:szCs w:val="20"/>
          <w:color w:val="auto"/>
        </w:rPr>
        <w:t>payments are dependent on our earnings, financial condition, capital expenditure requirements, surplus and other factors that the Board considers relevant.</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Share Repurchases </w:t>
      </w:r>
      <w:r>
        <w:rPr>
          <w:rFonts w:ascii="Arial" w:cs="Arial" w:eastAsia="Arial" w:hAnsi="Arial"/>
          <w:sz w:val="19"/>
          <w:szCs w:val="19"/>
          <w:color w:val="auto"/>
        </w:rPr>
        <w:t>- On February 16, 2018, our Board canceled the remaining $55.0 million of authorization under the 2017 Share Repurchase</w:t>
      </w:r>
      <w:r>
        <w:rPr>
          <w:rFonts w:ascii="Arial" w:cs="Arial" w:eastAsia="Arial" w:hAnsi="Arial"/>
          <w:sz w:val="19"/>
          <w:szCs w:val="19"/>
          <w:i w:val="1"/>
          <w:iCs w:val="1"/>
          <w:color w:val="auto"/>
        </w:rPr>
        <w:t xml:space="preserve"> </w:t>
      </w:r>
      <w:r>
        <w:rPr>
          <w:rFonts w:ascii="Arial" w:cs="Arial" w:eastAsia="Arial" w:hAnsi="Arial"/>
          <w:sz w:val="19"/>
          <w:szCs w:val="19"/>
          <w:color w:val="auto"/>
        </w:rPr>
        <w:t>Program and approved a new $150.0 million authorization. The 2018 Share Repurchase Program will expire on August 16, 2019. As of September 30, 2018, we had $51.0 million remaining available for repurchase under the 2018 Share Repurchase Program.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dividends and share repurchases from fiscal year 2015 through September 30,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ind w:left="100"/>
              <w:spacing w:after="0"/>
              <w:rPr>
                <w:sz w:val="20"/>
                <w:szCs w:val="20"/>
                <w:color w:val="auto"/>
              </w:rPr>
            </w:pPr>
            <w:r>
              <w:rPr>
                <w:rFonts w:ascii="Arial" w:cs="Arial" w:eastAsia="Arial" w:hAnsi="Arial"/>
                <w:sz w:val="14"/>
                <w:szCs w:val="14"/>
                <w:b w:val="1"/>
                <w:bCs w:val="1"/>
                <w:color w:val="auto"/>
              </w:rPr>
              <w:t>SHARE REPURCHASES</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7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DIVIDENDS PAID</w:t>
            </w:r>
          </w:p>
        </w:tc>
        <w:tc>
          <w:tcPr>
            <w:tcW w:w="460" w:type="dxa"/>
            <w:vAlign w:val="bottom"/>
          </w:tcPr>
          <w:p>
            <w:pPr>
              <w:spacing w:after="0"/>
              <w:rPr>
                <w:sz w:val="17"/>
                <w:szCs w:val="17"/>
                <w:color w:val="auto"/>
              </w:rPr>
            </w:pPr>
          </w:p>
        </w:tc>
        <w:tc>
          <w:tcPr>
            <w:tcW w:w="1340" w:type="dxa"/>
            <w:vAlign w:val="bottom"/>
          </w:tcPr>
          <w:p>
            <w:pPr>
              <w:jc w:val="right"/>
              <w:ind w:right="74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2015</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29,332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169,999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199,331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Fiscal year 2016</w:t>
            </w:r>
          </w:p>
        </w:tc>
        <w:tc>
          <w:tcPr>
            <w:tcW w:w="220" w:type="dxa"/>
            <w:vAlign w:val="bottom"/>
          </w:tcPr>
          <w:p>
            <w:pPr>
              <w:spacing w:after="0"/>
              <w:rPr>
                <w:sz w:val="20"/>
                <w:szCs w:val="20"/>
                <w:color w:val="auto"/>
              </w:rPr>
            </w:pP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31,379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309,887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341,266</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2017</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30,988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272,736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303,724</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First fiscal quarter 2018</w:t>
            </w:r>
          </w:p>
        </w:tc>
        <w:tc>
          <w:tcPr>
            <w:tcW w:w="220" w:type="dxa"/>
            <w:vAlign w:val="bottom"/>
          </w:tcPr>
          <w:p>
            <w:pPr>
              <w:spacing w:after="0"/>
              <w:rPr>
                <w:sz w:val="20"/>
                <w:szCs w:val="20"/>
                <w:color w:val="auto"/>
              </w:rPr>
            </w:pP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8,371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50,996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59,367</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Second fiscal quarter 2018</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8,363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38,367</w:t>
            </w:r>
          </w:p>
        </w:tc>
        <w:tc>
          <w:tcPr>
            <w:tcW w:w="0" w:type="dxa"/>
            <w:vAlign w:val="bottom"/>
          </w:tcPr>
          <w:p>
            <w:pPr>
              <w:spacing w:after="0"/>
              <w:rPr>
                <w:sz w:val="1"/>
                <w:szCs w:val="1"/>
                <w:color w:val="auto"/>
              </w:rPr>
            </w:pPr>
          </w:p>
        </w:tc>
      </w:tr>
      <w:tr>
        <w:trPr>
          <w:trHeight w:val="270"/>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Third fiscal quarter 2018</w:t>
            </w:r>
          </w:p>
        </w:tc>
        <w:tc>
          <w:tcPr>
            <w:tcW w:w="2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8,344</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17,968</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26,312</w:t>
            </w: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116,777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851,590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968,367</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Excludes share repurchases for the settlement of taxes related to equity awards of $180, $447, and $770 for fiscal years 2017, 2016 and 2015,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Financial Accounting Standards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For a description of recently issued Financial Accounting Standards, see Note 1 - </w:t>
      </w:r>
      <w:r>
        <w:rPr>
          <w:rFonts w:ascii="Arial" w:cs="Arial" w:eastAsia="Arial" w:hAnsi="Arial"/>
          <w:sz w:val="20"/>
          <w:szCs w:val="20"/>
          <w:i w:val="1"/>
          <w:iCs w:val="1"/>
          <w:color w:val="auto"/>
        </w:rPr>
        <w:t>Description of the Business and Basis of Presentation</w:t>
      </w:r>
      <w:r>
        <w:rPr>
          <w:rFonts w:ascii="Arial" w:cs="Arial" w:eastAsia="Arial" w:hAnsi="Arial"/>
          <w:sz w:val="20"/>
          <w:szCs w:val="20"/>
          <w:color w:val="auto"/>
        </w:rPr>
        <w:t xml:space="preserve"> of the Notes to the Consolidated Financial Statements of this Quarterly Report on Form 10-Q.</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exposed to market risk from changes in interest rates, changes in foreign currency exchange rates and changes in commodity prices. We believe that there have been no material changes in our market risk since December 31, 2017, except as set forth below. See Part II, Item 7A., “Quantitative and Qualitative Disclosures about Market Risk,” in our Annual Report on Form 10-K for the year ended December 31, 2017 for further information regarding market risk.</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Rate Risk</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are subject to foreign currency exchange risk for our restaurants operating in foreign countries. Our exposure to foreign currency exchange risk is primarily related to fluctuations in the Brazilian Real relative to the U.S. dollar. Our operations in other markets consist of Company-owned restaurants on a smaller scale than Brazil. If foreign currency exchange rates depreciate in the countries in which we operate, we may experience declines in our operating results. For the thirty-nine weeks ended September 30, 2018, a 10% change in average foreign currency rates against the U.S. dollar would have increased or decreased our Total revenues and Net income for our consolidated foreign entities by $35.8 million and $0.6 million, respectively. Currently, we do not enter into currency forward exchange or option contracts to hedge foreign currency exposures.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have established and maintain disclosure controls and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and Administrative Officer, as appropriate to allow timely decisions regarding required disclosure. We carried out an evaluation, under the supervision and with the participation of our management, including our Chief Executive Officer and Chief Financial and Administrative Officer, of the effectiveness of our disclosure controls and procedures as of the end of the period covered by this report. Based on that evaluation, the Chief Executive Officer and Chief Financial and Administrative Officer concluded that our disclosure controls and procedures were effective as of September 30, 2018.</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There have been no changes in our internal control over financial reporting during the thirteen weeks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 OTHER INFORMATION</w:t>
      </w:r>
    </w:p>
    <w:p>
      <w:pPr>
        <w:spacing w:after="0" w:line="229"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For a description of our legal proceedings, see Note 15 -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of the Notes to the Consolidated Financial Statements of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to the other information discussed in this report, please consider the factors described in Part I, Item 1A., “Risk Factors” in our 2017 Form 10-K which could materially affect our business, financial condition or future results. There have not been any material changes to the risk factors described in our 2017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There were no sales of equity securities during the third quarter of 2018 that were not registered under the Securities Act of 1933.</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purchases of common stock during the thirteen weeks ended September 30,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SHARES PURCHASED AS</w:t>
            </w:r>
          </w:p>
        </w:tc>
        <w:tc>
          <w:tcPr>
            <w:tcW w:w="10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REPORTING PERIOD</w:t>
            </w:r>
          </w:p>
        </w:tc>
        <w:tc>
          <w:tcPr>
            <w:tcW w:w="12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ANNOUNCED PLANS 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205"/>
        </w:trPr>
        <w:tc>
          <w:tcPr>
            <w:tcW w:w="3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PROGRAMS (1)</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July 2, 2018 through July 29, 2018</w:t>
            </w: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69,000,043</w:t>
            </w:r>
          </w:p>
        </w:tc>
        <w:tc>
          <w:tcPr>
            <w:tcW w:w="0" w:type="dxa"/>
            <w:vAlign w:val="bottom"/>
          </w:tcPr>
          <w:p>
            <w:pPr>
              <w:spacing w:after="0"/>
              <w:rPr>
                <w:sz w:val="1"/>
                <w:szCs w:val="1"/>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July 30, 2018 through August 26, 2018</w:t>
            </w:r>
          </w:p>
        </w:tc>
        <w:tc>
          <w:tcPr>
            <w:tcW w:w="1840" w:type="dxa"/>
            <w:vAlign w:val="bottom"/>
          </w:tcPr>
          <w:p>
            <w:pPr>
              <w:jc w:val="right"/>
              <w:ind w:right="42"/>
              <w:spacing w:after="0"/>
              <w:rPr>
                <w:sz w:val="20"/>
                <w:szCs w:val="20"/>
                <w:color w:val="auto"/>
              </w:rPr>
            </w:pPr>
            <w:r>
              <w:rPr>
                <w:rFonts w:ascii="Arial" w:cs="Arial" w:eastAsia="Arial" w:hAnsi="Arial"/>
                <w:sz w:val="16"/>
                <w:szCs w:val="16"/>
                <w:color w:val="auto"/>
              </w:rPr>
              <w:t>967,622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18.57</w:t>
            </w:r>
          </w:p>
        </w:tc>
        <w:tc>
          <w:tcPr>
            <w:tcW w:w="100" w:type="dxa"/>
            <w:vAlign w:val="bottom"/>
          </w:tcPr>
          <w:p>
            <w:pPr>
              <w:spacing w:after="0"/>
              <w:rPr>
                <w:sz w:val="20"/>
                <w:szCs w:val="20"/>
                <w:color w:val="auto"/>
              </w:rPr>
            </w:pPr>
          </w:p>
        </w:tc>
        <w:tc>
          <w:tcPr>
            <w:tcW w:w="1820" w:type="dxa"/>
            <w:vAlign w:val="bottom"/>
          </w:tcPr>
          <w:p>
            <w:pPr>
              <w:jc w:val="right"/>
              <w:ind w:right="44"/>
              <w:spacing w:after="0"/>
              <w:rPr>
                <w:sz w:val="20"/>
                <w:szCs w:val="20"/>
                <w:color w:val="auto"/>
              </w:rPr>
            </w:pPr>
            <w:r>
              <w:rPr>
                <w:rFonts w:ascii="Arial" w:cs="Arial" w:eastAsia="Arial" w:hAnsi="Arial"/>
                <w:sz w:val="16"/>
                <w:szCs w:val="16"/>
                <w:color w:val="auto"/>
              </w:rPr>
              <w:t>967,622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3"/>
              <w:spacing w:after="0"/>
              <w:rPr>
                <w:sz w:val="20"/>
                <w:szCs w:val="20"/>
                <w:color w:val="auto"/>
              </w:rPr>
            </w:pPr>
            <w:r>
              <w:rPr>
                <w:rFonts w:ascii="Arial" w:cs="Arial" w:eastAsia="Arial" w:hAnsi="Arial"/>
                <w:sz w:val="16"/>
                <w:szCs w:val="16"/>
                <w:color w:val="auto"/>
              </w:rPr>
              <w:t>51,032,265</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August 27, 2018 through September 30, 2018</w:t>
            </w:r>
          </w:p>
        </w:tc>
        <w:tc>
          <w:tcPr>
            <w:tcW w:w="18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51,032,265</w:t>
            </w:r>
          </w:p>
        </w:tc>
        <w:tc>
          <w:tcPr>
            <w:tcW w:w="0" w:type="dxa"/>
            <w:vAlign w:val="bottom"/>
          </w:tcPr>
          <w:p>
            <w:pPr>
              <w:spacing w:after="0"/>
              <w:rPr>
                <w:sz w:val="1"/>
                <w:szCs w:val="1"/>
                <w:color w:val="auto"/>
              </w:rPr>
            </w:pPr>
          </w:p>
        </w:tc>
      </w:tr>
      <w:tr>
        <w:trPr>
          <w:trHeight w:val="250"/>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967,622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967,622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660" w:right="20" w:hanging="652"/>
        <w:spacing w:after="0" w:line="275"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 February 16, 2018, the Board of Directors authorized the repurchase of $150.0 million of our outstanding common stock as announced in our press release issued on February 22, 2018 (the “2018 Share Repurchase Program”). The 2018 Share Repurchase Program will expire on August 16, 2019.</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780"/>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580" w:type="dxa"/>
            <w:vAlign w:val="bottom"/>
            <w:gridSpan w:val="7"/>
          </w:tcPr>
          <w:p>
            <w:pPr>
              <w:ind w:left="240"/>
              <w:spacing w:after="0"/>
              <w:rPr>
                <w:sz w:val="20"/>
                <w:szCs w:val="20"/>
                <w:color w:val="auto"/>
              </w:rPr>
            </w:pPr>
            <w:r>
              <w:rPr>
                <w:rFonts w:ascii="Arial" w:cs="Arial" w:eastAsia="Arial" w:hAnsi="Arial"/>
                <w:sz w:val="16"/>
                <w:szCs w:val="16"/>
                <w:b w:val="1"/>
                <w:bCs w:val="1"/>
                <w:color w:val="auto"/>
              </w:rPr>
              <w:t>DESCRIPTION OF EXHIBITS</w:t>
            </w:r>
          </w:p>
        </w:tc>
        <w:tc>
          <w:tcPr>
            <w:tcW w:w="3760" w:type="dxa"/>
            <w:vAlign w:val="bottom"/>
          </w:tcPr>
          <w:p>
            <w:pPr>
              <w:ind w:left="520"/>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r>
      <w:tr>
        <w:trPr>
          <w:trHeight w:val="338"/>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tcBorders>
              <w:bottom w:val="single" w:sz="8" w:color="0000FF"/>
            </w:tcBorders>
            <w:gridSpan w:val="5"/>
          </w:tcPr>
          <w:p>
            <w:pPr>
              <w:spacing w:after="0"/>
              <w:rPr>
                <w:rFonts w:ascii="Arial" w:cs="Arial" w:eastAsia="Arial" w:hAnsi="Arial"/>
                <w:sz w:val="20"/>
                <w:szCs w:val="20"/>
                <w:color w:val="0000FF"/>
              </w:rPr>
            </w:pPr>
            <w:hyperlink w:anchor="page56">
              <w:r>
                <w:rPr>
                  <w:rFonts w:ascii="Arial" w:cs="Arial" w:eastAsia="Arial" w:hAnsi="Arial"/>
                  <w:sz w:val="20"/>
                  <w:szCs w:val="20"/>
                  <w:color w:val="0000FF"/>
                </w:rPr>
                <w:t>Certification of Chief Executive Officer pursuant to Section 302 of the</w:t>
              </w:r>
            </w:hyperlink>
          </w:p>
        </w:tc>
        <w:tc>
          <w:tcPr>
            <w:tcW w:w="140" w:type="dxa"/>
            <w:vAlign w:val="bottom"/>
            <w:gridSpan w:val="3"/>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Borders>
              <w:bottom w:val="single" w:sz="8" w:color="0000FF"/>
            </w:tcBorders>
            <w:gridSpan w:val="2"/>
          </w:tcPr>
          <w:p>
            <w:pPr>
              <w:spacing w:after="0" w:line="209" w:lineRule="exact"/>
              <w:rPr>
                <w:rFonts w:ascii="Arial" w:cs="Arial" w:eastAsia="Arial" w:hAnsi="Arial"/>
                <w:sz w:val="20"/>
                <w:szCs w:val="20"/>
                <w:color w:val="0000FF"/>
                <w:w w:val="89"/>
              </w:rPr>
            </w:pPr>
            <w:hyperlink w:anchor="page56">
              <w:r>
                <w:rPr>
                  <w:rFonts w:ascii="Arial" w:cs="Arial" w:eastAsia="Arial" w:hAnsi="Arial"/>
                  <w:sz w:val="20"/>
                  <w:szCs w:val="20"/>
                  <w:color w:val="0000FF"/>
                  <w:w w:val="89"/>
                </w:rPr>
                <w:t>Sarbanes-Oxley Act of 2002</w:t>
              </w:r>
            </w:hyperlink>
          </w:p>
        </w:tc>
        <w:tc>
          <w:tcPr>
            <w:tcW w:w="4080" w:type="dxa"/>
            <w:vAlign w:val="bottom"/>
            <w:gridSpan w:val="6"/>
          </w:tcPr>
          <w:p>
            <w:pPr>
              <w:spacing w:after="0"/>
              <w:rPr>
                <w:sz w:val="18"/>
                <w:szCs w:val="18"/>
                <w:color w:val="auto"/>
              </w:rPr>
            </w:pPr>
          </w:p>
        </w:tc>
        <w:tc>
          <w:tcPr>
            <w:tcW w:w="3760" w:type="dxa"/>
            <w:vAlign w:val="bottom"/>
          </w:tcPr>
          <w:p>
            <w:pPr>
              <w:spacing w:after="0"/>
              <w:rPr>
                <w:sz w:val="18"/>
                <w:szCs w:val="18"/>
                <w:color w:val="auto"/>
              </w:rPr>
            </w:pPr>
          </w:p>
        </w:tc>
      </w:tr>
      <w:tr>
        <w:trPr>
          <w:trHeight w:val="385"/>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6"/>
          </w:tcPr>
          <w:p>
            <w:pPr>
              <w:spacing w:after="0"/>
              <w:rPr>
                <w:rFonts w:ascii="Arial" w:cs="Arial" w:eastAsia="Arial" w:hAnsi="Arial"/>
                <w:sz w:val="20"/>
                <w:szCs w:val="20"/>
                <w:color w:val="0000FF"/>
              </w:rPr>
            </w:pPr>
            <w:hyperlink w:anchor="page57">
              <w:r>
                <w:rPr>
                  <w:rFonts w:ascii="Arial" w:cs="Arial" w:eastAsia="Arial" w:hAnsi="Arial"/>
                  <w:sz w:val="20"/>
                  <w:szCs w:val="20"/>
                  <w:color w:val="0000FF"/>
                </w:rPr>
                <w:t>Certification of Chief Financial and Administrative Officer pursuant to</w:t>
              </w:r>
            </w:hyperlink>
          </w:p>
        </w:tc>
        <w:tc>
          <w:tcPr>
            <w:tcW w:w="12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8"/>
          </w:tcPr>
          <w:p>
            <w:pPr>
              <w:spacing w:after="0" w:line="209" w:lineRule="exact"/>
              <w:rPr>
                <w:rFonts w:ascii="Arial" w:cs="Arial" w:eastAsia="Arial" w:hAnsi="Arial"/>
                <w:sz w:val="20"/>
                <w:szCs w:val="20"/>
                <w:color w:val="0000FF"/>
              </w:rPr>
            </w:pPr>
            <w:hyperlink w:anchor="page57">
              <w:r>
                <w:rPr>
                  <w:rFonts w:ascii="Arial" w:cs="Arial" w:eastAsia="Arial" w:hAnsi="Arial"/>
                  <w:sz w:val="20"/>
                  <w:szCs w:val="20"/>
                  <w:color w:val="0000FF"/>
                </w:rPr>
                <w:t>Section 302 of the Sarbanes-Oxley Act of 2002</w:t>
              </w:r>
            </w:hyperlink>
          </w:p>
        </w:tc>
        <w:tc>
          <w:tcPr>
            <w:tcW w:w="37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85"/>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6"/>
          </w:tcPr>
          <w:p>
            <w:pPr>
              <w:spacing w:after="0"/>
              <w:rPr>
                <w:rFonts w:ascii="Arial" w:cs="Arial" w:eastAsia="Arial" w:hAnsi="Arial"/>
                <w:sz w:val="20"/>
                <w:szCs w:val="20"/>
                <w:color w:val="0000FF"/>
                <w:w w:val="93"/>
              </w:rPr>
            </w:pPr>
            <w:hyperlink w:anchor="page58">
              <w:r>
                <w:rPr>
                  <w:rFonts w:ascii="Arial" w:cs="Arial" w:eastAsia="Arial" w:hAnsi="Arial"/>
                  <w:sz w:val="20"/>
                  <w:szCs w:val="20"/>
                  <w:color w:val="0000FF"/>
                  <w:w w:val="93"/>
                </w:rPr>
                <w:t>Certification of Chief Executive Officer pursuant to 18 U.S.C. Section 1350,</w:t>
              </w:r>
            </w:hyperlink>
          </w:p>
        </w:tc>
        <w:tc>
          <w:tcPr>
            <w:tcW w:w="12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8"/>
          </w:tcPr>
          <w:p>
            <w:pPr>
              <w:spacing w:after="0" w:line="209" w:lineRule="exact"/>
              <w:rPr>
                <w:rFonts w:ascii="Arial" w:cs="Arial" w:eastAsia="Arial" w:hAnsi="Arial"/>
                <w:sz w:val="20"/>
                <w:szCs w:val="20"/>
                <w:color w:val="0000FF"/>
                <w:w w:val="96"/>
              </w:rPr>
            </w:pPr>
            <w:hyperlink w:anchor="page58">
              <w:r>
                <w:rPr>
                  <w:rFonts w:ascii="Arial" w:cs="Arial" w:eastAsia="Arial" w:hAnsi="Arial"/>
                  <w:sz w:val="20"/>
                  <w:szCs w:val="20"/>
                  <w:color w:val="0000FF"/>
                  <w:w w:val="96"/>
                </w:rPr>
                <w:t>as adopted pursuant to Section 906 of the Sarbanes-Oxley Act of 2002 (1)</w:t>
              </w:r>
            </w:hyperlink>
          </w:p>
        </w:tc>
        <w:tc>
          <w:tcPr>
            <w:tcW w:w="37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10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85"/>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6"/>
          </w:tcPr>
          <w:p>
            <w:pPr>
              <w:spacing w:after="0"/>
              <w:rPr>
                <w:rFonts w:ascii="Arial" w:cs="Arial" w:eastAsia="Arial" w:hAnsi="Arial"/>
                <w:sz w:val="20"/>
                <w:szCs w:val="20"/>
                <w:color w:val="0000FF"/>
                <w:w w:val="97"/>
              </w:rPr>
            </w:pPr>
            <w:hyperlink w:anchor="page59">
              <w:r>
                <w:rPr>
                  <w:rFonts w:ascii="Arial" w:cs="Arial" w:eastAsia="Arial" w:hAnsi="Arial"/>
                  <w:sz w:val="20"/>
                  <w:szCs w:val="20"/>
                  <w:color w:val="0000FF"/>
                  <w:w w:val="97"/>
                </w:rPr>
                <w:t>Certification of Chief Financial and Administrative Officer pursuant to 18</w:t>
              </w:r>
            </w:hyperlink>
          </w:p>
        </w:tc>
        <w:tc>
          <w:tcPr>
            <w:tcW w:w="12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tcBorders>
              <w:bottom w:val="single" w:sz="8" w:color="0000FF"/>
            </w:tcBorders>
            <w:gridSpan w:val="5"/>
          </w:tcPr>
          <w:p>
            <w:pPr>
              <w:spacing w:after="0" w:line="209" w:lineRule="exact"/>
              <w:rPr>
                <w:rFonts w:ascii="Arial" w:cs="Arial" w:eastAsia="Arial" w:hAnsi="Arial"/>
                <w:sz w:val="20"/>
                <w:szCs w:val="20"/>
                <w:color w:val="0000FF"/>
                <w:w w:val="93"/>
              </w:rPr>
            </w:pPr>
            <w:hyperlink w:anchor="page59">
              <w:r>
                <w:rPr>
                  <w:rFonts w:ascii="Arial" w:cs="Arial" w:eastAsia="Arial" w:hAnsi="Arial"/>
                  <w:sz w:val="20"/>
                  <w:szCs w:val="20"/>
                  <w:color w:val="0000FF"/>
                  <w:w w:val="93"/>
                </w:rPr>
                <w:t>U.S.C. Section 1350, as adopted pursuant to Section 906 of the Sarbanes-</w:t>
              </w:r>
            </w:hyperlink>
          </w:p>
        </w:tc>
        <w:tc>
          <w:tcPr>
            <w:tcW w:w="140" w:type="dxa"/>
            <w:vAlign w:val="bottom"/>
            <w:gridSpan w:val="3"/>
          </w:tcPr>
          <w:p>
            <w:pPr>
              <w:spacing w:after="0"/>
              <w:rPr>
                <w:sz w:val="18"/>
                <w:szCs w:val="18"/>
                <w:color w:val="auto"/>
              </w:rPr>
            </w:pPr>
          </w:p>
        </w:tc>
        <w:tc>
          <w:tcPr>
            <w:tcW w:w="37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8"/>
          </w:tcPr>
          <w:p>
            <w:pPr>
              <w:spacing w:after="0" w:line="209" w:lineRule="exact"/>
              <w:rPr>
                <w:rFonts w:ascii="Arial" w:cs="Arial" w:eastAsia="Arial" w:hAnsi="Arial"/>
                <w:sz w:val="20"/>
                <w:szCs w:val="20"/>
                <w:color w:val="0000FF"/>
              </w:rPr>
            </w:pPr>
            <w:hyperlink w:anchor="page59">
              <w:r>
                <w:rPr>
                  <w:rFonts w:ascii="Arial" w:cs="Arial" w:eastAsia="Arial" w:hAnsi="Arial"/>
                  <w:sz w:val="20"/>
                  <w:szCs w:val="20"/>
                  <w:color w:val="0000FF"/>
                </w:rPr>
                <w:t>Oxley Act of 2002 (1)</w:t>
              </w:r>
            </w:hyperlink>
          </w:p>
        </w:tc>
        <w:tc>
          <w:tcPr>
            <w:tcW w:w="3760" w:type="dxa"/>
            <w:vAlign w:val="bottom"/>
          </w:tcPr>
          <w:p>
            <w:pPr>
              <w:spacing w:after="0"/>
              <w:rPr>
                <w:sz w:val="18"/>
                <w:szCs w:val="18"/>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30"/>
        </w:trPr>
        <w:tc>
          <w:tcPr>
            <w:tcW w:w="1280" w:type="dxa"/>
            <w:vAlign w:val="bottom"/>
            <w:gridSpan w:val="2"/>
          </w:tcPr>
          <w:p>
            <w:pPr>
              <w:jc w:val="center"/>
              <w:ind w:right="120"/>
              <w:spacing w:after="0"/>
              <w:rPr>
                <w:sz w:val="20"/>
                <w:szCs w:val="20"/>
                <w:color w:val="auto"/>
              </w:rPr>
            </w:pPr>
            <w:r>
              <w:rPr>
                <w:rFonts w:ascii="Arial" w:cs="Arial" w:eastAsia="Arial" w:hAnsi="Arial"/>
                <w:sz w:val="20"/>
                <w:szCs w:val="20"/>
                <w:color w:val="auto"/>
                <w:w w:val="94"/>
              </w:rPr>
              <w:t>101.INS</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Instance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20"/>
              <w:spacing w:after="0"/>
              <w:rPr>
                <w:sz w:val="20"/>
                <w:szCs w:val="20"/>
                <w:color w:val="auto"/>
              </w:rPr>
            </w:pPr>
            <w:r>
              <w:rPr>
                <w:rFonts w:ascii="Arial" w:cs="Arial" w:eastAsia="Arial" w:hAnsi="Arial"/>
                <w:sz w:val="20"/>
                <w:szCs w:val="20"/>
                <w:color w:val="auto"/>
                <w:w w:val="88"/>
              </w:rPr>
              <w:t>101.SCH</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Schema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00"/>
              <w:spacing w:after="0"/>
              <w:rPr>
                <w:sz w:val="20"/>
                <w:szCs w:val="20"/>
                <w:color w:val="auto"/>
              </w:rPr>
            </w:pPr>
            <w:r>
              <w:rPr>
                <w:rFonts w:ascii="Arial" w:cs="Arial" w:eastAsia="Arial" w:hAnsi="Arial"/>
                <w:sz w:val="20"/>
                <w:szCs w:val="20"/>
                <w:color w:val="auto"/>
                <w:w w:val="95"/>
              </w:rPr>
              <w:t>101.CAL</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101.DEF</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00"/>
              <w:spacing w:after="0"/>
              <w:rPr>
                <w:sz w:val="20"/>
                <w:szCs w:val="20"/>
                <w:color w:val="auto"/>
              </w:rPr>
            </w:pPr>
            <w:r>
              <w:rPr>
                <w:rFonts w:ascii="Arial" w:cs="Arial" w:eastAsia="Arial" w:hAnsi="Arial"/>
                <w:sz w:val="20"/>
                <w:szCs w:val="20"/>
                <w:color w:val="auto"/>
                <w:w w:val="96"/>
              </w:rPr>
              <w:t>101.LAB</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Label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101.PRE</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bl>
    <w:p>
      <w:pPr>
        <w:spacing w:after="0" w:line="236" w:lineRule="exact"/>
        <w:rPr>
          <w:sz w:val="20"/>
          <w:szCs w:val="20"/>
          <w:color w:val="auto"/>
        </w:rPr>
      </w:pPr>
    </w:p>
    <w:p>
      <w:pPr>
        <w:jc w:val="both"/>
        <w:ind w:firstLine="8"/>
        <w:spacing w:after="0" w:line="250" w:lineRule="auto"/>
        <w:tabs>
          <w:tab w:leader="none" w:pos="283"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5" w:lineRule="exact"/>
        <w:rPr>
          <w:sz w:val="20"/>
          <w:szCs w:val="20"/>
          <w:color w:val="auto"/>
        </w:rPr>
      </w:pPr>
    </w:p>
    <w:p>
      <w:pPr>
        <w:ind w:left="40"/>
        <w:spacing w:after="0"/>
        <w:tabs>
          <w:tab w:leader="none" w:pos="4680" w:val="left"/>
        </w:tabs>
        <w:rPr>
          <w:sz w:val="20"/>
          <w:szCs w:val="20"/>
          <w:color w:val="auto"/>
        </w:rPr>
      </w:pPr>
      <w:r>
        <w:rPr>
          <w:rFonts w:ascii="Arial" w:cs="Arial" w:eastAsia="Arial" w:hAnsi="Arial"/>
          <w:sz w:val="20"/>
          <w:szCs w:val="20"/>
          <w:color w:val="auto"/>
        </w:rPr>
        <w:t>Date:  November 2, 2018</w:t>
      </w:r>
      <w:r>
        <w:rPr>
          <w:sz w:val="20"/>
          <w:szCs w:val="20"/>
          <w:color w:val="auto"/>
        </w:rPr>
        <w:tab/>
      </w:r>
      <w:r>
        <w:rPr>
          <w:rFonts w:ascii="Arial" w:cs="Arial" w:eastAsia="Arial" w:hAnsi="Arial"/>
          <w:sz w:val="19"/>
          <w:szCs w:val="19"/>
          <w:color w:val="auto"/>
        </w:rPr>
        <w:t>BLOOMIN’ BRANDS, INC.</w:t>
      </w:r>
    </w:p>
    <w:p>
      <w:pPr>
        <w:spacing w:after="0" w:line="54"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(Registrant)</w:t>
      </w:r>
    </w:p>
    <w:p>
      <w:pPr>
        <w:spacing w:after="0" w:line="216"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By: /s/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27305</wp:posOffset>
            </wp:positionV>
            <wp:extent cx="42621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62120" cy="17145"/>
                    </a:xfrm>
                    <a:prstGeom prst="rect">
                      <a:avLst/>
                    </a:prstGeom>
                    <a:noFill/>
                  </pic:spPr>
                </pic:pic>
              </a:graphicData>
            </a:graphic>
          </wp:anchor>
        </w:drawing>
      </w:r>
    </w:p>
    <w:p>
      <w:pPr>
        <w:spacing w:after="0" w:line="6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David J. Deno</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Executive Vice President and Chief Financial and</w:t>
      </w:r>
    </w:p>
    <w:p>
      <w:pPr>
        <w:ind w:left="5200"/>
        <w:spacing w:after="0"/>
        <w:rPr>
          <w:sz w:val="20"/>
          <w:szCs w:val="20"/>
          <w:color w:val="auto"/>
        </w:rPr>
      </w:pPr>
      <w:r>
        <w:rPr>
          <w:rFonts w:ascii="Arial" w:cs="Arial" w:eastAsia="Arial" w:hAnsi="Arial"/>
          <w:sz w:val="20"/>
          <w:szCs w:val="20"/>
          <w:color w:val="auto"/>
        </w:rPr>
        <w:t>Administrative Officer</w:t>
      </w:r>
    </w:p>
    <w:p>
      <w:pPr>
        <w:ind w:left="5200"/>
        <w:spacing w:after="0"/>
        <w:rPr>
          <w:sz w:val="20"/>
          <w:szCs w:val="20"/>
          <w:color w:val="auto"/>
        </w:rPr>
      </w:pPr>
      <w:r>
        <w:rPr>
          <w:rFonts w:ascii="Arial" w:cs="Arial" w:eastAsia="Arial" w:hAnsi="Arial"/>
          <w:sz w:val="20"/>
          <w:szCs w:val="20"/>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Elizabeth A. Smith, certify that:</w:t>
      </w:r>
    </w:p>
    <w:p>
      <w:pPr>
        <w:spacing w:after="0" w:line="229" w:lineRule="exact"/>
        <w:rPr>
          <w:sz w:val="20"/>
          <w:szCs w:val="20"/>
          <w:color w:val="auto"/>
        </w:rPr>
      </w:pPr>
    </w:p>
    <w:p>
      <w:pPr>
        <w:ind w:left="580" w:hanging="572"/>
        <w:spacing w:after="0"/>
        <w:tabs>
          <w:tab w:leader="none" w:pos="5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580" w:right="20" w:hanging="572"/>
        <w:spacing w:after="0" w:line="316"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300" w:hanging="482"/>
        <w:spacing w:after="0" w:line="291"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5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5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69" w:lineRule="auto"/>
        <w:tabs>
          <w:tab w:leader="none" w:pos="1300" w:val="left"/>
        </w:tabs>
        <w:numPr>
          <w:ilvl w:val="1"/>
          <w:numId w:val="5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9"/>
          <w:szCs w:val="19"/>
          <w:color w:val="auto"/>
        </w:rPr>
      </w:pPr>
    </w:p>
    <w:p>
      <w:pPr>
        <w:jc w:val="both"/>
        <w:ind w:left="580" w:hanging="572"/>
        <w:spacing w:after="0" w:line="250" w:lineRule="auto"/>
        <w:tabs>
          <w:tab w:leader="none" w:pos="5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5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5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tabs>
          <w:tab w:leader="none" w:pos="700" w:val="left"/>
          <w:tab w:leader="none" w:pos="5040" w:val="left"/>
        </w:tabs>
        <w:rPr>
          <w:sz w:val="20"/>
          <w:szCs w:val="20"/>
          <w:color w:val="auto"/>
        </w:rPr>
      </w:pPr>
      <w:r>
        <w:rPr>
          <w:rFonts w:ascii="Arial" w:cs="Arial" w:eastAsia="Arial" w:hAnsi="Arial"/>
          <w:sz w:val="20"/>
          <w:szCs w:val="20"/>
          <w:color w:val="auto"/>
        </w:rPr>
        <w:t>Date:</w:t>
        <w:tab/>
        <w:t>November 2, 2018</w:t>
      </w:r>
      <w:r>
        <w:rPr>
          <w:sz w:val="20"/>
          <w:szCs w:val="20"/>
          <w:color w:val="auto"/>
        </w:rPr>
        <w:tab/>
      </w:r>
      <w:r>
        <w:rPr>
          <w:rFonts w:ascii="Arial" w:cs="Arial" w:eastAsia="Arial" w:hAnsi="Arial"/>
          <w:sz w:val="18"/>
          <w:szCs w:val="18"/>
          <w:color w:val="auto"/>
        </w:rPr>
        <w:t>/s/ Elizabeth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Elizabeth A. Smith</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420"/>
          </w:cols>
          <w:pgMar w:left="240" w:top="116"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David J. Deno, certify that:</w:t>
      </w:r>
    </w:p>
    <w:p>
      <w:pPr>
        <w:spacing w:after="0" w:line="216" w:lineRule="exact"/>
        <w:rPr>
          <w:sz w:val="20"/>
          <w:szCs w:val="20"/>
          <w:color w:val="auto"/>
        </w:rPr>
      </w:pPr>
    </w:p>
    <w:p>
      <w:pPr>
        <w:ind w:left="580" w:hanging="572"/>
        <w:spacing w:after="0"/>
        <w:tabs>
          <w:tab w:leader="none" w:pos="5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580" w:right="20" w:hanging="572"/>
        <w:spacing w:after="0" w:line="316"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300" w:hanging="482"/>
        <w:spacing w:after="0" w:line="291"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5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69" w:lineRule="auto"/>
        <w:tabs>
          <w:tab w:leader="none" w:pos="1300" w:val="left"/>
        </w:tabs>
        <w:numPr>
          <w:ilvl w:val="1"/>
          <w:numId w:val="5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9"/>
          <w:szCs w:val="19"/>
          <w:color w:val="auto"/>
        </w:rPr>
      </w:pPr>
    </w:p>
    <w:p>
      <w:pPr>
        <w:jc w:val="both"/>
        <w:ind w:left="580" w:hanging="572"/>
        <w:spacing w:after="0" w:line="250" w:lineRule="auto"/>
        <w:tabs>
          <w:tab w:leader="none" w:pos="5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5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tabs>
          <w:tab w:leader="none" w:pos="700" w:val="left"/>
          <w:tab w:leader="none" w:pos="5040" w:val="left"/>
        </w:tabs>
        <w:rPr>
          <w:sz w:val="20"/>
          <w:szCs w:val="20"/>
          <w:color w:val="auto"/>
        </w:rPr>
      </w:pPr>
      <w:r>
        <w:rPr>
          <w:rFonts w:ascii="Arial" w:cs="Arial" w:eastAsia="Arial" w:hAnsi="Arial"/>
          <w:sz w:val="20"/>
          <w:szCs w:val="20"/>
          <w:color w:val="auto"/>
        </w:rPr>
        <w:t>Date:</w:t>
        <w:tab/>
        <w:t>November 2, 2018</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Executive Vice President and Chief Financial and Administrative Officer</w:t>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420"/>
          </w:cols>
          <w:pgMar w:left="240" w:top="116"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Bloomin’ Brands, Inc. (the “Company”) on Form 10-Q for the quarter ended September 30, 2018 as filed with the Securities and Exchange Commission on the date hereof (the “Report”), I, Elizabeth A. Smith, Chief Executive Officer of the Company, hereby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3" w:lineRule="exact"/>
        <w:rPr>
          <w:sz w:val="20"/>
          <w:szCs w:val="20"/>
          <w:color w:val="auto"/>
        </w:rPr>
      </w:pPr>
    </w:p>
    <w:p>
      <w:pPr>
        <w:ind w:left="80"/>
        <w:spacing w:after="0"/>
        <w:tabs>
          <w:tab w:leader="none" w:pos="760" w:val="left"/>
          <w:tab w:leader="none" w:pos="5080" w:val="left"/>
        </w:tabs>
        <w:rPr>
          <w:sz w:val="20"/>
          <w:szCs w:val="20"/>
          <w:color w:val="auto"/>
        </w:rPr>
      </w:pPr>
      <w:r>
        <w:rPr>
          <w:rFonts w:ascii="Arial" w:cs="Arial" w:eastAsia="Arial" w:hAnsi="Arial"/>
          <w:sz w:val="20"/>
          <w:szCs w:val="20"/>
          <w:color w:val="auto"/>
        </w:rPr>
        <w:t>Date:</w:t>
        <w:tab/>
        <w:t>November 2, 2018</w:t>
      </w:r>
      <w:r>
        <w:rPr>
          <w:sz w:val="20"/>
          <w:szCs w:val="20"/>
          <w:color w:val="auto"/>
        </w:rPr>
        <w:tab/>
      </w:r>
      <w:r>
        <w:rPr>
          <w:rFonts w:ascii="Arial" w:cs="Arial" w:eastAsia="Arial" w:hAnsi="Arial"/>
          <w:sz w:val="18"/>
          <w:szCs w:val="18"/>
          <w:color w:val="auto"/>
        </w:rPr>
        <w:t>/s/ Elizabeth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27305</wp:posOffset>
            </wp:positionV>
            <wp:extent cx="40303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Elizabeth A. Smith</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(Principal Executive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Bloomin’ Brands, Inc. (the “Company”) on Form 10-Q for the quarter ended September 30, 2018 as filed with the Securities and Exchange Commission on the date hereof (the “Report”), I, David J. Deno, Executive Vice President and Chief Financial and Administrative Officer of the Company, hereby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3" w:lineRule="exact"/>
        <w:rPr>
          <w:sz w:val="20"/>
          <w:szCs w:val="20"/>
          <w:color w:val="auto"/>
        </w:rPr>
      </w:pPr>
    </w:p>
    <w:p>
      <w:pPr>
        <w:ind w:left="80"/>
        <w:spacing w:after="0"/>
        <w:tabs>
          <w:tab w:leader="none" w:pos="760" w:val="left"/>
          <w:tab w:leader="none" w:pos="5080" w:val="left"/>
        </w:tabs>
        <w:rPr>
          <w:sz w:val="20"/>
          <w:szCs w:val="20"/>
          <w:color w:val="auto"/>
        </w:rPr>
      </w:pPr>
      <w:r>
        <w:rPr>
          <w:rFonts w:ascii="Arial" w:cs="Arial" w:eastAsia="Arial" w:hAnsi="Arial"/>
          <w:sz w:val="20"/>
          <w:szCs w:val="20"/>
          <w:color w:val="auto"/>
        </w:rPr>
        <w:t>Date:</w:t>
        <w:tab/>
        <w:t>November 2, 2018</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27305</wp:posOffset>
            </wp:positionV>
            <wp:extent cx="40303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Executive Vice President and Chief Financial and Administrative Officer</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(Principal Financial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upperLetter"/>
      <w:start w:val="24"/>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10"/>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1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lowerRoman"/>
      <w:start w:val="1"/>
    </w:lvl>
  </w:abstractNum>
  <w:abstractNum w:abstractNumId="28">
    <w:nsid w:val="57E4CCAF"/>
    <w:multiLevelType w:val="hybridMultilevel"/>
    <w:lvl w:ilvl="0">
      <w:lvlJc w:val="left"/>
      <w:lvlText w:val="(%1)"/>
      <w:numFmt w:val="lowerRoman"/>
      <w:start w:val="8"/>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lowerRoman"/>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2"/>
    </w:lvl>
  </w:abstractNum>
  <w:abstractNum w:abstractNumId="38">
    <w:nsid w:val="749ABB43"/>
    <w:multiLevelType w:val="hybridMultilevel"/>
    <w:lvl w:ilvl="0">
      <w:lvlJc w:val="left"/>
      <w:lvlText w:val="(%1)"/>
      <w:numFmt w:val="lowerRoman"/>
      <w:start w:val="2"/>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lowerRoman"/>
      <w:start w:val="4"/>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2019-12-28T18:34:22Z</dcterms:created>
  <dcterms:modified xsi:type="dcterms:W3CDTF">2019-12-28T18:34:22Z</dcterms:modified>
</cp:coreProperties>
</file>