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24"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4"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4"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4"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24"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center"/>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UNITED STATES</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SECURITIES AND EXCHANGE COMMISSION</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tbl>
      <w:tblPr>
        <w:tblW w:w="10205" w:type="dxa"/>
        <w:jc w:val="left"/>
        <w:tblInd w:w="0" w:type="dxa"/>
        <w:tblCellMar>
          <w:top w:w="28" w:type="dxa"/>
          <w:left w:w="28" w:type="dxa"/>
          <w:bottom w:w="28" w:type="dxa"/>
          <w:right w:w="28" w:type="dxa"/>
        </w:tblCellMar>
      </w:tblPr>
      <w:tblGrid>
        <w:gridCol w:w="414"/>
        <w:gridCol w:w="363"/>
        <w:gridCol w:w="365"/>
        <w:gridCol w:w="959"/>
        <w:gridCol w:w="959"/>
        <w:gridCol w:w="959"/>
        <w:gridCol w:w="959"/>
        <w:gridCol w:w="959"/>
        <w:gridCol w:w="959"/>
        <w:gridCol w:w="959"/>
        <w:gridCol w:w="959"/>
        <w:gridCol w:w="1391"/>
      </w:tblGrid>
      <w:tr>
        <w:trPr/>
        <w:tc>
          <w:tcPr>
            <w:tcW w:w="414"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1391" w:type="dxa"/>
            <w:tcBorders/>
            <w:shd w:fill="auto" w:val="clear"/>
            <w:vAlign w:val="center"/>
          </w:tcPr>
          <w:p>
            <w:pPr>
              <w:pStyle w:val="TableContents"/>
              <w:spacing w:before="0" w:after="283"/>
              <w:rPr>
                <w:sz w:val="4"/>
                <w:szCs w:val="4"/>
              </w:rPr>
            </w:pPr>
            <w:r>
              <w:rPr>
                <w:sz w:val="4"/>
                <w:szCs w:val="4"/>
              </w:rPr>
            </w:r>
          </w:p>
        </w:tc>
      </w:tr>
      <w:tr>
        <w:trPr/>
        <w:tc>
          <w:tcPr>
            <w:tcW w:w="11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(Mark One)</w:t>
            </w:r>
          </w:p>
        </w:tc>
        <w:tc>
          <w:tcPr>
            <w:tcW w:w="9063"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1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063"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QUARTERLY REPORT PURSUANT TO SECTION 13 OR 15(d) OF THE SECURITIES EXCHANGE ACT OF 1934</w:t>
            </w:r>
          </w:p>
        </w:tc>
      </w:tr>
      <w:tr>
        <w:trPr/>
        <w:tc>
          <w:tcPr>
            <w:tcW w:w="11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63" w:type="dxa"/>
            <w:gridSpan w:val="9"/>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For the quarterly period ended March 26, 2023</w:t>
            </w:r>
          </w:p>
        </w:tc>
      </w:tr>
      <w:tr>
        <w:trPr/>
        <w:tc>
          <w:tcPr>
            <w:tcW w:w="10205"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or</w:t>
            </w:r>
          </w:p>
        </w:tc>
      </w:tr>
      <w:tr>
        <w:trPr/>
        <w:tc>
          <w:tcPr>
            <w:tcW w:w="11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063"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TRANSITION REPORT PURSUANT TO SECTION 13 OR 15(d) OF THE SECURITIES EXCHANGE ACT OF 1934</w:t>
            </w:r>
          </w:p>
        </w:tc>
      </w:tr>
      <w:tr>
        <w:trPr/>
        <w:tc>
          <w:tcPr>
            <w:tcW w:w="11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63"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For the transition period from ______ to ______</w:t>
            </w:r>
          </w:p>
        </w:tc>
      </w:tr>
    </w:tbl>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Commission File Number: 001-35625 </w:t>
      </w:r>
    </w:p>
    <w:p>
      <w:pPr>
        <w:pStyle w:val="TextBody"/>
        <w:spacing w:before="0" w:after="0"/>
        <w:jc w:val="center"/>
        <w:rPr/>
      </w:pPr>
      <w:r>
        <w:rPr/>
      </w:r>
    </w:p>
    <w:p>
      <w:pPr>
        <w:pStyle w:val="TextBody"/>
        <w:spacing w:before="0" w:after="0"/>
        <w:jc w:val="center"/>
        <w:rPr/>
      </w:pPr>
      <w:r>
        <w:rPr/>
        <w:drawing>
          <wp:inline distT="0" distB="63500" distL="0" distR="0">
            <wp:extent cx="962025" cy="1533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62025" cy="1533525"/>
                    </a:xfrm>
                    <a:prstGeom prst="rect">
                      <a:avLst/>
                    </a:prstGeom>
                  </pic:spPr>
                </pic:pic>
              </a:graphicData>
            </a:graphic>
          </wp:inline>
        </w:drawing>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BLOOMIN’ BRANDS, INC.</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7227" w:type="dxa"/>
        <w:jc w:val="center"/>
        <w:tblInd w:w="0" w:type="dxa"/>
        <w:tblCellMar>
          <w:top w:w="28" w:type="dxa"/>
          <w:left w:w="28" w:type="dxa"/>
          <w:bottom w:w="28" w:type="dxa"/>
          <w:right w:w="28" w:type="dxa"/>
        </w:tblCellMar>
      </w:tblPr>
      <w:tblGrid>
        <w:gridCol w:w="1560"/>
        <w:gridCol w:w="1374"/>
        <w:gridCol w:w="1386"/>
        <w:gridCol w:w="109"/>
        <w:gridCol w:w="109"/>
        <w:gridCol w:w="109"/>
        <w:gridCol w:w="752"/>
        <w:gridCol w:w="752"/>
        <w:gridCol w:w="1076"/>
      </w:tblGrid>
      <w:tr>
        <w:trPr/>
        <w:tc>
          <w:tcPr>
            <w:tcW w:w="1560"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c>
          <w:tcPr>
            <w:tcW w:w="13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1076" w:type="dxa"/>
            <w:tcBorders/>
            <w:shd w:fill="auto" w:val="clear"/>
            <w:vAlign w:val="center"/>
          </w:tcPr>
          <w:p>
            <w:pPr>
              <w:pStyle w:val="TableContents"/>
              <w:spacing w:before="0" w:after="283"/>
              <w:rPr>
                <w:sz w:val="4"/>
                <w:szCs w:val="4"/>
              </w:rPr>
            </w:pPr>
            <w:r>
              <w:rPr>
                <w:sz w:val="4"/>
                <w:szCs w:val="4"/>
              </w:rPr>
            </w:r>
          </w:p>
        </w:tc>
      </w:tr>
      <w:tr>
        <w:trPr/>
        <w:tc>
          <w:tcPr>
            <w:tcW w:w="43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20-8023465</w:t>
            </w:r>
          </w:p>
        </w:tc>
      </w:tr>
      <w:tr>
        <w:trPr/>
        <w:tc>
          <w:tcPr>
            <w:tcW w:w="43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bl>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2202 North West Shore Boulevard, Suite 500, Tampa, FL 33607 </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 (Zip Code)</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(813) 282-1225 </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N/A</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former address and former fiscal year, if changed since last report)</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016" w:type="dxa"/>
        <w:jc w:val="center"/>
        <w:tblInd w:w="0" w:type="dxa"/>
        <w:tblCellMar>
          <w:top w:w="28" w:type="dxa"/>
          <w:left w:w="28" w:type="dxa"/>
          <w:bottom w:w="28" w:type="dxa"/>
          <w:right w:w="28" w:type="dxa"/>
        </w:tblCellMar>
      </w:tblPr>
      <w:tblGrid>
        <w:gridCol w:w="477"/>
        <w:gridCol w:w="420"/>
        <w:gridCol w:w="422"/>
        <w:gridCol w:w="440"/>
        <w:gridCol w:w="440"/>
        <w:gridCol w:w="440"/>
        <w:gridCol w:w="109"/>
        <w:gridCol w:w="109"/>
        <w:gridCol w:w="109"/>
        <w:gridCol w:w="484"/>
        <w:gridCol w:w="484"/>
        <w:gridCol w:w="486"/>
        <w:gridCol w:w="109"/>
        <w:gridCol w:w="109"/>
        <w:gridCol w:w="109"/>
        <w:gridCol w:w="956"/>
        <w:gridCol w:w="956"/>
        <w:gridCol w:w="1357"/>
      </w:tblGrid>
      <w:tr>
        <w:trPr/>
        <w:tc>
          <w:tcPr>
            <w:tcW w:w="477"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r>
      <w:tr>
        <w:trPr/>
        <w:tc>
          <w:tcPr>
            <w:tcW w:w="2639"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13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Common Stock</w:t>
            </w:r>
          </w:p>
        </w:tc>
        <w:tc>
          <w:tcPr>
            <w:tcW w:w="13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$0.01 par value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BLMN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The Nasdaq Stock Market LLC</w:t>
            </w:r>
          </w:p>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(Nasdaq Global Select Market)</w:t>
            </w:r>
          </w:p>
        </w:tc>
      </w:tr>
    </w:tbl>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 xml:space="preserve">No </w:t>
      </w:r>
      <w:r>
        <w:rPr>
          <w:color w:val="000000"/>
        </w:rPr>
        <w:t>☐</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 xml:space="preserve">No </w:t>
      </w:r>
      <w:r>
        <w:rPr>
          <w:color w:val="000000"/>
        </w:rPr>
        <w: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rPr/>
      </w:pPr>
      <w:r>
        <w:rPr/>
      </w:r>
    </w:p>
    <w:p>
      <w:pPr>
        <w:pStyle w:val="TextBody"/>
        <w:spacing w:lineRule="auto" w:line="288" w:before="0" w:after="0"/>
        <w:jc w:val="center"/>
        <w:rPr/>
      </w:pPr>
      <w:r>
        <w:rPr>
          <w:rFonts w:ascii="Times New Roman;sans-serif" w:hAnsi="Times New Roman;sans-serif"/>
          <w:b w:val="false"/>
          <w:color w:val="000000"/>
          <w:sz w:val="20"/>
        </w:rPr>
        <w:t xml:space="preserve">Large accelerated filer </w:t>
      </w:r>
      <w:r>
        <w:rPr>
          <w:color w:val="000000"/>
        </w:rPr>
        <w:t xml:space="preserve">☒ </w:t>
      </w:r>
      <w:r>
        <w:rPr>
          <w:rFonts w:ascii="Times New Roman;sans-serif" w:hAnsi="Times New Roman;sans-serif"/>
          <w:b w:val="false"/>
          <w:color w:val="000000"/>
          <w:sz w:val="20"/>
        </w:rPr>
        <w:t>Accelerated filer</w:t>
      </w:r>
      <w:r>
        <w:rPr>
          <w:color w:val="000000"/>
        </w:rPr>
        <w:t xml:space="preserve"> ☐ </w:t>
      </w:r>
      <w:r>
        <w:rPr>
          <w:rFonts w:ascii="Times New Roman;sans-serif" w:hAnsi="Times New Roman;sans-serif"/>
          <w:b w:val="false"/>
          <w:color w:val="000000"/>
          <w:sz w:val="20"/>
        </w:rPr>
        <w:t xml:space="preserve">Non-accelerated filer </w:t>
      </w:r>
      <w:r>
        <w:rPr>
          <w:color w:val="000000"/>
        </w:rPr>
        <w:t>☐</w:t>
      </w:r>
    </w:p>
    <w:p>
      <w:pPr>
        <w:pStyle w:val="TextBody"/>
        <w:spacing w:lineRule="auto" w:line="288" w:before="0" w:after="0"/>
        <w:jc w:val="center"/>
        <w:rPr/>
      </w:pPr>
      <w:r>
        <w:rPr>
          <w:rFonts w:ascii="Times New Roman;sans-serif" w:hAnsi="Times New Roman;sans-serif"/>
          <w:b w:val="false"/>
          <w:color w:val="000000"/>
          <w:sz w:val="20"/>
        </w:rPr>
        <w:t xml:space="preserve">Smaller reporting company </w:t>
      </w:r>
      <w:r>
        <w:rPr>
          <w:color w:val="000000"/>
        </w:rPr>
        <w:t xml:space="preserve">☐ </w:t>
      </w:r>
      <w:r>
        <w:rPr>
          <w:rFonts w:ascii="Times New Roman;sans-serif" w:hAnsi="Times New Roman;sans-serif"/>
          <w:b w:val="false"/>
          <w:color w:val="000000"/>
          <w:sz w:val="20"/>
        </w:rPr>
        <w:t xml:space="preserve">Emerging growth company </w:t>
      </w:r>
      <w:r>
        <w:rPr>
          <w:color w:val="000000"/>
        </w:rPr>
        <w:t xml:space="preserve">☐ </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20"/>
        </w:rPr>
        <w:t>No </w:t>
      </w:r>
      <w:r>
        <w:rPr>
          <w:color w:val="000000"/>
        </w:rPr>
        <w:t xml:space="preserv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of April 27, 2023, 87,293,770 shares of common stock of the registrant were outstanding.</w:t>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bottom w:val="single" w:sz="24"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24"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24"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24"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bottom w:val="single" w:sz="24"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754225e3f1024615994983297e2dce8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spacing w:before="0" w:after="0"/>
        <w:jc w:val="center"/>
        <w:rPr/>
      </w:pPr>
      <w:r>
        <w:rPr/>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INDEX TO QUARTERLY REPORT ON FORM 10-Q</w:t>
      </w:r>
    </w:p>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For the Quarterly Period Ended March 26, 2023 </w:t>
      </w:r>
    </w:p>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(Unaudited)</w:t>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TABLE OF CONTENTS</w: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339"/>
        <w:gridCol w:w="297"/>
        <w:gridCol w:w="300"/>
        <w:gridCol w:w="2757"/>
        <w:gridCol w:w="2757"/>
        <w:gridCol w:w="2760"/>
        <w:gridCol w:w="290"/>
        <w:gridCol w:w="290"/>
        <w:gridCol w:w="415"/>
      </w:tblGrid>
      <w:tr>
        <w:trPr/>
        <w:tc>
          <w:tcPr>
            <w:tcW w:w="339"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2757" w:type="dxa"/>
            <w:tcBorders/>
            <w:shd w:fill="auto" w:val="clear"/>
            <w:vAlign w:val="center"/>
          </w:tcPr>
          <w:p>
            <w:pPr>
              <w:pStyle w:val="TableContents"/>
              <w:spacing w:before="0" w:after="283"/>
              <w:rPr>
                <w:sz w:val="4"/>
                <w:szCs w:val="4"/>
              </w:rPr>
            </w:pPr>
            <w:r>
              <w:rPr>
                <w:sz w:val="4"/>
                <w:szCs w:val="4"/>
              </w:rPr>
            </w:r>
          </w:p>
        </w:tc>
        <w:tc>
          <w:tcPr>
            <w:tcW w:w="2757" w:type="dxa"/>
            <w:tcBorders/>
            <w:shd w:fill="auto" w:val="clear"/>
            <w:vAlign w:val="center"/>
          </w:tcPr>
          <w:p>
            <w:pPr>
              <w:pStyle w:val="TableContents"/>
              <w:spacing w:before="0" w:after="283"/>
              <w:rPr>
                <w:sz w:val="4"/>
                <w:szCs w:val="4"/>
              </w:rPr>
            </w:pPr>
            <w:r>
              <w:rPr>
                <w:sz w:val="4"/>
                <w:szCs w:val="4"/>
              </w:rPr>
            </w:r>
          </w:p>
        </w:tc>
        <w:tc>
          <w:tcPr>
            <w:tcW w:w="276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r>
      <w:tr>
        <w:trPr/>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27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54225e3f1024615994983297e2dce82_10">
              <w:r>
                <w:rPr>
                  <w:rStyle w:val="InternetLink"/>
                  <w:rFonts w:ascii="Times New Roman;sans-serif" w:hAnsi="Times New Roman;sans-serif"/>
                  <w:b w:val="false"/>
                  <w:color w:val="0000FF"/>
                  <w:sz w:val="22"/>
                  <w:u w:val="single"/>
                </w:rPr>
                <w:t>PART I — FINANCIAL INFORMATION</w:t>
              </w:r>
            </w:hyperlink>
          </w:p>
        </w:tc>
        <w:tc>
          <w:tcPr>
            <w:tcW w:w="9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Page No.</w:t>
            </w:r>
          </w:p>
        </w:tc>
      </w:tr>
      <w:tr>
        <w:trPr/>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Item 1.</w:t>
            </w:r>
          </w:p>
        </w:tc>
        <w:tc>
          <w:tcPr>
            <w:tcW w:w="827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4225e3f1024615994983297e2dce82_13">
              <w:r>
                <w:rPr>
                  <w:rStyle w:val="InternetLink"/>
                  <w:rFonts w:ascii="Times New Roman;sans-serif" w:hAnsi="Times New Roman;sans-serif"/>
                  <w:b w:val="false"/>
                  <w:color w:val="0000FF"/>
                  <w:sz w:val="22"/>
                  <w:u w:val="single"/>
                </w:rPr>
                <w:t>Financial Statements (Unaudited)</w:t>
              </w:r>
            </w:hyperlink>
          </w:p>
        </w:tc>
        <w:tc>
          <w:tcPr>
            <w:tcW w:w="99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54225e3f1024615994983297e2dce82_13">
              <w:r>
                <w:rPr>
                  <w:rStyle w:val="InternetLink"/>
                  <w:rFonts w:ascii="Times New Roman;sans-serif" w:hAnsi="Times New Roman;sans-serif"/>
                  <w:b w:val="false"/>
                  <w:color w:val="0000FF"/>
                  <w:sz w:val="22"/>
                  <w:u w:val="single"/>
                </w:rPr>
                <w:t>3</w:t>
              </w:r>
            </w:hyperlink>
          </w:p>
        </w:tc>
      </w:tr>
      <w:tr>
        <w:trPr/>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4225e3f1024615994983297e2dce82_13">
              <w:r>
                <w:rPr>
                  <w:rStyle w:val="InternetLink"/>
                  <w:rFonts w:ascii="Times New Roman;sans-serif" w:hAnsi="Times New Roman;sans-serif"/>
                  <w:b w:val="false"/>
                  <w:color w:val="0000FF"/>
                  <w:sz w:val="22"/>
                  <w:u w:val="single"/>
                </w:rPr>
                <w:t>Consolidated Financial Statements:</w:t>
              </w:r>
            </w:hyperlink>
          </w:p>
        </w:tc>
        <w:tc>
          <w:tcPr>
            <w:tcW w:w="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4225e3f1024615994983297e2dce82_16">
              <w:r>
                <w:rPr>
                  <w:rStyle w:val="InternetLink"/>
                </w:rPr>
                <w:t>Consolidated Balance Sheets —</w:t>
              </w:r>
            </w:hyperlink>
            <w:hyperlink w:anchor="i754225e3f1024615994983297e2dce82_16">
              <w:r>
                <w:rPr>
                  <w:rStyle w:val="InternetLink"/>
                </w:rPr>
                <w:t xml:space="preserve"> March 26, 2023</w:t>
              </w:r>
            </w:hyperlink>
            <w:hyperlink w:anchor="i754225e3f1024615994983297e2dce82_16">
              <w:r>
                <w:rPr>
                  <w:rStyle w:val="InternetLink"/>
                </w:rPr>
                <w:t xml:space="preserve"> and December 2</w:t>
              </w:r>
            </w:hyperlink>
            <w:hyperlink w:anchor="i754225e3f1024615994983297e2dce82_16">
              <w:r>
                <w:rPr>
                  <w:rStyle w:val="InternetLink"/>
                </w:rPr>
                <w:t>5</w:t>
              </w:r>
            </w:hyperlink>
            <w:hyperlink w:anchor="i754225e3f1024615994983297e2dce82_16">
              <w:r>
                <w:rPr>
                  <w:rStyle w:val="InternetLink"/>
                </w:rPr>
                <w:t>, 20</w:t>
              </w:r>
            </w:hyperlink>
            <w:hyperlink w:anchor="i754225e3f1024615994983297e2dce82_16">
              <w:r>
                <w:rPr>
                  <w:rStyle w:val="InternetLink"/>
                </w:rPr>
                <w:t>2</w:t>
              </w:r>
            </w:hyperlink>
            <w:hyperlink w:anchor="i754225e3f1024615994983297e2dce82_16">
              <w:r>
                <w:rPr>
                  <w:rStyle w:val="InternetLink"/>
                </w:rPr>
                <w:t>2</w:t>
              </w:r>
            </w:hyperlink>
          </w:p>
        </w:tc>
        <w:tc>
          <w:tcPr>
            <w:tcW w:w="99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54225e3f1024615994983297e2dce82_16">
              <w:r>
                <w:rPr>
                  <w:rStyle w:val="InternetLink"/>
                  <w:rFonts w:ascii="Times New Roman;sans-serif" w:hAnsi="Times New Roman;sans-serif"/>
                  <w:b w:val="false"/>
                  <w:color w:val="0000FF"/>
                  <w:sz w:val="22"/>
                  <w:u w:val="single"/>
                </w:rPr>
                <w:t>3</w:t>
              </w:r>
            </w:hyperlink>
          </w:p>
        </w:tc>
      </w:tr>
      <w:tr>
        <w:trPr/>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27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4225e3f1024615994983297e2dce82_19">
              <w:r>
                <w:rPr>
                  <w:rStyle w:val="InternetLink"/>
                  <w:rFonts w:ascii="Times New Roman;sans-serif" w:hAnsi="Times New Roman;sans-serif"/>
                  <w:b w:val="false"/>
                  <w:color w:val="0000FF"/>
                  <w:sz w:val="22"/>
                  <w:u w:val="single"/>
                </w:rPr>
                <w:t>Consolidated Statements of Operations and Comprehensive Income —</w:t>
              </w:r>
            </w:hyperlink>
          </w:p>
          <w:p>
            <w:pPr>
              <w:pStyle w:val="TableContents"/>
              <w:spacing w:lineRule="auto" w:line="240" w:before="0" w:after="0"/>
              <w:jc w:val="left"/>
              <w:rPr/>
            </w:pPr>
            <w:hyperlink w:anchor="i754225e3f1024615994983297e2dce82_19">
              <w:r>
                <w:rPr>
                  <w:rStyle w:val="InternetLink"/>
                </w:rPr>
                <w:t xml:space="preserve">For the Thirteen </w:t>
              </w:r>
            </w:hyperlink>
            <w:hyperlink w:anchor="i754225e3f1024615994983297e2dce82_19">
              <w:r>
                <w:rPr>
                  <w:rStyle w:val="InternetLink"/>
                </w:rPr>
                <w:t xml:space="preserve">Weeks Ended </w:t>
              </w:r>
            </w:hyperlink>
            <w:hyperlink w:anchor="i754225e3f1024615994983297e2dce82_19">
              <w:r>
                <w:rPr>
                  <w:rStyle w:val="InternetLink"/>
                </w:rPr>
                <w:t>March 26</w:t>
              </w:r>
            </w:hyperlink>
            <w:hyperlink w:anchor="i754225e3f1024615994983297e2dce82_19">
              <w:r>
                <w:rPr>
                  <w:rStyle w:val="InternetLink"/>
                </w:rPr>
                <w:t>, 202</w:t>
              </w:r>
            </w:hyperlink>
            <w:hyperlink w:anchor="i754225e3f1024615994983297e2dce82_19">
              <w:r>
                <w:rPr>
                  <w:rStyle w:val="InternetLink"/>
                </w:rPr>
                <w:t>3</w:t>
              </w:r>
            </w:hyperlink>
            <w:hyperlink w:anchor="i754225e3f1024615994983297e2dce82_19">
              <w:r>
                <w:rPr>
                  <w:rStyle w:val="InternetLink"/>
                </w:rPr>
                <w:t xml:space="preserve"> and </w:t>
              </w:r>
            </w:hyperlink>
            <w:hyperlink w:anchor="i754225e3f1024615994983297e2dce82_19">
              <w:r>
                <w:rPr>
                  <w:rStyle w:val="InternetLink"/>
                </w:rPr>
                <w:t>March</w:t>
              </w:r>
            </w:hyperlink>
            <w:hyperlink w:anchor="i754225e3f1024615994983297e2dce82_19">
              <w:r>
                <w:rPr>
                  <w:rStyle w:val="InternetLink"/>
                </w:rPr>
                <w:t xml:space="preserve"> 2</w:t>
              </w:r>
            </w:hyperlink>
            <w:hyperlink w:anchor="i754225e3f1024615994983297e2dce82_19">
              <w:r>
                <w:rPr>
                  <w:rStyle w:val="InternetLink"/>
                </w:rPr>
                <w:t>7</w:t>
              </w:r>
            </w:hyperlink>
            <w:hyperlink w:anchor="i754225e3f1024615994983297e2dce82_19">
              <w:r>
                <w:rPr>
                  <w:rStyle w:val="InternetLink"/>
                </w:rPr>
                <w:t>, 202</w:t>
              </w:r>
            </w:hyperlink>
            <w:hyperlink w:anchor="i754225e3f1024615994983297e2dce82_19">
              <w:r>
                <w:rPr>
                  <w:rStyle w:val="InternetLink"/>
                </w:rPr>
                <w:t>2</w:t>
              </w:r>
            </w:hyperlink>
          </w:p>
        </w:tc>
        <w:tc>
          <w:tcPr>
            <w:tcW w:w="99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54225e3f1024615994983297e2dce82_19">
              <w:r>
                <w:rPr>
                  <w:rStyle w:val="InternetLink"/>
                  <w:rFonts w:ascii="Times New Roman;sans-serif" w:hAnsi="Times New Roman;sans-serif"/>
                  <w:b w:val="false"/>
                  <w:color w:val="0000FF"/>
                  <w:sz w:val="22"/>
                  <w:u w:val="single"/>
                </w:rPr>
                <w:t>4</w:t>
              </w:r>
            </w:hyperlink>
          </w:p>
        </w:tc>
      </w:tr>
      <w:tr>
        <w:trPr/>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27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4225e3f1024615994983297e2dce82_22">
              <w:r>
                <w:rPr>
                  <w:rStyle w:val="InternetLink"/>
                  <w:rFonts w:ascii="Times New Roman;sans-serif" w:hAnsi="Times New Roman;sans-serif"/>
                  <w:b w:val="false"/>
                  <w:color w:val="0000FF"/>
                  <w:sz w:val="22"/>
                  <w:u w:val="single"/>
                </w:rPr>
                <w:t>Consolidated Statements of Changes in Stockholders’ Equity —</w:t>
              </w:r>
            </w:hyperlink>
          </w:p>
          <w:p>
            <w:pPr>
              <w:pStyle w:val="TableContents"/>
              <w:spacing w:lineRule="auto" w:line="240" w:before="0" w:after="0"/>
              <w:jc w:val="left"/>
              <w:rPr/>
            </w:pPr>
            <w:hyperlink w:anchor="i754225e3f1024615994983297e2dce82_22">
              <w:r>
                <w:rPr>
                  <w:rStyle w:val="InternetLink"/>
                </w:rPr>
                <w:t>For the Thirteen</w:t>
              </w:r>
            </w:hyperlink>
            <w:hyperlink w:anchor="i754225e3f1024615994983297e2dce82_22">
              <w:r>
                <w:rPr>
                  <w:rStyle w:val="InternetLink"/>
                </w:rPr>
                <w:t xml:space="preserve"> Weeks Ended</w:t>
              </w:r>
            </w:hyperlink>
            <w:hyperlink w:anchor="i754225e3f1024615994983297e2dce82_22">
              <w:r>
                <w:rPr>
                  <w:rStyle w:val="InternetLink"/>
                </w:rPr>
                <w:t xml:space="preserve"> March</w:t>
              </w:r>
            </w:hyperlink>
            <w:hyperlink w:anchor="i754225e3f1024615994983297e2dce82_22">
              <w:r>
                <w:rPr>
                  <w:rStyle w:val="InternetLink"/>
                </w:rPr>
                <w:t xml:space="preserve"> 2</w:t>
              </w:r>
            </w:hyperlink>
            <w:hyperlink w:anchor="i754225e3f1024615994983297e2dce82_22">
              <w:r>
                <w:rPr>
                  <w:rStyle w:val="InternetLink"/>
                </w:rPr>
                <w:t>6</w:t>
              </w:r>
            </w:hyperlink>
            <w:hyperlink w:anchor="i754225e3f1024615994983297e2dce82_22">
              <w:r>
                <w:rPr>
                  <w:rStyle w:val="InternetLink"/>
                </w:rPr>
                <w:t>, 202</w:t>
              </w:r>
            </w:hyperlink>
            <w:hyperlink w:anchor="i754225e3f1024615994983297e2dce82_22">
              <w:r>
                <w:rPr>
                  <w:rStyle w:val="InternetLink"/>
                </w:rPr>
                <w:t>3</w:t>
              </w:r>
            </w:hyperlink>
            <w:hyperlink w:anchor="i754225e3f1024615994983297e2dce82_22">
              <w:r>
                <w:rPr>
                  <w:rStyle w:val="InternetLink"/>
                </w:rPr>
                <w:t xml:space="preserve"> and</w:t>
              </w:r>
            </w:hyperlink>
            <w:hyperlink w:anchor="i754225e3f1024615994983297e2dce82_22">
              <w:r>
                <w:rPr>
                  <w:rStyle w:val="InternetLink"/>
                </w:rPr>
                <w:t xml:space="preserve"> March</w:t>
              </w:r>
            </w:hyperlink>
            <w:hyperlink w:anchor="i754225e3f1024615994983297e2dce82_22">
              <w:r>
                <w:rPr>
                  <w:rStyle w:val="InternetLink"/>
                </w:rPr>
                <w:t xml:space="preserve"> 2</w:t>
              </w:r>
            </w:hyperlink>
            <w:hyperlink w:anchor="i754225e3f1024615994983297e2dce82_22">
              <w:r>
                <w:rPr>
                  <w:rStyle w:val="InternetLink"/>
                </w:rPr>
                <w:t>7</w:t>
              </w:r>
            </w:hyperlink>
            <w:hyperlink w:anchor="i754225e3f1024615994983297e2dce82_22">
              <w:r>
                <w:rPr>
                  <w:rStyle w:val="InternetLink"/>
                </w:rPr>
                <w:t>, 202</w:t>
              </w:r>
            </w:hyperlink>
            <w:hyperlink w:anchor="i754225e3f1024615994983297e2dce82_22">
              <w:r>
                <w:rPr>
                  <w:rStyle w:val="InternetLink"/>
                </w:rPr>
                <w:t>2</w:t>
              </w:r>
            </w:hyperlink>
          </w:p>
        </w:tc>
        <w:tc>
          <w:tcPr>
            <w:tcW w:w="99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54225e3f1024615994983297e2dce82_22">
              <w:r>
                <w:rPr>
                  <w:rStyle w:val="InternetLink"/>
                  <w:rFonts w:ascii="Times New Roman;sans-serif" w:hAnsi="Times New Roman;sans-serif"/>
                  <w:b w:val="false"/>
                  <w:color w:val="0000FF"/>
                  <w:sz w:val="22"/>
                  <w:u w:val="single"/>
                </w:rPr>
                <w:t>5</w:t>
              </w:r>
            </w:hyperlink>
          </w:p>
        </w:tc>
      </w:tr>
      <w:tr>
        <w:trPr/>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27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4225e3f1024615994983297e2dce82_25">
              <w:r>
                <w:rPr>
                  <w:rStyle w:val="InternetLink"/>
                  <w:rFonts w:ascii="Times New Roman;sans-serif" w:hAnsi="Times New Roman;sans-serif"/>
                  <w:b w:val="false"/>
                  <w:color w:val="0000FF"/>
                  <w:sz w:val="22"/>
                  <w:u w:val="single"/>
                </w:rPr>
                <w:t>Condensed Consolidated Statements of Cash Flows —</w:t>
              </w:r>
            </w:hyperlink>
          </w:p>
          <w:p>
            <w:pPr>
              <w:pStyle w:val="TableContents"/>
              <w:spacing w:lineRule="auto" w:line="240" w:before="0" w:after="0"/>
              <w:jc w:val="left"/>
              <w:rPr/>
            </w:pPr>
            <w:hyperlink w:anchor="i754225e3f1024615994983297e2dce82_25">
              <w:r>
                <w:rPr>
                  <w:rStyle w:val="InternetLink"/>
                </w:rPr>
                <w:t>For the Th</w:t>
              </w:r>
            </w:hyperlink>
            <w:hyperlink w:anchor="i754225e3f1024615994983297e2dce82_25">
              <w:r>
                <w:rPr>
                  <w:rStyle w:val="InternetLink"/>
                </w:rPr>
                <w:t>ir</w:t>
              </w:r>
            </w:hyperlink>
            <w:hyperlink w:anchor="i754225e3f1024615994983297e2dce82_25">
              <w:r>
                <w:rPr>
                  <w:rStyle w:val="InternetLink"/>
                </w:rPr>
                <w:t>teen</w:t>
              </w:r>
            </w:hyperlink>
            <w:hyperlink w:anchor="i754225e3f1024615994983297e2dce82_25">
              <w:r>
                <w:rPr>
                  <w:rStyle w:val="InternetLink"/>
                </w:rPr>
                <w:t xml:space="preserve"> Weeks Ended </w:t>
              </w:r>
            </w:hyperlink>
            <w:hyperlink w:anchor="i754225e3f1024615994983297e2dce82_25">
              <w:r>
                <w:rPr>
                  <w:rStyle w:val="InternetLink"/>
                </w:rPr>
                <w:t>March</w:t>
              </w:r>
            </w:hyperlink>
            <w:hyperlink w:anchor="i754225e3f1024615994983297e2dce82_25">
              <w:r>
                <w:rPr>
                  <w:rStyle w:val="InternetLink"/>
                </w:rPr>
                <w:t xml:space="preserve"> 2</w:t>
              </w:r>
            </w:hyperlink>
            <w:hyperlink w:anchor="i754225e3f1024615994983297e2dce82_25">
              <w:r>
                <w:rPr>
                  <w:rStyle w:val="InternetLink"/>
                </w:rPr>
                <w:t>6</w:t>
              </w:r>
            </w:hyperlink>
            <w:hyperlink w:anchor="i754225e3f1024615994983297e2dce82_25">
              <w:r>
                <w:rPr>
                  <w:rStyle w:val="InternetLink"/>
                </w:rPr>
                <w:t>, 202</w:t>
              </w:r>
            </w:hyperlink>
            <w:hyperlink w:anchor="i754225e3f1024615994983297e2dce82_25">
              <w:r>
                <w:rPr>
                  <w:rStyle w:val="InternetLink"/>
                </w:rPr>
                <w:t>3</w:t>
              </w:r>
            </w:hyperlink>
            <w:hyperlink w:anchor="i754225e3f1024615994983297e2dce82_25">
              <w:r>
                <w:rPr>
                  <w:rStyle w:val="InternetLink"/>
                </w:rPr>
                <w:t xml:space="preserve"> and </w:t>
              </w:r>
            </w:hyperlink>
            <w:hyperlink w:anchor="i754225e3f1024615994983297e2dce82_25">
              <w:r>
                <w:rPr>
                  <w:rStyle w:val="InternetLink"/>
                </w:rPr>
                <w:t>March</w:t>
              </w:r>
            </w:hyperlink>
            <w:hyperlink w:anchor="i754225e3f1024615994983297e2dce82_25">
              <w:r>
                <w:rPr>
                  <w:rStyle w:val="InternetLink"/>
                </w:rPr>
                <w:t xml:space="preserve"> 2</w:t>
              </w:r>
            </w:hyperlink>
            <w:hyperlink w:anchor="i754225e3f1024615994983297e2dce82_25">
              <w:r>
                <w:rPr>
                  <w:rStyle w:val="InternetLink"/>
                </w:rPr>
                <w:t>7</w:t>
              </w:r>
            </w:hyperlink>
            <w:hyperlink w:anchor="i754225e3f1024615994983297e2dce82_25">
              <w:r>
                <w:rPr>
                  <w:rStyle w:val="InternetLink"/>
                </w:rPr>
                <w:t>, 202</w:t>
              </w:r>
            </w:hyperlink>
            <w:hyperlink w:anchor="i754225e3f1024615994983297e2dce82_25">
              <w:r>
                <w:rPr>
                  <w:rStyle w:val="InternetLink"/>
                </w:rPr>
                <w:t>2</w:t>
              </w:r>
            </w:hyperlink>
          </w:p>
        </w:tc>
        <w:tc>
          <w:tcPr>
            <w:tcW w:w="99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54225e3f1024615994983297e2dce82_25">
              <w:r>
                <w:rPr>
                  <w:rStyle w:val="InternetLink"/>
                  <w:rFonts w:ascii="Times New Roman;sans-serif" w:hAnsi="Times New Roman;sans-serif"/>
                  <w:b w:val="false"/>
                  <w:color w:val="0000FF"/>
                  <w:sz w:val="22"/>
                  <w:u w:val="single"/>
                </w:rPr>
                <w:t>6</w:t>
              </w:r>
            </w:hyperlink>
          </w:p>
        </w:tc>
      </w:tr>
      <w:tr>
        <w:trPr/>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2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27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4225e3f1024615994983297e2dce82_31">
              <w:r>
                <w:rPr>
                  <w:rStyle w:val="InternetLink"/>
                  <w:rFonts w:ascii="Times New Roman;sans-serif" w:hAnsi="Times New Roman;sans-serif"/>
                  <w:b w:val="false"/>
                  <w:color w:val="0000FF"/>
                  <w:sz w:val="22"/>
                  <w:u w:val="single"/>
                </w:rPr>
                <w:t>Notes to Consolidated Financial Statements</w:t>
              </w:r>
            </w:hyperlink>
          </w:p>
        </w:tc>
        <w:tc>
          <w:tcPr>
            <w:tcW w:w="99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54225e3f1024615994983297e2dce82_31">
              <w:r>
                <w:rPr>
                  <w:rStyle w:val="InternetLink"/>
                  <w:rFonts w:ascii="Times New Roman;sans-serif" w:hAnsi="Times New Roman;sans-serif"/>
                  <w:b w:val="false"/>
                  <w:color w:val="0000FF"/>
                  <w:sz w:val="22"/>
                  <w:u w:val="single"/>
                </w:rPr>
                <w:t>7</w:t>
              </w:r>
            </w:hyperlink>
          </w:p>
        </w:tc>
      </w:tr>
      <w:tr>
        <w:trPr/>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Item 2.</w:t>
            </w:r>
          </w:p>
        </w:tc>
        <w:tc>
          <w:tcPr>
            <w:tcW w:w="827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4225e3f1024615994983297e2dce82_79">
              <w:r>
                <w:rPr>
                  <w:rStyle w:val="InternetLink"/>
                  <w:rFonts w:ascii="Times New Roman;sans-serif" w:hAnsi="Times New Roman;sans-serif"/>
                  <w:b w:val="false"/>
                  <w:color w:val="0000FF"/>
                  <w:sz w:val="22"/>
                  <w:u w:val="single"/>
                </w:rPr>
                <w:t>Management’s Discussion and Analysis of Financial Condition and Results of Operations</w:t>
              </w:r>
            </w:hyperlink>
          </w:p>
        </w:tc>
        <w:tc>
          <w:tcPr>
            <w:tcW w:w="99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54225e3f1024615994983297e2dce82_79">
              <w:r>
                <w:rPr>
                  <w:rStyle w:val="InternetLink"/>
                  <w:rFonts w:ascii="Times New Roman;sans-serif" w:hAnsi="Times New Roman;sans-serif"/>
                  <w:b w:val="false"/>
                  <w:color w:val="0000FF"/>
                  <w:sz w:val="22"/>
                  <w:u w:val="single"/>
                </w:rPr>
                <w:t>18</w:t>
              </w:r>
            </w:hyperlink>
          </w:p>
        </w:tc>
      </w:tr>
      <w:tr>
        <w:trPr/>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Item 3.</w:t>
            </w:r>
          </w:p>
        </w:tc>
        <w:tc>
          <w:tcPr>
            <w:tcW w:w="827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754225e3f1024615994983297e2dce82_214">
              <w:r>
                <w:rPr>
                  <w:rStyle w:val="InternetLink"/>
                  <w:rFonts w:ascii="Times New Roman;sans-serif" w:hAnsi="Times New Roman;sans-serif"/>
                  <w:b w:val="false"/>
                  <w:color w:val="0000FF"/>
                  <w:sz w:val="22"/>
                  <w:u w:val="single"/>
                </w:rPr>
                <w:t>Quantitative and Qualitative Disclosures About Market Risk</w:t>
              </w:r>
            </w:hyperlink>
          </w:p>
        </w:tc>
        <w:tc>
          <w:tcPr>
            <w:tcW w:w="99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54225e3f1024615994983297e2dce82_214">
              <w:r>
                <w:rPr>
                  <w:rStyle w:val="InternetLink"/>
                  <w:rFonts w:ascii="Times New Roman;sans-serif" w:hAnsi="Times New Roman;sans-serif"/>
                  <w:b w:val="false"/>
                  <w:color w:val="0000FF"/>
                  <w:sz w:val="22"/>
                  <w:u w:val="single"/>
                </w:rPr>
                <w:t>36</w:t>
              </w:r>
            </w:hyperlink>
          </w:p>
        </w:tc>
      </w:tr>
      <w:tr>
        <w:trPr/>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Item 4.</w:t>
            </w:r>
          </w:p>
        </w:tc>
        <w:tc>
          <w:tcPr>
            <w:tcW w:w="827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754225e3f1024615994983297e2dce82_217">
              <w:r>
                <w:rPr>
                  <w:rStyle w:val="InternetLink"/>
                  <w:rFonts w:ascii="Times New Roman;sans-serif" w:hAnsi="Times New Roman;sans-serif"/>
                  <w:b w:val="false"/>
                  <w:color w:val="0000FF"/>
                  <w:sz w:val="22"/>
                  <w:u w:val="single"/>
                </w:rPr>
                <w:t>Controls and Procedures</w:t>
              </w:r>
            </w:hyperlink>
          </w:p>
        </w:tc>
        <w:tc>
          <w:tcPr>
            <w:tcW w:w="99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54225e3f1024615994983297e2dce82_217">
              <w:r>
                <w:rPr>
                  <w:rStyle w:val="InternetLink"/>
                  <w:rFonts w:ascii="Times New Roman;sans-serif" w:hAnsi="Times New Roman;sans-serif"/>
                  <w:b w:val="false"/>
                  <w:color w:val="0000FF"/>
                  <w:sz w:val="22"/>
                  <w:u w:val="single"/>
                </w:rPr>
                <w:t>36</w:t>
              </w:r>
            </w:hyperlink>
          </w:p>
        </w:tc>
      </w:tr>
      <w:tr>
        <w:trPr/>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27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54225e3f1024615994983297e2dce82_220">
              <w:r>
                <w:rPr>
                  <w:rStyle w:val="InternetLink"/>
                  <w:rFonts w:ascii="Times New Roman;sans-serif" w:hAnsi="Times New Roman;sans-serif"/>
                  <w:b w:val="false"/>
                  <w:color w:val="0000FF"/>
                  <w:sz w:val="22"/>
                  <w:u w:val="single"/>
                </w:rPr>
                <w:t>PART II — OTHER INFORMATION</w:t>
              </w:r>
            </w:hyperlink>
          </w:p>
        </w:tc>
        <w:tc>
          <w:tcPr>
            <w:tcW w:w="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Item 1.</w:t>
            </w:r>
          </w:p>
        </w:tc>
        <w:tc>
          <w:tcPr>
            <w:tcW w:w="827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754225e3f1024615994983297e2dce82_223">
              <w:r>
                <w:rPr>
                  <w:rStyle w:val="InternetLink"/>
                  <w:rFonts w:ascii="Times New Roman;sans-serif" w:hAnsi="Times New Roman;sans-serif"/>
                  <w:b w:val="false"/>
                  <w:color w:val="0000FF"/>
                  <w:sz w:val="22"/>
                  <w:u w:val="single"/>
                </w:rPr>
                <w:t>Legal Proceedings</w:t>
              </w:r>
            </w:hyperlink>
          </w:p>
        </w:tc>
        <w:tc>
          <w:tcPr>
            <w:tcW w:w="99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54225e3f1024615994983297e2dce82_223">
              <w:r>
                <w:rPr>
                  <w:rStyle w:val="InternetLink"/>
                  <w:rFonts w:ascii="Times New Roman;sans-serif" w:hAnsi="Times New Roman;sans-serif"/>
                  <w:b w:val="false"/>
                  <w:color w:val="0000FF"/>
                  <w:sz w:val="22"/>
                  <w:u w:val="single"/>
                </w:rPr>
                <w:t>37</w:t>
              </w:r>
            </w:hyperlink>
          </w:p>
        </w:tc>
      </w:tr>
      <w:tr>
        <w:trPr/>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Item 1A.</w:t>
            </w:r>
          </w:p>
        </w:tc>
        <w:tc>
          <w:tcPr>
            <w:tcW w:w="827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754225e3f1024615994983297e2dce82_226">
              <w:r>
                <w:rPr>
                  <w:rStyle w:val="InternetLink"/>
                  <w:rFonts w:ascii="Times New Roman;sans-serif" w:hAnsi="Times New Roman;sans-serif"/>
                  <w:b w:val="false"/>
                  <w:color w:val="0000FF"/>
                  <w:sz w:val="22"/>
                  <w:u w:val="single"/>
                </w:rPr>
                <w:t>Risk Factors</w:t>
              </w:r>
            </w:hyperlink>
          </w:p>
        </w:tc>
        <w:tc>
          <w:tcPr>
            <w:tcW w:w="99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54225e3f1024615994983297e2dce82_226">
              <w:r>
                <w:rPr>
                  <w:rStyle w:val="InternetLink"/>
                  <w:rFonts w:ascii="Times New Roman;sans-serif" w:hAnsi="Times New Roman;sans-serif"/>
                  <w:b w:val="false"/>
                  <w:color w:val="0000FF"/>
                  <w:sz w:val="22"/>
                  <w:u w:val="single"/>
                </w:rPr>
                <w:t>37</w:t>
              </w:r>
            </w:hyperlink>
          </w:p>
        </w:tc>
      </w:tr>
      <w:tr>
        <w:trPr/>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Item 2.</w:t>
            </w:r>
          </w:p>
        </w:tc>
        <w:tc>
          <w:tcPr>
            <w:tcW w:w="827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754225e3f1024615994983297e2dce82_229">
              <w:r>
                <w:rPr>
                  <w:rStyle w:val="InternetLink"/>
                  <w:rFonts w:ascii="Times New Roman;sans-serif" w:hAnsi="Times New Roman;sans-serif"/>
                  <w:b w:val="false"/>
                  <w:color w:val="0000FF"/>
                  <w:sz w:val="22"/>
                  <w:u w:val="single"/>
                </w:rPr>
                <w:t>Unregistered Sales of Equity Securities and Use of Proceeds</w:t>
              </w:r>
            </w:hyperlink>
          </w:p>
        </w:tc>
        <w:tc>
          <w:tcPr>
            <w:tcW w:w="99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54225e3f1024615994983297e2dce82_229">
              <w:r>
                <w:rPr>
                  <w:rStyle w:val="InternetLink"/>
                  <w:rFonts w:ascii="Times New Roman;sans-serif" w:hAnsi="Times New Roman;sans-serif"/>
                  <w:b w:val="false"/>
                  <w:color w:val="0000FF"/>
                  <w:sz w:val="22"/>
                  <w:u w:val="single"/>
                </w:rPr>
                <w:t>37</w:t>
              </w:r>
            </w:hyperlink>
          </w:p>
        </w:tc>
      </w:tr>
      <w:tr>
        <w:trPr/>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6" w:type="dxa"/>
            <w:gridSpan w:val="3"/>
            <w:tcBorders/>
            <w:shd w:fill="auto" w:val="clear"/>
            <w:vAlign w:val="center"/>
          </w:tcPr>
          <w:p>
            <w:pPr>
              <w:pStyle w:val="TableContents"/>
              <w:spacing w:before="0" w:after="283"/>
              <w:rPr>
                <w:sz w:val="4"/>
                <w:szCs w:val="4"/>
              </w:rPr>
            </w:pPr>
            <w:r>
              <w:rPr>
                <w:sz w:val="4"/>
                <w:szCs w:val="4"/>
              </w:rPr>
            </w:r>
          </w:p>
        </w:tc>
        <w:tc>
          <w:tcPr>
            <w:tcW w:w="8274" w:type="dxa"/>
            <w:gridSpan w:val="3"/>
            <w:tcBorders/>
            <w:shd w:fill="auto" w:val="clear"/>
            <w:vAlign w:val="center"/>
          </w:tcPr>
          <w:p>
            <w:pPr>
              <w:pStyle w:val="TableContents"/>
              <w:spacing w:before="0" w:after="283"/>
              <w:rPr>
                <w:sz w:val="4"/>
                <w:szCs w:val="4"/>
              </w:rPr>
            </w:pPr>
            <w:r>
              <w:rPr>
                <w:sz w:val="4"/>
                <w:szCs w:val="4"/>
              </w:rPr>
            </w:r>
          </w:p>
        </w:tc>
        <w:tc>
          <w:tcPr>
            <w:tcW w:w="995" w:type="dxa"/>
            <w:gridSpan w:val="3"/>
            <w:tcBorders/>
            <w:shd w:fill="auto" w:val="clear"/>
            <w:vAlign w:val="center"/>
          </w:tcPr>
          <w:p>
            <w:pPr>
              <w:pStyle w:val="TableContents"/>
              <w:spacing w:before="0" w:after="283"/>
              <w:rPr>
                <w:sz w:val="4"/>
                <w:szCs w:val="4"/>
              </w:rPr>
            </w:pPr>
            <w:r>
              <w:rPr>
                <w:sz w:val="4"/>
                <w:szCs w:val="4"/>
              </w:rPr>
            </w:r>
          </w:p>
        </w:tc>
      </w:tr>
      <w:tr>
        <w:trPr/>
        <w:tc>
          <w:tcPr>
            <w:tcW w:w="936" w:type="dxa"/>
            <w:gridSpan w:val="3"/>
            <w:tcBorders/>
            <w:shd w:fill="auto" w:val="clear"/>
            <w:vAlign w:val="center"/>
          </w:tcPr>
          <w:p>
            <w:pPr>
              <w:pStyle w:val="TableContents"/>
              <w:spacing w:before="0" w:after="283"/>
              <w:rPr>
                <w:sz w:val="4"/>
                <w:szCs w:val="4"/>
              </w:rPr>
            </w:pPr>
            <w:r>
              <w:rPr>
                <w:sz w:val="4"/>
                <w:szCs w:val="4"/>
              </w:rPr>
            </w:r>
          </w:p>
        </w:tc>
        <w:tc>
          <w:tcPr>
            <w:tcW w:w="8274" w:type="dxa"/>
            <w:gridSpan w:val="3"/>
            <w:tcBorders/>
            <w:shd w:fill="auto" w:val="clear"/>
            <w:vAlign w:val="center"/>
          </w:tcPr>
          <w:p>
            <w:pPr>
              <w:pStyle w:val="TableContents"/>
              <w:spacing w:before="0" w:after="283"/>
              <w:rPr>
                <w:sz w:val="4"/>
                <w:szCs w:val="4"/>
              </w:rPr>
            </w:pPr>
            <w:r>
              <w:rPr>
                <w:sz w:val="4"/>
                <w:szCs w:val="4"/>
              </w:rPr>
            </w:r>
          </w:p>
        </w:tc>
        <w:tc>
          <w:tcPr>
            <w:tcW w:w="995" w:type="dxa"/>
            <w:gridSpan w:val="3"/>
            <w:tcBorders/>
            <w:shd w:fill="auto" w:val="clear"/>
            <w:vAlign w:val="center"/>
          </w:tcPr>
          <w:p>
            <w:pPr>
              <w:pStyle w:val="TableContents"/>
              <w:spacing w:before="0" w:after="283"/>
              <w:rPr>
                <w:sz w:val="4"/>
                <w:szCs w:val="4"/>
              </w:rPr>
            </w:pPr>
            <w:r>
              <w:rPr>
                <w:sz w:val="4"/>
                <w:szCs w:val="4"/>
              </w:rPr>
            </w:r>
          </w:p>
        </w:tc>
      </w:tr>
      <w:tr>
        <w:trPr/>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Item 6.</w:t>
            </w:r>
          </w:p>
        </w:tc>
        <w:tc>
          <w:tcPr>
            <w:tcW w:w="827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754225e3f1024615994983297e2dce82_232">
              <w:r>
                <w:rPr>
                  <w:rStyle w:val="InternetLink"/>
                  <w:rFonts w:ascii="Times New Roman;sans-serif" w:hAnsi="Times New Roman;sans-serif"/>
                  <w:b w:val="false"/>
                  <w:color w:val="0000FF"/>
                  <w:sz w:val="22"/>
                  <w:u w:val="single"/>
                </w:rPr>
                <w:t>Exhibits</w:t>
              </w:r>
            </w:hyperlink>
          </w:p>
        </w:tc>
        <w:tc>
          <w:tcPr>
            <w:tcW w:w="99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54225e3f1024615994983297e2dce82_232">
              <w:r>
                <w:rPr>
                  <w:rStyle w:val="InternetLink"/>
                  <w:rFonts w:ascii="Times New Roman;sans-serif" w:hAnsi="Times New Roman;sans-serif"/>
                  <w:b w:val="false"/>
                  <w:color w:val="0000FF"/>
                  <w:sz w:val="22"/>
                  <w:u w:val="single"/>
                </w:rPr>
                <w:t>38</w:t>
              </w:r>
            </w:hyperlink>
          </w:p>
        </w:tc>
      </w:tr>
      <w:tr>
        <w:trPr/>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2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27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754225e3f1024615994983297e2dce82_235">
              <w:r>
                <w:rPr>
                  <w:rStyle w:val="InternetLink"/>
                  <w:rFonts w:ascii="Times New Roman;sans-serif" w:hAnsi="Times New Roman;sans-serif"/>
                  <w:b w:val="false"/>
                  <w:color w:val="0000FF"/>
                  <w:sz w:val="22"/>
                  <w:u w:val="single"/>
                </w:rPr>
                <w:t>Signature</w:t>
              </w:r>
            </w:hyperlink>
          </w:p>
        </w:tc>
        <w:tc>
          <w:tcPr>
            <w:tcW w:w="99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54225e3f1024615994983297e2dce82_235">
              <w:r>
                <w:rPr>
                  <w:rStyle w:val="InternetLink"/>
                  <w:rFonts w:ascii="Times New Roman;sans-serif" w:hAnsi="Times New Roman;sans-serif"/>
                  <w:b w:val="false"/>
                  <w:color w:val="0000FF"/>
                  <w:sz w:val="22"/>
                  <w:u w:val="single"/>
                </w:rPr>
                <w:t>39</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pPr>
      <w:hyperlink w:anchor="i754225e3f1024615994983297e2dce8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PART I: FINANCIAL INFORMATION</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2"/>
        </w:rPr>
      </w:pPr>
      <w:r>
        <w:rPr>
          <w:rFonts w:ascii="Times New Roman;sans-serif" w:hAnsi="Times New Roman;sans-serif"/>
          <w:b/>
          <w:color w:val="000000"/>
          <w:sz w:val="22"/>
        </w:rPr>
        <w:t>Item 1.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BALANCE SHEETS</w:t>
      </w:r>
    </w:p>
    <w:p>
      <w:pPr>
        <w:pStyle w:val="TextBody"/>
        <w:spacing w:lineRule="auto" w:line="288" w:before="0" w:after="0"/>
        <w:jc w:val="center"/>
        <w:rPr/>
      </w:pPr>
      <w:r>
        <w:rPr>
          <w:rFonts w:ascii="Times New Roman;sans-serif" w:hAnsi="Times New Roman;sans-serif"/>
          <w:b/>
          <w:color w:val="000000"/>
          <w:sz w:val="18"/>
        </w:rPr>
        <w:t>(IN THOUSANDS, EXCEPT SHARE AND PER SHARE DATA)</w:t>
      </w:r>
      <w:r>
        <w:rPr>
          <w:color w:val="000000"/>
        </w:rPr>
        <w:t> </w:t>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2792"/>
        <w:gridCol w:w="2182"/>
        <w:gridCol w:w="2132"/>
        <w:gridCol w:w="215"/>
        <w:gridCol w:w="959"/>
        <w:gridCol w:w="119"/>
        <w:gridCol w:w="109"/>
        <w:gridCol w:w="109"/>
        <w:gridCol w:w="109"/>
        <w:gridCol w:w="236"/>
        <w:gridCol w:w="1052"/>
        <w:gridCol w:w="191"/>
      </w:tblGrid>
      <w:tr>
        <w:trPr/>
        <w:tc>
          <w:tcPr>
            <w:tcW w:w="2792" w:type="dxa"/>
            <w:tcBorders/>
            <w:shd w:fill="auto" w:val="clear"/>
            <w:vAlign w:val="center"/>
          </w:tcPr>
          <w:p>
            <w:pPr>
              <w:pStyle w:val="TableContents"/>
              <w:spacing w:before="0" w:after="283"/>
              <w:rPr>
                <w:sz w:val="4"/>
                <w:szCs w:val="4"/>
              </w:rPr>
            </w:pPr>
            <w:r>
              <w:rPr>
                <w:sz w:val="4"/>
                <w:szCs w:val="4"/>
              </w:rPr>
            </w:r>
          </w:p>
        </w:tc>
        <w:tc>
          <w:tcPr>
            <w:tcW w:w="2182" w:type="dxa"/>
            <w:tcBorders/>
            <w:shd w:fill="auto" w:val="clear"/>
            <w:vAlign w:val="center"/>
          </w:tcPr>
          <w:p>
            <w:pPr>
              <w:pStyle w:val="TableContents"/>
              <w:spacing w:before="0" w:after="283"/>
              <w:rPr>
                <w:sz w:val="4"/>
                <w:szCs w:val="4"/>
              </w:rPr>
            </w:pPr>
            <w:r>
              <w:rPr>
                <w:sz w:val="4"/>
                <w:szCs w:val="4"/>
              </w:rPr>
            </w:r>
          </w:p>
        </w:tc>
        <w:tc>
          <w:tcPr>
            <w:tcW w:w="2132"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71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26,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25, 2022</w:t>
            </w:r>
          </w:p>
        </w:tc>
      </w:tr>
      <w:tr>
        <w:trPr/>
        <w:tc>
          <w:tcPr>
            <w:tcW w:w="71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1293" w:type="dxa"/>
            <w:gridSpan w:val="3"/>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9" w:type="dxa"/>
            <w:gridSpan w:val="3"/>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1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2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1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94,441 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84,735 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6" w:type="dxa"/>
            <w:gridSpan w:val="3"/>
            <w:tcBorders/>
            <w:shd w:fill="auto" w:val="clear"/>
            <w:vAlign w:val="center"/>
          </w:tcPr>
          <w:p>
            <w:pPr>
              <w:pStyle w:val="TableContents"/>
              <w:spacing w:before="0" w:after="283"/>
              <w:rPr>
                <w:sz w:val="4"/>
                <w:szCs w:val="4"/>
              </w:rPr>
            </w:pPr>
            <w:r>
              <w:rPr>
                <w:sz w:val="4"/>
                <w:szCs w:val="4"/>
              </w:rPr>
            </w:r>
          </w:p>
        </w:tc>
        <w:tc>
          <w:tcPr>
            <w:tcW w:w="12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9" w:type="dxa"/>
            <w:gridSpan w:val="3"/>
            <w:tcBorders/>
            <w:shd w:fill="auto" w:val="clear"/>
            <w:vAlign w:val="center"/>
          </w:tcPr>
          <w:p>
            <w:pPr>
              <w:pStyle w:val="TableContents"/>
              <w:spacing w:before="0" w:after="283"/>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1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67,898 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78,124 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6" w:type="dxa"/>
            <w:gridSpan w:val="3"/>
            <w:tcBorders/>
            <w:shd w:fill="auto" w:val="clear"/>
            <w:vAlign w:val="center"/>
          </w:tcPr>
          <w:p>
            <w:pPr>
              <w:pStyle w:val="TableContents"/>
              <w:spacing w:before="0" w:after="283"/>
              <w:rPr>
                <w:sz w:val="4"/>
                <w:szCs w:val="4"/>
              </w:rPr>
            </w:pPr>
            <w:r>
              <w:rPr>
                <w:sz w:val="4"/>
                <w:szCs w:val="4"/>
              </w:rPr>
            </w:r>
          </w:p>
        </w:tc>
        <w:tc>
          <w:tcPr>
            <w:tcW w:w="12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9" w:type="dxa"/>
            <w:gridSpan w:val="3"/>
            <w:tcBorders/>
            <w:shd w:fill="auto" w:val="clear"/>
            <w:vAlign w:val="center"/>
          </w:tcPr>
          <w:p>
            <w:pPr>
              <w:pStyle w:val="TableContents"/>
              <w:spacing w:before="0" w:after="283"/>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 net</w:t>
            </w:r>
          </w:p>
        </w:tc>
        <w:tc>
          <w:tcPr>
            <w:tcW w:w="11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85,507 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183,718 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174"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247,846 </w:t>
            </w:r>
          </w:p>
        </w:tc>
        <w:tc>
          <w:tcPr>
            <w:tcW w:w="119"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346,577 </w:t>
            </w:r>
          </w:p>
        </w:tc>
        <w:tc>
          <w:tcPr>
            <w:tcW w:w="191"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6" w:type="dxa"/>
            <w:gridSpan w:val="3"/>
            <w:tcBorders/>
            <w:shd w:fill="auto" w:val="clear"/>
            <w:vAlign w:val="center"/>
          </w:tcPr>
          <w:p>
            <w:pPr>
              <w:pStyle w:val="TableContents"/>
              <w:spacing w:before="0" w:after="283"/>
              <w:rPr>
                <w:sz w:val="4"/>
                <w:szCs w:val="4"/>
              </w:rPr>
            </w:pPr>
            <w:r>
              <w:rPr>
                <w:sz w:val="4"/>
                <w:szCs w:val="4"/>
              </w:rPr>
            </w:r>
          </w:p>
        </w:tc>
        <w:tc>
          <w:tcPr>
            <w:tcW w:w="12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9" w:type="dxa"/>
            <w:gridSpan w:val="3"/>
            <w:tcBorders/>
            <w:shd w:fill="auto" w:val="clear"/>
            <w:vAlign w:val="center"/>
          </w:tcPr>
          <w:p>
            <w:pPr>
              <w:pStyle w:val="TableContents"/>
              <w:spacing w:before="0" w:after="283"/>
              <w:rPr>
                <w:sz w:val="4"/>
                <w:szCs w:val="4"/>
              </w:rPr>
            </w:pPr>
            <w:r>
              <w:rPr>
                <w:sz w:val="4"/>
                <w:szCs w:val="4"/>
              </w:rPr>
            </w:r>
          </w:p>
        </w:tc>
      </w:tr>
      <w:tr>
        <w:trPr/>
        <w:tc>
          <w:tcPr>
            <w:tcW w:w="7106" w:type="dxa"/>
            <w:gridSpan w:val="3"/>
            <w:tcBorders/>
            <w:shd w:fill="auto" w:val="clear"/>
            <w:vAlign w:val="center"/>
          </w:tcPr>
          <w:p>
            <w:pPr>
              <w:pStyle w:val="TableContents"/>
              <w:spacing w:before="0" w:after="283"/>
              <w:rPr>
                <w:sz w:val="4"/>
                <w:szCs w:val="4"/>
              </w:rPr>
            </w:pPr>
            <w:r>
              <w:rPr>
                <w:sz w:val="4"/>
                <w:szCs w:val="4"/>
              </w:rPr>
            </w:r>
          </w:p>
        </w:tc>
        <w:tc>
          <w:tcPr>
            <w:tcW w:w="12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9" w:type="dxa"/>
            <w:gridSpan w:val="3"/>
            <w:tcBorders/>
            <w:shd w:fill="auto" w:val="clear"/>
            <w:vAlign w:val="center"/>
          </w:tcPr>
          <w:p>
            <w:pPr>
              <w:pStyle w:val="TableContents"/>
              <w:spacing w:before="0" w:after="283"/>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fixtures and equipment, net</w:t>
            </w:r>
          </w:p>
        </w:tc>
        <w:tc>
          <w:tcPr>
            <w:tcW w:w="11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936,225 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914,142 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1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1,091,943 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1,103,083 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1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272,510 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273,032 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1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446,696 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448,326 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assets, net</w:t>
            </w:r>
          </w:p>
        </w:tc>
        <w:tc>
          <w:tcPr>
            <w:tcW w:w="11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151,436 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153,118 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net</w:t>
            </w:r>
          </w:p>
        </w:tc>
        <w:tc>
          <w:tcPr>
            <w:tcW w:w="11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85,137 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82,147 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15"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9"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3,231,793 </w:t>
            </w:r>
          </w:p>
        </w:tc>
        <w:tc>
          <w:tcPr>
            <w:tcW w:w="11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2"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3,320,425 </w:t>
            </w:r>
          </w:p>
        </w:tc>
        <w:tc>
          <w:tcPr>
            <w:tcW w:w="191"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6" w:type="dxa"/>
            <w:gridSpan w:val="3"/>
            <w:tcBorders/>
            <w:shd w:fill="auto" w:val="clear"/>
            <w:vAlign w:val="center"/>
          </w:tcPr>
          <w:p>
            <w:pPr>
              <w:pStyle w:val="TableContents"/>
              <w:spacing w:before="0" w:after="283"/>
              <w:rPr>
                <w:sz w:val="4"/>
                <w:szCs w:val="4"/>
              </w:rPr>
            </w:pPr>
            <w:r>
              <w:rPr>
                <w:sz w:val="4"/>
                <w:szCs w:val="4"/>
              </w:rPr>
            </w:r>
          </w:p>
        </w:tc>
        <w:tc>
          <w:tcPr>
            <w:tcW w:w="1293" w:type="dxa"/>
            <w:gridSpan w:val="3"/>
            <w:tcBorders/>
            <w:shd w:fill="auto" w:val="clear"/>
            <w:vAlign w:val="center"/>
          </w:tcPr>
          <w:p>
            <w:pPr>
              <w:pStyle w:val="TableContents"/>
              <w:spacing w:before="0" w:after="283"/>
              <w:rPr>
                <w:sz w:val="4"/>
                <w:szCs w:val="4"/>
              </w:rPr>
            </w:pPr>
            <w:r>
              <w:rPr>
                <w:sz w:val="4"/>
                <w:szCs w:val="4"/>
              </w:rPr>
            </w:r>
          </w:p>
        </w:tc>
        <w:tc>
          <w:tcPr>
            <w:tcW w:w="1806" w:type="dxa"/>
            <w:gridSpan w:val="6"/>
            <w:tcBorders/>
            <w:shd w:fill="auto" w:val="clear"/>
          </w:tcPr>
          <w:p>
            <w:pPr>
              <w:pStyle w:val="TableContents"/>
              <w:spacing w:before="0" w:after="283"/>
              <w:rPr>
                <w:sz w:val="4"/>
                <w:szCs w:val="4"/>
              </w:rPr>
            </w:pPr>
            <w:r>
              <w:rPr>
                <w:sz w:val="4"/>
                <w:szCs w:val="4"/>
              </w:rPr>
            </w:r>
          </w:p>
        </w:tc>
      </w:tr>
      <w:tr>
        <w:trPr/>
        <w:tc>
          <w:tcPr>
            <w:tcW w:w="7106" w:type="dxa"/>
            <w:gridSpan w:val="3"/>
            <w:tcBorders/>
            <w:shd w:fill="auto" w:val="clear"/>
            <w:vAlign w:val="center"/>
          </w:tcPr>
          <w:p>
            <w:pPr>
              <w:pStyle w:val="TableContents"/>
              <w:spacing w:before="0" w:after="283"/>
              <w:rPr>
                <w:sz w:val="4"/>
                <w:szCs w:val="4"/>
              </w:rPr>
            </w:pPr>
            <w:r>
              <w:rPr>
                <w:sz w:val="4"/>
                <w:szCs w:val="4"/>
              </w:rPr>
            </w:r>
          </w:p>
        </w:tc>
        <w:tc>
          <w:tcPr>
            <w:tcW w:w="12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9" w:type="dxa"/>
            <w:gridSpan w:val="3"/>
            <w:tcBorders/>
            <w:shd w:fill="auto" w:val="clear"/>
            <w:vAlign w:val="center"/>
          </w:tcPr>
          <w:p>
            <w:pPr>
              <w:pStyle w:val="TableContents"/>
              <w:spacing w:before="0" w:after="283"/>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AND STOCKHOLDERS’ EQUITY</w:t>
            </w:r>
          </w:p>
        </w:tc>
        <w:tc>
          <w:tcPr>
            <w:tcW w:w="1293"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9"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1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29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1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1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196,093 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183,715 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and other current liabilities</w:t>
            </w:r>
          </w:p>
        </w:tc>
        <w:tc>
          <w:tcPr>
            <w:tcW w:w="11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399,465 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399,301 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Unearned revenue</w:t>
            </w:r>
          </w:p>
        </w:tc>
        <w:tc>
          <w:tcPr>
            <w:tcW w:w="11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322,608 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394,215 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6" w:type="dxa"/>
            <w:gridSpan w:val="3"/>
            <w:tcBorders/>
            <w:shd w:fill="auto" w:val="clear"/>
            <w:vAlign w:val="center"/>
          </w:tcPr>
          <w:p>
            <w:pPr>
              <w:pStyle w:val="TableContents"/>
              <w:spacing w:before="0" w:after="283"/>
              <w:rPr>
                <w:sz w:val="4"/>
                <w:szCs w:val="4"/>
              </w:rPr>
            </w:pPr>
            <w:r>
              <w:rPr>
                <w:sz w:val="4"/>
                <w:szCs w:val="4"/>
              </w:rPr>
            </w:r>
          </w:p>
        </w:tc>
        <w:tc>
          <w:tcPr>
            <w:tcW w:w="12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9" w:type="dxa"/>
            <w:gridSpan w:val="3"/>
            <w:tcBorders/>
            <w:shd w:fill="auto" w:val="clear"/>
            <w:vAlign w:val="center"/>
          </w:tcPr>
          <w:p>
            <w:pPr>
              <w:pStyle w:val="TableContents"/>
              <w:spacing w:before="0" w:after="283"/>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11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2,267 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1,636 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174"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920,433 </w:t>
            </w:r>
          </w:p>
        </w:tc>
        <w:tc>
          <w:tcPr>
            <w:tcW w:w="119"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978,867 </w:t>
            </w:r>
          </w:p>
        </w:tc>
        <w:tc>
          <w:tcPr>
            <w:tcW w:w="191"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6" w:type="dxa"/>
            <w:gridSpan w:val="3"/>
            <w:tcBorders/>
            <w:shd w:fill="auto" w:val="clear"/>
            <w:vAlign w:val="center"/>
          </w:tcPr>
          <w:p>
            <w:pPr>
              <w:pStyle w:val="TableContents"/>
              <w:spacing w:before="0" w:after="283"/>
              <w:rPr>
                <w:sz w:val="4"/>
                <w:szCs w:val="4"/>
              </w:rPr>
            </w:pPr>
            <w:r>
              <w:rPr>
                <w:sz w:val="4"/>
                <w:szCs w:val="4"/>
              </w:rPr>
            </w:r>
          </w:p>
        </w:tc>
        <w:tc>
          <w:tcPr>
            <w:tcW w:w="12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9" w:type="dxa"/>
            <w:gridSpan w:val="3"/>
            <w:tcBorders/>
            <w:shd w:fill="auto" w:val="clear"/>
            <w:vAlign w:val="center"/>
          </w:tcPr>
          <w:p>
            <w:pPr>
              <w:pStyle w:val="TableContents"/>
              <w:spacing w:before="0" w:after="283"/>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operating lease liabilities</w:t>
            </w:r>
          </w:p>
        </w:tc>
        <w:tc>
          <w:tcPr>
            <w:tcW w:w="11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1,136,694 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1,148,607 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6" w:type="dxa"/>
            <w:gridSpan w:val="3"/>
            <w:tcBorders/>
            <w:shd w:fill="auto" w:val="clear"/>
            <w:vAlign w:val="center"/>
          </w:tcPr>
          <w:p>
            <w:pPr>
              <w:pStyle w:val="TableContents"/>
              <w:spacing w:before="0" w:after="283"/>
              <w:rPr>
                <w:sz w:val="4"/>
                <w:szCs w:val="4"/>
              </w:rPr>
            </w:pPr>
            <w:r>
              <w:rPr>
                <w:sz w:val="4"/>
                <w:szCs w:val="4"/>
              </w:rPr>
            </w:r>
          </w:p>
        </w:tc>
        <w:tc>
          <w:tcPr>
            <w:tcW w:w="12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9" w:type="dxa"/>
            <w:gridSpan w:val="3"/>
            <w:tcBorders/>
            <w:shd w:fill="auto" w:val="clear"/>
            <w:vAlign w:val="center"/>
          </w:tcPr>
          <w:p>
            <w:pPr>
              <w:pStyle w:val="TableContents"/>
              <w:spacing w:before="0" w:after="283"/>
              <w:rPr>
                <w:sz w:val="4"/>
                <w:szCs w:val="4"/>
              </w:rPr>
            </w:pPr>
            <w:r>
              <w:rPr>
                <w:sz w:val="4"/>
                <w:szCs w:val="4"/>
              </w:rPr>
            </w:r>
          </w:p>
        </w:tc>
      </w:tr>
      <w:tr>
        <w:trPr/>
        <w:tc>
          <w:tcPr>
            <w:tcW w:w="7106" w:type="dxa"/>
            <w:gridSpan w:val="3"/>
            <w:tcBorders/>
            <w:shd w:fill="auto" w:val="clear"/>
            <w:vAlign w:val="center"/>
          </w:tcPr>
          <w:p>
            <w:pPr>
              <w:pStyle w:val="TableContents"/>
              <w:spacing w:before="0" w:after="283"/>
              <w:rPr>
                <w:sz w:val="4"/>
                <w:szCs w:val="4"/>
              </w:rPr>
            </w:pPr>
            <w:r>
              <w:rPr>
                <w:sz w:val="4"/>
                <w:szCs w:val="4"/>
              </w:rPr>
            </w:r>
          </w:p>
        </w:tc>
        <w:tc>
          <w:tcPr>
            <w:tcW w:w="12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9" w:type="dxa"/>
            <w:gridSpan w:val="3"/>
            <w:tcBorders/>
            <w:shd w:fill="auto" w:val="clear"/>
            <w:vAlign w:val="center"/>
          </w:tcPr>
          <w:p>
            <w:pPr>
              <w:pStyle w:val="TableContents"/>
              <w:spacing w:before="0" w:after="283"/>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w:t>
            </w:r>
          </w:p>
        </w:tc>
        <w:tc>
          <w:tcPr>
            <w:tcW w:w="11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765,702 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831,656 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 net</w:t>
            </w:r>
          </w:p>
        </w:tc>
        <w:tc>
          <w:tcPr>
            <w:tcW w:w="11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86,123 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87,386 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174"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2,908,952 </w:t>
            </w:r>
          </w:p>
        </w:tc>
        <w:tc>
          <w:tcPr>
            <w:tcW w:w="119"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3,046,516 </w:t>
            </w:r>
          </w:p>
        </w:tc>
        <w:tc>
          <w:tcPr>
            <w:tcW w:w="191"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12)</w:t>
            </w:r>
          </w:p>
        </w:tc>
        <w:tc>
          <w:tcPr>
            <w:tcW w:w="1293"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9"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06" w:type="dxa"/>
            <w:gridSpan w:val="3"/>
            <w:tcBorders/>
            <w:shd w:fill="auto" w:val="clear"/>
            <w:vAlign w:val="center"/>
          </w:tcPr>
          <w:p>
            <w:pPr>
              <w:pStyle w:val="TableContents"/>
              <w:spacing w:before="0" w:after="283"/>
              <w:rPr>
                <w:sz w:val="4"/>
                <w:szCs w:val="4"/>
              </w:rPr>
            </w:pPr>
            <w:r>
              <w:rPr>
                <w:sz w:val="4"/>
                <w:szCs w:val="4"/>
              </w:rPr>
            </w:r>
          </w:p>
        </w:tc>
        <w:tc>
          <w:tcPr>
            <w:tcW w:w="12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9" w:type="dxa"/>
            <w:gridSpan w:val="3"/>
            <w:tcBorders/>
            <w:shd w:fill="auto" w:val="clear"/>
            <w:vAlign w:val="center"/>
          </w:tcPr>
          <w:p>
            <w:pPr>
              <w:pStyle w:val="TableContents"/>
              <w:spacing w:before="0" w:after="283"/>
              <w:rPr>
                <w:sz w:val="4"/>
                <w:szCs w:val="4"/>
              </w:rPr>
            </w:pPr>
            <w:r>
              <w:rPr>
                <w:sz w:val="4"/>
                <w:szCs w:val="4"/>
              </w:rPr>
            </w:r>
          </w:p>
        </w:tc>
      </w:tr>
      <w:tr>
        <w:trPr/>
        <w:tc>
          <w:tcPr>
            <w:tcW w:w="7106" w:type="dxa"/>
            <w:gridSpan w:val="3"/>
            <w:tcBorders/>
            <w:shd w:fill="auto" w:val="clear"/>
            <w:vAlign w:val="center"/>
          </w:tcPr>
          <w:p>
            <w:pPr>
              <w:pStyle w:val="TableContents"/>
              <w:spacing w:before="0" w:after="283"/>
              <w:rPr>
                <w:sz w:val="4"/>
                <w:szCs w:val="4"/>
              </w:rPr>
            </w:pPr>
            <w:r>
              <w:rPr>
                <w:sz w:val="4"/>
                <w:szCs w:val="4"/>
              </w:rPr>
            </w:r>
          </w:p>
        </w:tc>
        <w:tc>
          <w:tcPr>
            <w:tcW w:w="12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9" w:type="dxa"/>
            <w:gridSpan w:val="3"/>
            <w:tcBorders/>
            <w:shd w:fill="auto" w:val="clear"/>
            <w:vAlign w:val="center"/>
          </w:tcPr>
          <w:p>
            <w:pPr>
              <w:pStyle w:val="TableContents"/>
              <w:spacing w:before="0" w:after="283"/>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2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Bloomin’ Brands stockholders’ equity</w:t>
            </w:r>
          </w:p>
        </w:tc>
        <w:tc>
          <w:tcPr>
            <w:tcW w:w="12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$0.01 par value, 25,000,000 shares authorized; no shares issued and outstanding as of March 26, 2023 and December 25, 2022</w:t>
            </w:r>
          </w:p>
        </w:tc>
        <w:tc>
          <w:tcPr>
            <w:tcW w:w="11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 475,000,000 shares authorized; 87,465,214 and 87,696,200 shares issued and outstanding as of March 26, 2023 and December 25, 2022, respectively</w:t>
            </w:r>
          </w:p>
        </w:tc>
        <w:tc>
          <w:tcPr>
            <w:tcW w:w="11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1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1,141,017 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1,161,912 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1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(635,451)</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(706,109)</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1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(186,445)</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(185,311)</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Bloomin’ Brands stockholders’ equity</w:t>
            </w:r>
          </w:p>
        </w:tc>
        <w:tc>
          <w:tcPr>
            <w:tcW w:w="1174"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319,996 </w:t>
            </w:r>
          </w:p>
        </w:tc>
        <w:tc>
          <w:tcPr>
            <w:tcW w:w="11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271,369 </w:t>
            </w:r>
          </w:p>
        </w:tc>
        <w:tc>
          <w:tcPr>
            <w:tcW w:w="191"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w:t>
            </w:r>
          </w:p>
        </w:tc>
        <w:tc>
          <w:tcPr>
            <w:tcW w:w="11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2,845 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2,540 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174"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322,841 </w:t>
            </w:r>
          </w:p>
        </w:tc>
        <w:tc>
          <w:tcPr>
            <w:tcW w:w="11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273,909 </w:t>
            </w:r>
          </w:p>
        </w:tc>
        <w:tc>
          <w:tcPr>
            <w:tcW w:w="191"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21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3,231,793 </w:t>
            </w:r>
          </w:p>
        </w:tc>
        <w:tc>
          <w:tcPr>
            <w:tcW w:w="11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3,320,425 </w:t>
            </w:r>
          </w:p>
        </w:tc>
        <w:tc>
          <w:tcPr>
            <w:tcW w:w="19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0205" w:type="dxa"/>
            <w:gridSpan w:val="12"/>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The accompanying notes are an integral part of these unaudited consolidated financial statements.</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754225e3f1024615994983297e2dce8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OPERATIONS AND COMPREHENSIVE INCOME</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PER SHARE DATA, UNAUDITED)</w:t>
      </w:r>
    </w:p>
    <w:p>
      <w:pPr>
        <w:pStyle w:val="TextBody"/>
        <w:spacing w:before="0" w:after="0"/>
        <w:jc w:val="center"/>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200"/>
        <w:gridCol w:w="1914"/>
        <w:gridCol w:w="1924"/>
        <w:gridCol w:w="109"/>
        <w:gridCol w:w="109"/>
        <w:gridCol w:w="169"/>
        <w:gridCol w:w="169"/>
        <w:gridCol w:w="304"/>
        <w:gridCol w:w="1354"/>
        <w:gridCol w:w="169"/>
        <w:gridCol w:w="109"/>
        <w:gridCol w:w="109"/>
        <w:gridCol w:w="109"/>
        <w:gridCol w:w="233"/>
        <w:gridCol w:w="1037"/>
        <w:gridCol w:w="187"/>
      </w:tblGrid>
      <w:tr>
        <w:trPr/>
        <w:tc>
          <w:tcPr>
            <w:tcW w:w="2200" w:type="dxa"/>
            <w:tcBorders/>
            <w:shd w:fill="auto" w:val="clear"/>
            <w:vAlign w:val="center"/>
          </w:tcPr>
          <w:p>
            <w:pPr>
              <w:pStyle w:val="TableContents"/>
              <w:spacing w:before="0" w:after="283"/>
              <w:rPr>
                <w:sz w:val="4"/>
                <w:szCs w:val="4"/>
              </w:rPr>
            </w:pPr>
            <w:r>
              <w:rPr>
                <w:sz w:val="4"/>
                <w:szCs w:val="4"/>
              </w:rPr>
            </w:r>
          </w:p>
        </w:tc>
        <w:tc>
          <w:tcPr>
            <w:tcW w:w="1914" w:type="dxa"/>
            <w:tcBorders/>
            <w:shd w:fill="auto" w:val="clear"/>
            <w:vAlign w:val="center"/>
          </w:tcPr>
          <w:p>
            <w:pPr>
              <w:pStyle w:val="TableContents"/>
              <w:spacing w:before="0" w:after="283"/>
              <w:rPr>
                <w:sz w:val="4"/>
                <w:szCs w:val="4"/>
              </w:rPr>
            </w:pPr>
            <w:r>
              <w:rPr>
                <w:sz w:val="4"/>
                <w:szCs w:val="4"/>
              </w:rPr>
            </w:r>
          </w:p>
        </w:tc>
        <w:tc>
          <w:tcPr>
            <w:tcW w:w="19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354"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03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6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5"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1784" w:type="dxa"/>
            <w:gridSpan w:val="6"/>
            <w:tcBorders/>
            <w:shd w:fill="auto" w:val="clear"/>
          </w:tcPr>
          <w:p>
            <w:pPr>
              <w:pStyle w:val="TableContents"/>
              <w:spacing w:before="0" w:after="283"/>
              <w:rPr>
                <w:sz w:val="4"/>
                <w:szCs w:val="4"/>
              </w:rPr>
            </w:pPr>
            <w:r>
              <w:rPr>
                <w:sz w:val="4"/>
                <w:szCs w:val="4"/>
              </w:rPr>
            </w:r>
          </w:p>
        </w:tc>
      </w:tr>
      <w:tr>
        <w:trPr/>
        <w:tc>
          <w:tcPr>
            <w:tcW w:w="6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827"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26, 2023</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27, 2022</w:t>
            </w:r>
          </w:p>
        </w:tc>
      </w:tr>
      <w:tr>
        <w:trPr/>
        <w:tc>
          <w:tcPr>
            <w:tcW w:w="60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827" w:type="dxa"/>
            <w:gridSpan w:val="3"/>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3"/>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60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1,228,234 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1,123,575 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and other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16,512 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16,960 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58"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1,244,746 </w:t>
            </w:r>
          </w:p>
        </w:tc>
        <w:tc>
          <w:tcPr>
            <w:tcW w:w="169"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1,140,535 </w:t>
            </w:r>
          </w:p>
        </w:tc>
        <w:tc>
          <w:tcPr>
            <w:tcW w:w="187"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827" w:type="dxa"/>
            <w:gridSpan w:val="3"/>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3"/>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0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384,214 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359,370 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 and other related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341,542 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312,511 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restaurant operating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282,927 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259,110 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46,302 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41,775 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65,804 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58,674 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impaired assets and restaurant closings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3,324 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1,839 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58"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1,124,113 </w:t>
            </w:r>
          </w:p>
        </w:tc>
        <w:tc>
          <w:tcPr>
            <w:tcW w:w="169"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1,033,279 </w:t>
            </w:r>
          </w:p>
        </w:tc>
        <w:tc>
          <w:tcPr>
            <w:tcW w:w="187"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58"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120,633 </w:t>
            </w:r>
          </w:p>
        </w:tc>
        <w:tc>
          <w:tcPr>
            <w:tcW w:w="16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107,256 </w:t>
            </w:r>
          </w:p>
        </w:tc>
        <w:tc>
          <w:tcPr>
            <w:tcW w:w="187"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3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r>
      <w:tr>
        <w:trPr/>
        <w:tc>
          <w:tcPr>
            <w:tcW w:w="603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r>
      <w:tr>
        <w:trPr/>
        <w:tc>
          <w:tcPr>
            <w:tcW w:w="603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r>
      <w:tr>
        <w:trPr/>
        <w:tc>
          <w:tcPr>
            <w:tcW w:w="60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(12,444)</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(13,633)</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provision for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58"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108,189 </w:t>
            </w:r>
          </w:p>
        </w:tc>
        <w:tc>
          <w:tcPr>
            <w:tcW w:w="16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93,623 </w:t>
            </w:r>
          </w:p>
        </w:tc>
        <w:tc>
          <w:tcPr>
            <w:tcW w:w="187"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14,761 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15,929 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58"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93,428 </w:t>
            </w:r>
          </w:p>
        </w:tc>
        <w:tc>
          <w:tcPr>
            <w:tcW w:w="16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77,694 </w:t>
            </w:r>
          </w:p>
        </w:tc>
        <w:tc>
          <w:tcPr>
            <w:tcW w:w="187"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attributable to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2,117 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2,183 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3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Bloomin’ Brands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304"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54"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91,311 </w:t>
            </w:r>
          </w:p>
        </w:tc>
        <w:tc>
          <w:tcPr>
            <w:tcW w:w="16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7"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75,511 </w:t>
            </w:r>
          </w:p>
        </w:tc>
        <w:tc>
          <w:tcPr>
            <w:tcW w:w="187"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3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r>
      <w:tr>
        <w:trPr/>
        <w:tc>
          <w:tcPr>
            <w:tcW w:w="603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r>
      <w:tr>
        <w:trPr/>
        <w:tc>
          <w:tcPr>
            <w:tcW w:w="60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82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93,428 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77,694 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8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(1,134)</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11,283 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3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r>
      <w:tr>
        <w:trPr/>
        <w:tc>
          <w:tcPr>
            <w:tcW w:w="60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derivatives, net of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adjustments for loss on derivatives included in Net income, net of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Impact of terminated interest rate swaps included in Net income, net of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3,021 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58"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92,294 </w:t>
            </w:r>
          </w:p>
        </w:tc>
        <w:tc>
          <w:tcPr>
            <w:tcW w:w="16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93,252 </w:t>
            </w:r>
          </w:p>
        </w:tc>
        <w:tc>
          <w:tcPr>
            <w:tcW w:w="187"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comprehensive income attributable to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2,117 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2,183 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attributable to Bloomin’ Brands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304"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54"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90,177 </w:t>
            </w:r>
          </w:p>
        </w:tc>
        <w:tc>
          <w:tcPr>
            <w:tcW w:w="16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7"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91,069 </w:t>
            </w:r>
          </w:p>
        </w:tc>
        <w:tc>
          <w:tcPr>
            <w:tcW w:w="187"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82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8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0.85 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304"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54"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0.93 </w:t>
            </w:r>
          </w:p>
        </w:tc>
        <w:tc>
          <w:tcPr>
            <w:tcW w:w="16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7"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0.73 </w:t>
            </w:r>
          </w:p>
        </w:tc>
        <w:tc>
          <w:tcPr>
            <w:tcW w:w="187"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82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89,116 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89,355 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5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98,011 </w:t>
            </w:r>
          </w:p>
        </w:tc>
        <w:tc>
          <w:tcPr>
            <w:tcW w:w="16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103,454 </w:t>
            </w:r>
          </w:p>
        </w:tc>
        <w:tc>
          <w:tcPr>
            <w:tcW w:w="18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The accompanying notes are an integral part of these unaudited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754225e3f1024615994983297e2dce8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CHANGES IN STOCKHOLDERS’ EQUITY</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PER SHARE DATA, UNAUDITED)</w:t>
      </w:r>
    </w:p>
    <w:tbl>
      <w:tblPr>
        <w:tblW w:w="11601" w:type="dxa"/>
        <w:jc w:val="center"/>
        <w:tblInd w:w="0" w:type="dxa"/>
        <w:tblCellMar>
          <w:top w:w="28" w:type="dxa"/>
          <w:left w:w="28" w:type="dxa"/>
          <w:bottom w:w="28" w:type="dxa"/>
          <w:right w:w="28" w:type="dxa"/>
        </w:tblCellMar>
      </w:tblPr>
      <w:tblGrid>
        <w:gridCol w:w="547"/>
        <w:gridCol w:w="370"/>
        <w:gridCol w:w="269"/>
        <w:gridCol w:w="323"/>
        <w:gridCol w:w="323"/>
        <w:gridCol w:w="256"/>
        <w:gridCol w:w="109"/>
        <w:gridCol w:w="109"/>
        <w:gridCol w:w="109"/>
        <w:gridCol w:w="231"/>
        <w:gridCol w:w="496"/>
        <w:gridCol w:w="129"/>
        <w:gridCol w:w="109"/>
        <w:gridCol w:w="109"/>
        <w:gridCol w:w="109"/>
        <w:gridCol w:w="196"/>
        <w:gridCol w:w="871"/>
        <w:gridCol w:w="109"/>
        <w:gridCol w:w="109"/>
        <w:gridCol w:w="109"/>
        <w:gridCol w:w="109"/>
        <w:gridCol w:w="196"/>
        <w:gridCol w:w="751"/>
        <w:gridCol w:w="109"/>
        <w:gridCol w:w="109"/>
        <w:gridCol w:w="109"/>
        <w:gridCol w:w="109"/>
        <w:gridCol w:w="292"/>
        <w:gridCol w:w="1120"/>
        <w:gridCol w:w="164"/>
        <w:gridCol w:w="109"/>
        <w:gridCol w:w="109"/>
        <w:gridCol w:w="109"/>
        <w:gridCol w:w="409"/>
        <w:gridCol w:w="1163"/>
        <w:gridCol w:w="229"/>
        <w:gridCol w:w="109"/>
        <w:gridCol w:w="109"/>
        <w:gridCol w:w="109"/>
        <w:gridCol w:w="196"/>
        <w:gridCol w:w="736"/>
        <w:gridCol w:w="154"/>
      </w:tblGrid>
      <w:tr>
        <w:trPr/>
        <w:tc>
          <w:tcPr>
            <w:tcW w:w="547"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1163"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74"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BLOOMIN’ BRANDS,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5" w:type="dxa"/>
            <w:gridSpan w:val="9"/>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restart"/>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w:t>
              <w:br/>
              <w:t>ULATED DEFICIT</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3"/>
            <w:vMerge w:val="restart"/>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continue"/>
            <w:tcBorders>
              <w:top w:val="single" w:sz="16"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top w:val="single" w:sz="16"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3"/>
            <w:vMerge w:val="continue"/>
            <w:tcBorders>
              <w:top w:val="single" w:sz="16"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w:t>
              <w:br/>
              <w:t>December 25, 2022</w:t>
            </w:r>
          </w:p>
        </w:tc>
        <w:tc>
          <w:tcPr>
            <w:tcW w:w="646"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87,696 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877 </w:t>
            </w:r>
          </w:p>
        </w:tc>
        <w:tc>
          <w:tcPr>
            <w:tcW w:w="12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1,161,912 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(706,109)</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0"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(185,311)</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3"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2,540 </w:t>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273,909 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2,117 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(1,134)</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declared, $0.24 per common share</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(21,014)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and retirement of common stock, including excise tax</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(20,653)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(20,662)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issued under stock plans (1)</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(2,555)</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noncontrolling interests</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Balance, </w:t>
              <w:br/>
              <w:t>March 26, 2023</w:t>
            </w:r>
          </w:p>
        </w:tc>
        <w:tc>
          <w:tcPr>
            <w:tcW w:w="646" w:type="dxa"/>
            <w:gridSpan w:val="2"/>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87,465 </w:t>
            </w:r>
          </w:p>
        </w:tc>
        <w:tc>
          <w:tcPr>
            <w:tcW w:w="25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875 </w:t>
            </w:r>
          </w:p>
        </w:tc>
        <w:tc>
          <w:tcPr>
            <w:tcW w:w="12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1,141,017 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(635,451)</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(186,445)</w:t>
            </w:r>
          </w:p>
        </w:tc>
        <w:tc>
          <w:tcPr>
            <w:tcW w:w="16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2,845 </w:t>
            </w:r>
          </w:p>
        </w:tc>
        <w:tc>
          <w:tcPr>
            <w:tcW w:w="22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322,841 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1413" w:type="dxa"/>
            <w:gridSpan w:val="6"/>
            <w:tcBorders/>
            <w:shd w:fill="auto" w:val="clea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bl>
    <w:tbl>
      <w:tblPr>
        <w:tblW w:w="11601" w:type="dxa"/>
        <w:jc w:val="center"/>
        <w:tblInd w:w="0" w:type="dxa"/>
        <w:tblCellMar>
          <w:top w:w="28" w:type="dxa"/>
          <w:left w:w="28" w:type="dxa"/>
          <w:bottom w:w="28" w:type="dxa"/>
          <w:right w:w="28" w:type="dxa"/>
        </w:tblCellMar>
      </w:tblPr>
      <w:tblGrid>
        <w:gridCol w:w="547"/>
        <w:gridCol w:w="370"/>
        <w:gridCol w:w="269"/>
        <w:gridCol w:w="323"/>
        <w:gridCol w:w="323"/>
        <w:gridCol w:w="256"/>
        <w:gridCol w:w="109"/>
        <w:gridCol w:w="109"/>
        <w:gridCol w:w="109"/>
        <w:gridCol w:w="231"/>
        <w:gridCol w:w="496"/>
        <w:gridCol w:w="129"/>
        <w:gridCol w:w="109"/>
        <w:gridCol w:w="109"/>
        <w:gridCol w:w="109"/>
        <w:gridCol w:w="196"/>
        <w:gridCol w:w="871"/>
        <w:gridCol w:w="109"/>
        <w:gridCol w:w="109"/>
        <w:gridCol w:w="109"/>
        <w:gridCol w:w="109"/>
        <w:gridCol w:w="196"/>
        <w:gridCol w:w="751"/>
        <w:gridCol w:w="109"/>
        <w:gridCol w:w="109"/>
        <w:gridCol w:w="109"/>
        <w:gridCol w:w="109"/>
        <w:gridCol w:w="292"/>
        <w:gridCol w:w="1120"/>
        <w:gridCol w:w="164"/>
        <w:gridCol w:w="109"/>
        <w:gridCol w:w="109"/>
        <w:gridCol w:w="109"/>
        <w:gridCol w:w="409"/>
        <w:gridCol w:w="1163"/>
        <w:gridCol w:w="229"/>
        <w:gridCol w:w="109"/>
        <w:gridCol w:w="109"/>
        <w:gridCol w:w="109"/>
        <w:gridCol w:w="196"/>
        <w:gridCol w:w="736"/>
        <w:gridCol w:w="154"/>
      </w:tblGrid>
      <w:tr>
        <w:trPr/>
        <w:tc>
          <w:tcPr>
            <w:tcW w:w="547"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1163"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74"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BLOOMIN’ BRANDS,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5" w:type="dxa"/>
            <w:gridSpan w:val="9"/>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restart"/>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w:t>
              <w:br/>
              <w:t>ULATED DEFICIT</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3"/>
            <w:vMerge w:val="restart"/>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continue"/>
            <w:tcBorders>
              <w:top w:val="single" w:sz="16"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top w:val="single" w:sz="16"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3"/>
            <w:vMerge w:val="continue"/>
            <w:tcBorders>
              <w:top w:val="single" w:sz="16"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w:t>
              <w:br/>
              <w:t>December 26, 2021</w:t>
            </w:r>
          </w:p>
        </w:tc>
        <w:tc>
          <w:tcPr>
            <w:tcW w:w="646"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89,253 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893 </w:t>
            </w:r>
          </w:p>
        </w:tc>
        <w:tc>
          <w:tcPr>
            <w:tcW w:w="12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1,119,728 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(698,171)</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0"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(205,989)</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3"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6,389 </w:t>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222,850 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2,183 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77,694 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net of tax</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15,558 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15,558 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declared, $0.14 per common share</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(12,559)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(12,559)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and retirement of common stock</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(11,696)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(11,702)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issued under stock plans (1)</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noncontrolling interests, net of tax of $888</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(4,454)</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(2,641)</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noncontrolling interests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w:t>
              <w:br/>
              <w:t>March 27, 2022</w:t>
            </w:r>
          </w:p>
        </w:tc>
        <w:tc>
          <w:tcPr>
            <w:tcW w:w="646"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89,185 </w:t>
            </w:r>
          </w:p>
        </w:tc>
        <w:tc>
          <w:tcPr>
            <w:tcW w:w="25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892 </w:t>
            </w:r>
          </w:p>
        </w:tc>
        <w:tc>
          <w:tcPr>
            <w:tcW w:w="12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1,115,458 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(634,356)</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(190,431)</w:t>
            </w:r>
          </w:p>
        </w:tc>
        <w:tc>
          <w:tcPr>
            <w:tcW w:w="16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1,694 </w:t>
            </w:r>
          </w:p>
        </w:tc>
        <w:tc>
          <w:tcPr>
            <w:tcW w:w="22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293,257 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spacing w:lineRule="auto" w:line="288" w:before="0" w:after="0"/>
        <w:ind w:left="0" w:right="0" w:hanging="720"/>
        <w:rPr>
          <w:rFonts w:ascii="Times New Roman;sans-serif" w:hAnsi="Times New Roman;sans-serif"/>
          <w:b w:val="false"/>
          <w:color w:val="000000"/>
          <w:sz w:val="18"/>
        </w:rPr>
      </w:pPr>
      <w:r>
        <w:rPr>
          <w:rFonts w:ascii="Times New Roman;sans-serif" w:hAnsi="Times New Roman;sans-serif"/>
          <w:b w:val="false"/>
          <w:color w:val="000000"/>
          <w:sz w:val="18"/>
        </w:rPr>
        <w:t>(1)Net of forfeitures and shares withheld for employee taxes.</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The accompanying notes are an integral part of these unaudited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754225e3f1024615994983297e2dce8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CONDENSED CONSOLIDATED STATEMENTS OF CASH FLOWS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(DOLLARS IN THOUSANDS, UNAUDITED)</w:t>
      </w:r>
    </w:p>
    <w:p>
      <w:pPr>
        <w:pStyle w:val="TextBody"/>
        <w:spacing w:before="0" w:after="0"/>
        <w:rPr/>
      </w:pPr>
      <w:r>
        <w:rPr/>
      </w:r>
    </w:p>
    <w:p>
      <w:pPr>
        <w:pStyle w:val="TextBody"/>
        <w:spacing w:before="0" w:after="0"/>
        <w:rPr/>
      </w:pPr>
      <w:r>
        <w:rPr/>
      </w:r>
    </w:p>
    <w:tbl>
      <w:tblPr>
        <w:tblW w:w="9551" w:type="dxa"/>
        <w:jc w:val="left"/>
        <w:tblInd w:w="0" w:type="dxa"/>
        <w:tblCellMar>
          <w:top w:w="28" w:type="dxa"/>
          <w:left w:w="28" w:type="dxa"/>
          <w:bottom w:w="28" w:type="dxa"/>
          <w:right w:w="28" w:type="dxa"/>
        </w:tblCellMar>
      </w:tblPr>
      <w:tblGrid>
        <w:gridCol w:w="2294"/>
        <w:gridCol w:w="2010"/>
        <w:gridCol w:w="2026"/>
        <w:gridCol w:w="293"/>
        <w:gridCol w:w="968"/>
        <w:gridCol w:w="163"/>
        <w:gridCol w:w="109"/>
        <w:gridCol w:w="109"/>
        <w:gridCol w:w="109"/>
        <w:gridCol w:w="289"/>
        <w:gridCol w:w="954"/>
        <w:gridCol w:w="227"/>
      </w:tblGrid>
      <w:tr>
        <w:trPr/>
        <w:tc>
          <w:tcPr>
            <w:tcW w:w="2294" w:type="dxa"/>
            <w:tcBorders/>
            <w:shd w:fill="auto" w:val="clear"/>
            <w:vAlign w:val="center"/>
          </w:tcPr>
          <w:p>
            <w:pPr>
              <w:pStyle w:val="TableContents"/>
              <w:spacing w:before="0" w:after="283"/>
              <w:rPr>
                <w:sz w:val="4"/>
                <w:szCs w:val="4"/>
              </w:rPr>
            </w:pPr>
            <w:r>
              <w:rPr>
                <w:sz w:val="4"/>
                <w:szCs w:val="4"/>
              </w:rPr>
            </w:r>
          </w:p>
        </w:tc>
        <w:tc>
          <w:tcPr>
            <w:tcW w:w="2010" w:type="dxa"/>
            <w:tcBorders/>
            <w:shd w:fill="auto" w:val="clear"/>
            <w:vAlign w:val="center"/>
          </w:tcPr>
          <w:p>
            <w:pPr>
              <w:pStyle w:val="TableContents"/>
              <w:spacing w:before="0" w:after="283"/>
              <w:rPr>
                <w:sz w:val="4"/>
                <w:szCs w:val="4"/>
              </w:rPr>
            </w:pPr>
            <w:r>
              <w:rPr>
                <w:sz w:val="4"/>
                <w:szCs w:val="4"/>
              </w:rPr>
            </w:r>
          </w:p>
        </w:tc>
        <w:tc>
          <w:tcPr>
            <w:tcW w:w="2026"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r>
      <w:tr>
        <w:trPr/>
        <w:tc>
          <w:tcPr>
            <w:tcW w:w="6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26, 2023</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27, 2022</w:t>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provided by operating activities:</w:t>
            </w:r>
          </w:p>
        </w:tc>
        <w:tc>
          <w:tcPr>
            <w:tcW w:w="1424" w:type="dxa"/>
            <w:gridSpan w:val="3"/>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9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93,428 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77,694 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cash provided by operating activities:</w:t>
            </w:r>
          </w:p>
        </w:tc>
        <w:tc>
          <w:tcPr>
            <w:tcW w:w="142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2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46,302 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41,775 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discounts and issuance costs</w:t>
            </w:r>
          </w:p>
        </w:tc>
        <w:tc>
          <w:tcPr>
            <w:tcW w:w="12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gift card sales commissions</w:t>
            </w:r>
          </w:p>
        </w:tc>
        <w:tc>
          <w:tcPr>
            <w:tcW w:w="12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7,797 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8,017 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impaired assets and restaurant closings</w:t>
            </w:r>
          </w:p>
        </w:tc>
        <w:tc>
          <w:tcPr>
            <w:tcW w:w="12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3,324 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1,839 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interest expense from terminated interest rate swaps</w:t>
            </w:r>
          </w:p>
        </w:tc>
        <w:tc>
          <w:tcPr>
            <w:tcW w:w="12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4,067 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operating lease costs</w:t>
            </w:r>
          </w:p>
        </w:tc>
        <w:tc>
          <w:tcPr>
            <w:tcW w:w="12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21,182 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20,477 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and other non-cash compensation expense</w:t>
            </w:r>
          </w:p>
        </w:tc>
        <w:tc>
          <w:tcPr>
            <w:tcW w:w="12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2,904 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4,843 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expense</w:t>
            </w:r>
          </w:p>
        </w:tc>
        <w:tc>
          <w:tcPr>
            <w:tcW w:w="12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1,682 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3,209 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12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(1,823)</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2,229 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assets and liabilities</w:t>
            </w:r>
          </w:p>
        </w:tc>
        <w:tc>
          <w:tcPr>
            <w:tcW w:w="12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14,109 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(18,080)</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1261"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189,668 </w:t>
            </w:r>
          </w:p>
        </w:tc>
        <w:tc>
          <w:tcPr>
            <w:tcW w:w="163"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147,135 </w:t>
            </w:r>
          </w:p>
        </w:tc>
        <w:tc>
          <w:tcPr>
            <w:tcW w:w="227"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used in investing activities:</w:t>
            </w:r>
          </w:p>
        </w:tc>
        <w:tc>
          <w:tcPr>
            <w:tcW w:w="1424" w:type="dxa"/>
            <w:gridSpan w:val="3"/>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12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(64,415)</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(40,180)</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investments, net</w:t>
            </w:r>
          </w:p>
        </w:tc>
        <w:tc>
          <w:tcPr>
            <w:tcW w:w="12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1,470 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261"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(62,945)</w:t>
            </w:r>
          </w:p>
        </w:tc>
        <w:tc>
          <w:tcPr>
            <w:tcW w:w="163"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(39,150)</w:t>
            </w:r>
          </w:p>
        </w:tc>
        <w:tc>
          <w:tcPr>
            <w:tcW w:w="227"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1797" w:type="dxa"/>
            <w:gridSpan w:val="6"/>
            <w:tcBorders/>
            <w:shd w:fill="auto" w:val="clea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used in financing activities:</w:t>
            </w:r>
          </w:p>
        </w:tc>
        <w:tc>
          <w:tcPr>
            <w:tcW w:w="1424"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long-term debt and finance lease obligations</w:t>
            </w:r>
          </w:p>
        </w:tc>
        <w:tc>
          <w:tcPr>
            <w:tcW w:w="12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(2,863)</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borrowings on revolving credit facilities</w:t>
            </w:r>
          </w:p>
        </w:tc>
        <w:tc>
          <w:tcPr>
            <w:tcW w:w="12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190,000 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90,000 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borrowings on revolving credit facilities</w:t>
            </w:r>
          </w:p>
        </w:tc>
        <w:tc>
          <w:tcPr>
            <w:tcW w:w="12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(260,000)</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(160,000)</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taxes) proceeds from share-based compensation, net</w:t>
            </w:r>
          </w:p>
        </w:tc>
        <w:tc>
          <w:tcPr>
            <w:tcW w:w="12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(2,778)</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w:t>
            </w:r>
          </w:p>
        </w:tc>
        <w:tc>
          <w:tcPr>
            <w:tcW w:w="12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(2,555)</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(2,641)</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noncontrolling interests</w:t>
            </w:r>
          </w:p>
        </w:tc>
        <w:tc>
          <w:tcPr>
            <w:tcW w:w="12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noncontrolling interests</w:t>
            </w:r>
          </w:p>
        </w:tc>
        <w:tc>
          <w:tcPr>
            <w:tcW w:w="12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partner equity plan</w:t>
            </w:r>
          </w:p>
        </w:tc>
        <w:tc>
          <w:tcPr>
            <w:tcW w:w="12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(2,748)</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12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(20,898)</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(10,402)</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paid on common stock</w:t>
            </w:r>
          </w:p>
        </w:tc>
        <w:tc>
          <w:tcPr>
            <w:tcW w:w="12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(21,014)</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(12,559)</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1261"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(116,987)</w:t>
            </w:r>
          </w:p>
        </w:tc>
        <w:tc>
          <w:tcPr>
            <w:tcW w:w="163"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(101,111)</w:t>
            </w:r>
          </w:p>
        </w:tc>
        <w:tc>
          <w:tcPr>
            <w:tcW w:w="227"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and cash equivalents</w:t>
            </w:r>
          </w:p>
        </w:tc>
        <w:tc>
          <w:tcPr>
            <w:tcW w:w="1261"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63"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1,965 </w:t>
            </w:r>
          </w:p>
        </w:tc>
        <w:tc>
          <w:tcPr>
            <w:tcW w:w="227"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in cash, cash equivalents and restricted cash</w:t>
            </w:r>
          </w:p>
        </w:tc>
        <w:tc>
          <w:tcPr>
            <w:tcW w:w="1261"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9,706 </w:t>
            </w:r>
          </w:p>
        </w:tc>
        <w:tc>
          <w:tcPr>
            <w:tcW w:w="163"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8,839 </w:t>
            </w:r>
          </w:p>
        </w:tc>
        <w:tc>
          <w:tcPr>
            <w:tcW w:w="227"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as of the beginning of the period</w:t>
            </w:r>
          </w:p>
        </w:tc>
        <w:tc>
          <w:tcPr>
            <w:tcW w:w="12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84,735 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89,057 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as of the end of the period</w:t>
            </w:r>
          </w:p>
        </w:tc>
        <w:tc>
          <w:tcPr>
            <w:tcW w:w="293"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94,441 </w:t>
            </w:r>
          </w:p>
        </w:tc>
        <w:tc>
          <w:tcPr>
            <w:tcW w:w="163"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4"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97,896 </w:t>
            </w:r>
          </w:p>
        </w:tc>
        <w:tc>
          <w:tcPr>
            <w:tcW w:w="227"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disclosures of cash flow information:</w:t>
            </w:r>
          </w:p>
        </w:tc>
        <w:tc>
          <w:tcPr>
            <w:tcW w:w="1424"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29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6,528 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2,444 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income taxes, net of refunds</w:t>
            </w:r>
          </w:p>
        </w:tc>
        <w:tc>
          <w:tcPr>
            <w:tcW w:w="29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2,458 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2,257 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disclosures of non-cash investing and financing activities:</w:t>
            </w:r>
          </w:p>
        </w:tc>
        <w:tc>
          <w:tcPr>
            <w:tcW w:w="14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assets obtained in exchange for new operating lease liabilities</w:t>
            </w:r>
          </w:p>
        </w:tc>
        <w:tc>
          <w:tcPr>
            <w:tcW w:w="29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11,394 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11,515 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assets obtained in exchange for new finance lease liabilities</w:t>
            </w:r>
          </w:p>
        </w:tc>
        <w:tc>
          <w:tcPr>
            <w:tcW w:w="29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4,711 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in liabilities from the acquisition of property, fixtures and equipment</w:t>
            </w:r>
          </w:p>
        </w:tc>
        <w:tc>
          <w:tcPr>
            <w:tcW w:w="29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1,159 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(6,178)</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The accompanying notes are an integral part of these unaudited consolidated financial statements.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754225e3f1024615994983297e2dce8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    Description of the Business and Basis of Presentation</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2"/>
        </w:rPr>
        <w:t xml:space="preserve">Description of the Business - </w:t>
      </w:r>
      <w:r>
        <w:rPr>
          <w:rFonts w:ascii="Times New Roman;sans-serif" w:hAnsi="Times New Roman;sans-serif"/>
          <w:b w:val="false"/>
          <w:color w:val="000000"/>
          <w:sz w:val="22"/>
        </w:rPr>
        <w:t>Bloomin’ Brands (“Bloomin’ Brands” or the “Company”) owns and operates casual, upscale casual and fine dining restaurants. The Company’s restaurant portfolio has four concepts: Outback Steakhouse, Carrabba’s Italian Grill, Bonefish Grill and Fleming’s Prime Steakhouse &amp; Wine Bar. Additional Outback Steakhouse, Carrabba’s Italian Grill and Bonefish Grill restaurants in which the Company has no direct investment are operated under franchise agreements.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2"/>
        </w:rPr>
        <w:t xml:space="preserve">Basis of Presentation - </w:t>
      </w:r>
      <w:r>
        <w:rPr>
          <w:rFonts w:ascii="Times New Roman;sans-serif" w:hAnsi="Times New Roman;sans-serif"/>
          <w:b w:val="false"/>
          <w:color w:val="000000"/>
          <w:sz w:val="22"/>
        </w:rPr>
        <w:t>The accompanying interim unaudited condensed consolidated financial statements have been prepared by the Company pursuant to the rules and regulations of the Securities and Exchange Commission. Accordingly, they do not include all the information and footnotes required by generally accepted accounting principles in the United States (“U.S. GAAP”) for complete financial statements. In the opinion of the Company, all adjustments necessary for fair financial statement presentation for the periods presented have been included and are of a normal, recurring nature. The results of operations for interim periods are not necessarily indicative of the results to be expected for the full year. These financial statements should be read in conjunction with the audited financial statements and notes thereto included in the Company’s Annual Report on Form 10-K for the year ended December 25, 2022.</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2"/>
        </w:rPr>
        <w:t>Recently Issued Financial Accounting Standards Not Yet Adopted</w:t>
      </w:r>
      <w:r>
        <w:rPr>
          <w:color w:val="000000"/>
        </w:rPr>
        <w:t xml:space="preserve"> </w:t>
      </w:r>
      <w:r>
        <w:rPr>
          <w:rFonts w:ascii="Times New Roman;sans-serif" w:hAnsi="Times New Roman;sans-serif"/>
          <w:b w:val="false"/>
          <w:color w:val="000000"/>
          <w:sz w:val="22"/>
        </w:rPr>
        <w:t>- Recent accounting guidance not discussed herein is not applicable, did not have or is not expected to have a material impact to the Company.</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2"/>
        </w:rPr>
        <w:t>Reclassifications</w:t>
      </w:r>
      <w:r>
        <w:rPr>
          <w:color w:val="000000"/>
        </w:rPr>
        <w:t xml:space="preserve"> </w:t>
      </w:r>
      <w:r>
        <w:rPr>
          <w:rFonts w:ascii="Times New Roman;sans-serif" w:hAnsi="Times New Roman;sans-serif"/>
          <w:b w:val="false"/>
          <w:color w:val="000000"/>
          <w:sz w:val="22"/>
        </w:rPr>
        <w:t>- The Company reclassified certain items in the accompanying consolidated financial statements for prior periods to be comparable with the classification for the current period, including, but not limited to, presentation of certain notes to the consolidated financial statements. These reclassifications had no effect on previously reported net income.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2.    Revenue Recognition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includes the categories of revenue included in the Company’s Consolidated Statements of Operations and Comprehensive Income for the periods indicated:</w:t>
      </w:r>
    </w:p>
    <w:tbl>
      <w:tblPr>
        <w:tblW w:w="7481" w:type="dxa"/>
        <w:jc w:val="left"/>
        <w:tblInd w:w="0" w:type="dxa"/>
        <w:tblCellMar>
          <w:top w:w="28" w:type="dxa"/>
          <w:left w:w="28" w:type="dxa"/>
          <w:bottom w:w="28" w:type="dxa"/>
          <w:right w:w="28" w:type="dxa"/>
        </w:tblCellMar>
      </w:tblPr>
      <w:tblGrid>
        <w:gridCol w:w="938"/>
        <w:gridCol w:w="827"/>
        <w:gridCol w:w="829"/>
        <w:gridCol w:w="109"/>
        <w:gridCol w:w="109"/>
        <w:gridCol w:w="173"/>
        <w:gridCol w:w="173"/>
        <w:gridCol w:w="312"/>
        <w:gridCol w:w="1387"/>
        <w:gridCol w:w="173"/>
        <w:gridCol w:w="109"/>
        <w:gridCol w:w="109"/>
        <w:gridCol w:w="109"/>
        <w:gridCol w:w="237"/>
        <w:gridCol w:w="1056"/>
        <w:gridCol w:w="132"/>
        <w:gridCol w:w="109"/>
        <w:gridCol w:w="109"/>
        <w:gridCol w:w="109"/>
        <w:gridCol w:w="109"/>
        <w:gridCol w:w="109"/>
        <w:gridCol w:w="154"/>
      </w:tblGrid>
      <w:tr>
        <w:trPr/>
        <w:tc>
          <w:tcPr>
            <w:tcW w:w="938"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387"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8" w:type="dxa"/>
            <w:gridSpan w:val="5"/>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872"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26, 2023</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27,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872"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1,228,234 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1,123,575 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and other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8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6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13,523 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13,406 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6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2,989 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3,554 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Franchise and other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699"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16,512 </w:t>
            </w:r>
          </w:p>
        </w:tc>
        <w:tc>
          <w:tcPr>
            <w:tcW w:w="173"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16,960 </w:t>
            </w:r>
          </w:p>
        </w:tc>
        <w:tc>
          <w:tcPr>
            <w:tcW w:w="132"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31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1,244,746 </w:t>
            </w:r>
          </w:p>
        </w:tc>
        <w:tc>
          <w:tcPr>
            <w:tcW w:w="17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1,140,535 </w:t>
            </w:r>
          </w:p>
        </w:tc>
        <w:tc>
          <w:tcPr>
            <w:tcW w:w="13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360"/>
        <w:jc w:val="both"/>
        <w:rPr/>
      </w:pPr>
      <w:r>
        <w:rPr/>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754225e3f1024615994983297e2dce8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includes the disaggregation of Restaurant sales and franchise revenues, by restaurant concept and major international market, for the periods indicated:</w:t>
      </w:r>
    </w:p>
    <w:tbl>
      <w:tblPr>
        <w:tblW w:w="10205" w:type="dxa"/>
        <w:jc w:val="left"/>
        <w:tblInd w:w="0" w:type="dxa"/>
        <w:tblCellMar>
          <w:top w:w="28" w:type="dxa"/>
          <w:left w:w="28" w:type="dxa"/>
          <w:bottom w:w="28" w:type="dxa"/>
          <w:right w:w="28" w:type="dxa"/>
        </w:tblCellMar>
      </w:tblPr>
      <w:tblGrid>
        <w:gridCol w:w="919"/>
        <w:gridCol w:w="768"/>
        <w:gridCol w:w="771"/>
        <w:gridCol w:w="270"/>
        <w:gridCol w:w="1201"/>
        <w:gridCol w:w="151"/>
        <w:gridCol w:w="109"/>
        <w:gridCol w:w="109"/>
        <w:gridCol w:w="109"/>
        <w:gridCol w:w="356"/>
        <w:gridCol w:w="1180"/>
        <w:gridCol w:w="200"/>
        <w:gridCol w:w="109"/>
        <w:gridCol w:w="109"/>
        <w:gridCol w:w="109"/>
        <w:gridCol w:w="270"/>
        <w:gridCol w:w="1201"/>
        <w:gridCol w:w="151"/>
        <w:gridCol w:w="109"/>
        <w:gridCol w:w="109"/>
        <w:gridCol w:w="109"/>
        <w:gridCol w:w="349"/>
        <w:gridCol w:w="1155"/>
        <w:gridCol w:w="282"/>
      </w:tblGrid>
      <w:tr>
        <w:trPr/>
        <w:tc>
          <w:tcPr>
            <w:tcW w:w="919"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r>
      <w:tr>
        <w:trPr/>
        <w:tc>
          <w:tcPr>
            <w:tcW w:w="2458" w:type="dxa"/>
            <w:gridSpan w:val="3"/>
            <w:tcBorders/>
            <w:shd w:fill="auto" w:val="clear"/>
            <w:vAlign w:val="center"/>
          </w:tcPr>
          <w:p>
            <w:pPr>
              <w:pStyle w:val="TableContents"/>
              <w:spacing w:before="0" w:after="283"/>
              <w:rPr>
                <w:sz w:val="4"/>
                <w:szCs w:val="4"/>
              </w:rPr>
            </w:pPr>
            <w:r>
              <w:rPr>
                <w:sz w:val="4"/>
                <w:szCs w:val="4"/>
              </w:rPr>
            </w:r>
          </w:p>
        </w:tc>
        <w:tc>
          <w:tcPr>
            <w:tcW w:w="1622" w:type="dxa"/>
            <w:gridSpan w:val="3"/>
            <w:tcBorders/>
            <w:shd w:fill="auto" w:val="clear"/>
            <w:vAlign w:val="center"/>
          </w:tcPr>
          <w:p>
            <w:pPr>
              <w:pStyle w:val="TableContents"/>
              <w:spacing w:before="0" w:after="283"/>
              <w:rPr>
                <w:sz w:val="4"/>
                <w:szCs w:val="4"/>
              </w:rPr>
            </w:pPr>
            <w:r>
              <w:rPr>
                <w:sz w:val="4"/>
                <w:szCs w:val="4"/>
              </w:rPr>
            </w:r>
          </w:p>
        </w:tc>
        <w:tc>
          <w:tcPr>
            <w:tcW w:w="6125" w:type="dxa"/>
            <w:gridSpan w:val="18"/>
            <w:tcBorders/>
            <w:shd w:fill="auto" w:val="clear"/>
          </w:tcPr>
          <w:p>
            <w:pPr>
              <w:pStyle w:val="TableContents"/>
              <w:spacing w:before="0" w:after="283"/>
              <w:rPr>
                <w:sz w:val="4"/>
                <w:szCs w:val="4"/>
              </w:rPr>
            </w:pPr>
            <w:r>
              <w:rPr>
                <w:sz w:val="4"/>
                <w:szCs w:val="4"/>
              </w:rPr>
            </w:r>
          </w:p>
        </w:tc>
      </w:tr>
      <w:tr>
        <w:trPr/>
        <w:tc>
          <w:tcPr>
            <w:tcW w:w="2458" w:type="dxa"/>
            <w:gridSpan w:val="3"/>
            <w:tcBorders/>
            <w:shd w:fill="auto" w:val="clear"/>
            <w:vAlign w:val="center"/>
          </w:tcPr>
          <w:p>
            <w:pPr>
              <w:pStyle w:val="TableContents"/>
              <w:spacing w:before="0" w:after="283"/>
              <w:rPr>
                <w:sz w:val="4"/>
                <w:szCs w:val="4"/>
              </w:rPr>
            </w:pPr>
            <w:r>
              <w:rPr>
                <w:sz w:val="4"/>
                <w:szCs w:val="4"/>
              </w:rPr>
            </w:r>
          </w:p>
        </w:tc>
        <w:tc>
          <w:tcPr>
            <w:tcW w:w="16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36" w:type="dxa"/>
            <w:gridSpan w:val="3"/>
            <w:tcBorders/>
            <w:shd w:fill="auto" w:val="clear"/>
            <w:vAlign w:val="center"/>
          </w:tcPr>
          <w:p>
            <w:pPr>
              <w:pStyle w:val="TableContents"/>
              <w:spacing w:before="0" w:after="283"/>
              <w:rPr>
                <w:sz w:val="4"/>
                <w:szCs w:val="4"/>
              </w:rPr>
            </w:pPr>
            <w:r>
              <w:rPr>
                <w:sz w:val="4"/>
                <w:szCs w:val="4"/>
              </w:rPr>
            </w:r>
          </w:p>
        </w:tc>
        <w:tc>
          <w:tcPr>
            <w:tcW w:w="4062" w:type="dxa"/>
            <w:gridSpan w:val="12"/>
            <w:tcBorders/>
            <w:shd w:fill="auto" w:val="clear"/>
          </w:tcPr>
          <w:p>
            <w:pPr>
              <w:pStyle w:val="TableContents"/>
              <w:spacing w:before="0" w:after="283"/>
              <w:rPr>
                <w:sz w:val="4"/>
                <w:szCs w:val="4"/>
              </w:rPr>
            </w:pPr>
            <w:r>
              <w:rPr>
                <w:sz w:val="4"/>
                <w:szCs w:val="4"/>
              </w:rPr>
            </w:r>
          </w:p>
        </w:tc>
      </w:tr>
      <w:tr>
        <w:trPr/>
        <w:tc>
          <w:tcPr>
            <w:tcW w:w="2458" w:type="dxa"/>
            <w:gridSpan w:val="3"/>
            <w:tcBorders/>
            <w:shd w:fill="auto" w:val="clear"/>
            <w:vAlign w:val="center"/>
          </w:tcPr>
          <w:p>
            <w:pPr>
              <w:pStyle w:val="TableContents"/>
              <w:spacing w:before="0" w:after="283"/>
              <w:rPr>
                <w:sz w:val="4"/>
                <w:szCs w:val="4"/>
              </w:rPr>
            </w:pPr>
            <w:r>
              <w:rPr>
                <w:sz w:val="4"/>
                <w:szCs w:val="4"/>
              </w:rPr>
            </w:r>
          </w:p>
        </w:tc>
        <w:tc>
          <w:tcPr>
            <w:tcW w:w="16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86" w:type="dxa"/>
            <w:gridSpan w:val="3"/>
            <w:tcBorders/>
            <w:shd w:fill="auto" w:val="clear"/>
            <w:vAlign w:val="center"/>
          </w:tcPr>
          <w:p>
            <w:pPr>
              <w:pStyle w:val="TableContents"/>
              <w:spacing w:before="0" w:after="283"/>
              <w:rPr>
                <w:sz w:val="4"/>
                <w:szCs w:val="4"/>
              </w:rPr>
            </w:pPr>
            <w:r>
              <w:rPr>
                <w:sz w:val="4"/>
                <w:szCs w:val="4"/>
              </w:rPr>
            </w:r>
          </w:p>
        </w:tc>
      </w:tr>
      <w:tr>
        <w:trPr/>
        <w:tc>
          <w:tcPr>
            <w:tcW w:w="2458" w:type="dxa"/>
            <w:gridSpan w:val="3"/>
            <w:tcBorders/>
            <w:shd w:fill="auto" w:val="clear"/>
            <w:vAlign w:val="center"/>
          </w:tcPr>
          <w:p>
            <w:pPr>
              <w:pStyle w:val="TableContents"/>
              <w:spacing w:before="0" w:after="283"/>
              <w:rPr>
                <w:sz w:val="4"/>
                <w:szCs w:val="4"/>
              </w:rPr>
            </w:pPr>
            <w:r>
              <w:rPr>
                <w:sz w:val="4"/>
                <w:szCs w:val="4"/>
              </w:rPr>
            </w:r>
          </w:p>
        </w:tc>
        <w:tc>
          <w:tcPr>
            <w:tcW w:w="16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86" w:type="dxa"/>
            <w:gridSpan w:val="3"/>
            <w:tcBorders/>
            <w:shd w:fill="auto" w:val="clear"/>
            <w:vAlign w:val="center"/>
          </w:tcPr>
          <w:p>
            <w:pPr>
              <w:pStyle w:val="TableContents"/>
              <w:spacing w:before="0" w:after="283"/>
              <w:rPr>
                <w:sz w:val="4"/>
                <w:szCs w:val="4"/>
              </w:rPr>
            </w:pPr>
            <w:r>
              <w:rPr>
                <w:sz w:val="4"/>
                <w:szCs w:val="4"/>
              </w:rPr>
            </w:r>
          </w:p>
        </w:tc>
      </w:tr>
      <w:tr>
        <w:trPr/>
        <w:tc>
          <w:tcPr>
            <w:tcW w:w="2458" w:type="dxa"/>
            <w:gridSpan w:val="3"/>
            <w:tcBorders/>
            <w:shd w:fill="auto" w:val="clear"/>
            <w:vAlign w:val="center"/>
          </w:tcPr>
          <w:p>
            <w:pPr>
              <w:pStyle w:val="TableContents"/>
              <w:spacing w:before="0" w:after="283"/>
              <w:rPr>
                <w:sz w:val="4"/>
                <w:szCs w:val="4"/>
              </w:rPr>
            </w:pPr>
            <w:r>
              <w:rPr>
                <w:sz w:val="4"/>
                <w:szCs w:val="4"/>
              </w:rPr>
            </w:r>
          </w:p>
        </w:tc>
        <w:tc>
          <w:tcPr>
            <w:tcW w:w="16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86" w:type="dxa"/>
            <w:gridSpan w:val="3"/>
            <w:tcBorders/>
            <w:shd w:fill="auto" w:val="clear"/>
            <w:vAlign w:val="center"/>
          </w:tcPr>
          <w:p>
            <w:pPr>
              <w:pStyle w:val="TableContents"/>
              <w:spacing w:before="0" w:after="283"/>
              <w:rPr>
                <w:sz w:val="4"/>
                <w:szCs w:val="4"/>
              </w:rPr>
            </w:pPr>
            <w:r>
              <w:rPr>
                <w:sz w:val="4"/>
                <w:szCs w:val="4"/>
              </w:rPr>
            </w:r>
          </w:p>
        </w:tc>
      </w:tr>
      <w:tr>
        <w:trPr/>
        <w:tc>
          <w:tcPr>
            <w:tcW w:w="2458" w:type="dxa"/>
            <w:gridSpan w:val="3"/>
            <w:tcBorders/>
            <w:shd w:fill="auto" w:val="clear"/>
            <w:vAlign w:val="center"/>
          </w:tcPr>
          <w:p>
            <w:pPr>
              <w:pStyle w:val="TableContents"/>
              <w:spacing w:before="0" w:after="283"/>
              <w:rPr>
                <w:sz w:val="4"/>
                <w:szCs w:val="4"/>
              </w:rPr>
            </w:pPr>
            <w:r>
              <w:rPr>
                <w:sz w:val="4"/>
                <w:szCs w:val="4"/>
              </w:rPr>
            </w:r>
          </w:p>
        </w:tc>
        <w:tc>
          <w:tcPr>
            <w:tcW w:w="16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86" w:type="dxa"/>
            <w:gridSpan w:val="3"/>
            <w:tcBorders/>
            <w:shd w:fill="auto" w:val="clear"/>
            <w:vAlign w:val="center"/>
          </w:tcPr>
          <w:p>
            <w:pPr>
              <w:pStyle w:val="TableContents"/>
              <w:spacing w:before="0" w:after="283"/>
              <w:rPr>
                <w:sz w:val="4"/>
                <w:szCs w:val="4"/>
              </w:rPr>
            </w:pPr>
            <w:r>
              <w:rPr>
                <w:sz w:val="4"/>
                <w:szCs w:val="4"/>
              </w:rPr>
            </w:r>
          </w:p>
        </w:tc>
      </w:tr>
      <w:tr>
        <w:trPr/>
        <w:tc>
          <w:tcPr>
            <w:tcW w:w="2458" w:type="dxa"/>
            <w:gridSpan w:val="3"/>
            <w:tcBorders/>
            <w:shd w:fill="auto" w:val="clear"/>
            <w:vAlign w:val="center"/>
          </w:tcPr>
          <w:p>
            <w:pPr>
              <w:pStyle w:val="TableContents"/>
              <w:spacing w:before="0" w:after="283"/>
              <w:rPr>
                <w:sz w:val="4"/>
                <w:szCs w:val="4"/>
              </w:rPr>
            </w:pPr>
            <w:r>
              <w:rPr>
                <w:sz w:val="4"/>
                <w:szCs w:val="4"/>
              </w:rPr>
            </w:r>
          </w:p>
        </w:tc>
        <w:tc>
          <w:tcPr>
            <w:tcW w:w="16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86" w:type="dxa"/>
            <w:gridSpan w:val="3"/>
            <w:tcBorders/>
            <w:shd w:fill="auto" w:val="clear"/>
            <w:vAlign w:val="center"/>
          </w:tcPr>
          <w:p>
            <w:pPr>
              <w:pStyle w:val="TableContents"/>
              <w:spacing w:before="0" w:after="283"/>
              <w:rPr>
                <w:sz w:val="4"/>
                <w:szCs w:val="4"/>
              </w:rPr>
            </w:pPr>
            <w:r>
              <w:rPr>
                <w:sz w:val="4"/>
                <w:szCs w:val="4"/>
              </w:rPr>
            </w:r>
          </w:p>
        </w:tc>
      </w:tr>
      <w:tr>
        <w:trPr/>
        <w:tc>
          <w:tcPr>
            <w:tcW w:w="2458" w:type="dxa"/>
            <w:gridSpan w:val="3"/>
            <w:tcBorders/>
            <w:shd w:fill="auto" w:val="clear"/>
            <w:vAlign w:val="center"/>
          </w:tcPr>
          <w:p>
            <w:pPr>
              <w:pStyle w:val="TableContents"/>
              <w:spacing w:before="0" w:after="283"/>
              <w:rPr>
                <w:sz w:val="4"/>
                <w:szCs w:val="4"/>
              </w:rPr>
            </w:pPr>
            <w:r>
              <w:rPr>
                <w:sz w:val="4"/>
                <w:szCs w:val="4"/>
              </w:rPr>
            </w:r>
          </w:p>
        </w:tc>
        <w:tc>
          <w:tcPr>
            <w:tcW w:w="16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86" w:type="dxa"/>
            <w:gridSpan w:val="3"/>
            <w:tcBorders/>
            <w:shd w:fill="auto" w:val="clear"/>
            <w:vAlign w:val="center"/>
          </w:tcPr>
          <w:p>
            <w:pPr>
              <w:pStyle w:val="TableContents"/>
              <w:spacing w:before="0" w:after="283"/>
              <w:rPr>
                <w:sz w:val="4"/>
                <w:szCs w:val="4"/>
              </w:rPr>
            </w:pPr>
            <w:r>
              <w:rPr>
                <w:sz w:val="4"/>
                <w:szCs w:val="4"/>
              </w:rPr>
            </w:r>
          </w:p>
        </w:tc>
      </w:tr>
      <w:tr>
        <w:trPr/>
        <w:tc>
          <w:tcPr>
            <w:tcW w:w="2458" w:type="dxa"/>
            <w:gridSpan w:val="3"/>
            <w:tcBorders/>
            <w:shd w:fill="auto" w:val="clear"/>
            <w:vAlign w:val="center"/>
          </w:tcPr>
          <w:p>
            <w:pPr>
              <w:pStyle w:val="TableContents"/>
              <w:spacing w:before="0" w:after="283"/>
              <w:rPr>
                <w:sz w:val="4"/>
                <w:szCs w:val="4"/>
              </w:rPr>
            </w:pPr>
            <w:r>
              <w:rPr>
                <w:sz w:val="4"/>
                <w:szCs w:val="4"/>
              </w:rPr>
            </w:r>
          </w:p>
        </w:tc>
        <w:tc>
          <w:tcPr>
            <w:tcW w:w="16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86" w:type="dxa"/>
            <w:gridSpan w:val="3"/>
            <w:tcBorders/>
            <w:shd w:fill="auto" w:val="clear"/>
            <w:vAlign w:val="center"/>
          </w:tcPr>
          <w:p>
            <w:pPr>
              <w:pStyle w:val="TableContents"/>
              <w:spacing w:before="0" w:after="283"/>
              <w:rPr>
                <w:sz w:val="4"/>
                <w:szCs w:val="4"/>
              </w:rPr>
            </w:pPr>
            <w:r>
              <w:rPr>
                <w:sz w:val="4"/>
                <w:szCs w:val="4"/>
              </w:rPr>
            </w:r>
          </w:p>
        </w:tc>
      </w:tr>
      <w:tr>
        <w:trPr/>
        <w:tc>
          <w:tcPr>
            <w:tcW w:w="2458" w:type="dxa"/>
            <w:gridSpan w:val="3"/>
            <w:tcBorders/>
            <w:shd w:fill="auto" w:val="clear"/>
            <w:vAlign w:val="center"/>
          </w:tcPr>
          <w:p>
            <w:pPr>
              <w:pStyle w:val="TableContents"/>
              <w:spacing w:before="0" w:after="283"/>
              <w:rPr>
                <w:sz w:val="4"/>
                <w:szCs w:val="4"/>
              </w:rPr>
            </w:pPr>
            <w:r>
              <w:rPr>
                <w:sz w:val="4"/>
                <w:szCs w:val="4"/>
              </w:rPr>
            </w:r>
          </w:p>
        </w:tc>
        <w:tc>
          <w:tcPr>
            <w:tcW w:w="16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86" w:type="dxa"/>
            <w:gridSpan w:val="3"/>
            <w:tcBorders/>
            <w:shd w:fill="auto" w:val="clear"/>
            <w:vAlign w:val="center"/>
          </w:tcPr>
          <w:p>
            <w:pPr>
              <w:pStyle w:val="TableContents"/>
              <w:spacing w:before="0" w:after="283"/>
              <w:rPr>
                <w:sz w:val="4"/>
                <w:szCs w:val="4"/>
              </w:rPr>
            </w:pPr>
            <w:r>
              <w:rPr>
                <w:sz w:val="4"/>
                <w:szCs w:val="4"/>
              </w:rPr>
            </w:r>
          </w:p>
        </w:tc>
      </w:tr>
      <w:tr>
        <w:trPr/>
        <w:tc>
          <w:tcPr>
            <w:tcW w:w="2458" w:type="dxa"/>
            <w:gridSpan w:val="3"/>
            <w:tcBorders/>
            <w:shd w:fill="auto" w:val="clear"/>
            <w:vAlign w:val="center"/>
          </w:tcPr>
          <w:p>
            <w:pPr>
              <w:pStyle w:val="TableContents"/>
              <w:spacing w:before="0" w:after="283"/>
              <w:rPr>
                <w:sz w:val="4"/>
                <w:szCs w:val="4"/>
              </w:rPr>
            </w:pPr>
            <w:r>
              <w:rPr>
                <w:sz w:val="4"/>
                <w:szCs w:val="4"/>
              </w:rPr>
            </w:r>
          </w:p>
        </w:tc>
        <w:tc>
          <w:tcPr>
            <w:tcW w:w="16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86" w:type="dxa"/>
            <w:gridSpan w:val="3"/>
            <w:tcBorders/>
            <w:shd w:fill="auto" w:val="clear"/>
            <w:vAlign w:val="center"/>
          </w:tcPr>
          <w:p>
            <w:pPr>
              <w:pStyle w:val="TableContents"/>
              <w:spacing w:before="0" w:after="283"/>
              <w:rPr>
                <w:sz w:val="4"/>
                <w:szCs w:val="4"/>
              </w:rPr>
            </w:pPr>
            <w:r>
              <w:rPr>
                <w:sz w:val="4"/>
                <w:szCs w:val="4"/>
              </w:rPr>
            </w:r>
          </w:p>
        </w:tc>
      </w:tr>
      <w:tr>
        <w:trPr/>
        <w:tc>
          <w:tcPr>
            <w:tcW w:w="2458" w:type="dxa"/>
            <w:gridSpan w:val="3"/>
            <w:tcBorders/>
            <w:shd w:fill="auto" w:val="clear"/>
            <w:vAlign w:val="center"/>
          </w:tcPr>
          <w:p>
            <w:pPr>
              <w:pStyle w:val="TableContents"/>
              <w:spacing w:before="0" w:after="283"/>
              <w:rPr>
                <w:sz w:val="4"/>
                <w:szCs w:val="4"/>
              </w:rPr>
            </w:pPr>
            <w:r>
              <w:rPr>
                <w:sz w:val="4"/>
                <w:szCs w:val="4"/>
              </w:rPr>
            </w:r>
          </w:p>
        </w:tc>
        <w:tc>
          <w:tcPr>
            <w:tcW w:w="16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86" w:type="dxa"/>
            <w:gridSpan w:val="3"/>
            <w:tcBorders/>
            <w:shd w:fill="auto" w:val="clear"/>
            <w:vAlign w:val="center"/>
          </w:tcPr>
          <w:p>
            <w:pPr>
              <w:pStyle w:val="TableContents"/>
              <w:spacing w:before="0" w:after="283"/>
              <w:rPr>
                <w:sz w:val="4"/>
                <w:szCs w:val="4"/>
              </w:rPr>
            </w:pPr>
            <w:r>
              <w:rPr>
                <w:sz w:val="4"/>
                <w:szCs w:val="4"/>
              </w:rPr>
            </w:r>
          </w:p>
        </w:tc>
      </w:tr>
      <w:tr>
        <w:trPr/>
        <w:tc>
          <w:tcPr>
            <w:tcW w:w="2458" w:type="dxa"/>
            <w:gridSpan w:val="3"/>
            <w:tcBorders/>
            <w:shd w:fill="auto" w:val="clear"/>
            <w:vAlign w:val="center"/>
          </w:tcPr>
          <w:p>
            <w:pPr>
              <w:pStyle w:val="TableContents"/>
              <w:spacing w:before="0" w:after="283"/>
              <w:rPr>
                <w:sz w:val="4"/>
                <w:szCs w:val="4"/>
              </w:rPr>
            </w:pPr>
            <w:r>
              <w:rPr>
                <w:sz w:val="4"/>
                <w:szCs w:val="4"/>
              </w:rPr>
            </w:r>
          </w:p>
        </w:tc>
        <w:tc>
          <w:tcPr>
            <w:tcW w:w="16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86" w:type="dxa"/>
            <w:gridSpan w:val="3"/>
            <w:tcBorders/>
            <w:shd w:fill="auto" w:val="clear"/>
            <w:vAlign w:val="center"/>
          </w:tcPr>
          <w:p>
            <w:pPr>
              <w:pStyle w:val="TableContents"/>
              <w:spacing w:before="0" w:after="283"/>
              <w:rPr>
                <w:sz w:val="4"/>
                <w:szCs w:val="4"/>
              </w:rPr>
            </w:pPr>
            <w:r>
              <w:rPr>
                <w:sz w:val="4"/>
                <w:szCs w:val="4"/>
              </w:rPr>
            </w:r>
          </w:p>
        </w:tc>
      </w:tr>
      <w:tr>
        <w:trPr/>
        <w:tc>
          <w:tcPr>
            <w:tcW w:w="2458" w:type="dxa"/>
            <w:gridSpan w:val="3"/>
            <w:tcBorders/>
            <w:shd w:fill="auto" w:val="clear"/>
            <w:vAlign w:val="center"/>
          </w:tcPr>
          <w:p>
            <w:pPr>
              <w:pStyle w:val="TableContents"/>
              <w:spacing w:before="0" w:after="283"/>
              <w:rPr>
                <w:sz w:val="4"/>
                <w:szCs w:val="4"/>
              </w:rPr>
            </w:pPr>
            <w:r>
              <w:rPr>
                <w:sz w:val="4"/>
                <w:szCs w:val="4"/>
              </w:rPr>
            </w:r>
          </w:p>
        </w:tc>
        <w:tc>
          <w:tcPr>
            <w:tcW w:w="16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86" w:type="dxa"/>
            <w:gridSpan w:val="3"/>
            <w:tcBorders/>
            <w:shd w:fill="auto" w:val="clear"/>
            <w:vAlign w:val="center"/>
          </w:tcPr>
          <w:p>
            <w:pPr>
              <w:pStyle w:val="TableContents"/>
              <w:spacing w:before="0" w:after="283"/>
              <w:rPr>
                <w:sz w:val="4"/>
                <w:szCs w:val="4"/>
              </w:rPr>
            </w:pPr>
            <w:r>
              <w:rPr>
                <w:sz w:val="4"/>
                <w:szCs w:val="4"/>
              </w:rPr>
            </w:r>
          </w:p>
        </w:tc>
      </w:tr>
      <w:tr>
        <w:trPr/>
        <w:tc>
          <w:tcPr>
            <w:tcW w:w="2458" w:type="dxa"/>
            <w:gridSpan w:val="3"/>
            <w:tcBorders/>
            <w:shd w:fill="auto" w:val="clear"/>
            <w:vAlign w:val="center"/>
          </w:tcPr>
          <w:p>
            <w:pPr>
              <w:pStyle w:val="TableContents"/>
              <w:spacing w:before="0" w:after="283"/>
              <w:rPr>
                <w:sz w:val="4"/>
                <w:szCs w:val="4"/>
              </w:rPr>
            </w:pPr>
            <w:r>
              <w:rPr>
                <w:sz w:val="4"/>
                <w:szCs w:val="4"/>
              </w:rPr>
            </w:r>
          </w:p>
        </w:tc>
        <w:tc>
          <w:tcPr>
            <w:tcW w:w="16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86" w:type="dxa"/>
            <w:gridSpan w:val="3"/>
            <w:tcBorders/>
            <w:shd w:fill="auto" w:val="clear"/>
            <w:vAlign w:val="center"/>
          </w:tcPr>
          <w:p>
            <w:pPr>
              <w:pStyle w:val="TableContents"/>
              <w:spacing w:before="0" w:after="283"/>
              <w:rPr>
                <w:sz w:val="4"/>
                <w:szCs w:val="4"/>
              </w:rPr>
            </w:pPr>
            <w:r>
              <w:rPr>
                <w:sz w:val="4"/>
                <w:szCs w:val="4"/>
              </w:rPr>
            </w:r>
          </w:p>
        </w:tc>
      </w:tr>
      <w:tr>
        <w:trPr/>
        <w:tc>
          <w:tcPr>
            <w:tcW w:w="2458" w:type="dxa"/>
            <w:gridSpan w:val="3"/>
            <w:tcBorders/>
            <w:shd w:fill="auto" w:val="clear"/>
            <w:vAlign w:val="center"/>
          </w:tcPr>
          <w:p>
            <w:pPr>
              <w:pStyle w:val="TableContents"/>
              <w:spacing w:before="0" w:after="283"/>
              <w:rPr>
                <w:sz w:val="4"/>
                <w:szCs w:val="4"/>
              </w:rPr>
            </w:pPr>
            <w:r>
              <w:rPr>
                <w:sz w:val="4"/>
                <w:szCs w:val="4"/>
              </w:rPr>
            </w:r>
          </w:p>
        </w:tc>
        <w:tc>
          <w:tcPr>
            <w:tcW w:w="16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86" w:type="dxa"/>
            <w:gridSpan w:val="3"/>
            <w:tcBorders/>
            <w:shd w:fill="auto" w:val="clear"/>
            <w:vAlign w:val="center"/>
          </w:tcPr>
          <w:p>
            <w:pPr>
              <w:pStyle w:val="TableContents"/>
              <w:spacing w:before="0" w:after="283"/>
              <w:rPr>
                <w:sz w:val="4"/>
                <w:szCs w:val="4"/>
              </w:rPr>
            </w:pPr>
            <w:r>
              <w:rPr>
                <w:sz w:val="4"/>
                <w:szCs w:val="4"/>
              </w:rPr>
            </w:r>
          </w:p>
        </w:tc>
      </w:tr>
      <w:tr>
        <w:trPr/>
        <w:tc>
          <w:tcPr>
            <w:tcW w:w="24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7" w:type="dxa"/>
            <w:gridSpan w:val="21"/>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r>
      <w:tr>
        <w:trPr/>
        <w:tc>
          <w:tcPr>
            <w:tcW w:w="24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5" w:type="dxa"/>
            <w:gridSpan w:val="9"/>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26, 2023</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35" w:type="dxa"/>
            <w:gridSpan w:val="9"/>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27, 2022</w:t>
            </w:r>
          </w:p>
        </w:tc>
      </w:tr>
      <w:tr>
        <w:trPr/>
        <w:tc>
          <w:tcPr>
            <w:tcW w:w="245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622"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RESTAURANT SALES</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36"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FRANCHISE REVENUES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2"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RESTAURANT SALES</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86"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FRANCHISE REVENUES</w:t>
            </w:r>
          </w:p>
        </w:tc>
      </w:tr>
      <w:tr>
        <w:trPr/>
        <w:tc>
          <w:tcPr>
            <w:tcW w:w="24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622"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6"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2"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6"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27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628,183 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8,544 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595,393 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8,459 </w:t>
            </w:r>
          </w:p>
        </w:tc>
        <w:tc>
          <w:tcPr>
            <w:tcW w:w="2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14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188,042 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175,628 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661 </w:t>
            </w:r>
          </w:p>
        </w:tc>
        <w:tc>
          <w:tcPr>
            <w:tcW w:w="2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14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157,689 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151,416 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2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14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102,773 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97,662 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4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3,882 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3,536 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total</w:t>
            </w:r>
          </w:p>
        </w:tc>
        <w:tc>
          <w:tcPr>
            <w:tcW w:w="1471"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1,080,569 </w:t>
            </w:r>
          </w:p>
        </w:tc>
        <w:tc>
          <w:tcPr>
            <w:tcW w:w="151"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9,525 </w:t>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1,023,635 </w:t>
            </w:r>
          </w:p>
        </w:tc>
        <w:tc>
          <w:tcPr>
            <w:tcW w:w="151"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9,302 </w:t>
            </w:r>
          </w:p>
        </w:tc>
        <w:tc>
          <w:tcPr>
            <w:tcW w:w="282"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16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Brazil (1)</w:t>
            </w:r>
          </w:p>
        </w:tc>
        <w:tc>
          <w:tcPr>
            <w:tcW w:w="14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122,016 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85,301 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(1)(2)</w:t>
            </w:r>
          </w:p>
        </w:tc>
        <w:tc>
          <w:tcPr>
            <w:tcW w:w="14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25,649 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3,998 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14,639 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4,104 </w:t>
            </w:r>
          </w:p>
        </w:tc>
        <w:tc>
          <w:tcPr>
            <w:tcW w:w="2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 total</w:t>
            </w:r>
          </w:p>
        </w:tc>
        <w:tc>
          <w:tcPr>
            <w:tcW w:w="1471"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147,665 </w:t>
            </w:r>
          </w:p>
        </w:tc>
        <w:tc>
          <w:tcPr>
            <w:tcW w:w="151"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3,998 </w:t>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99,940 </w:t>
            </w:r>
          </w:p>
        </w:tc>
        <w:tc>
          <w:tcPr>
            <w:tcW w:w="151"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4,104 </w:t>
            </w:r>
          </w:p>
        </w:tc>
        <w:tc>
          <w:tcPr>
            <w:tcW w:w="282"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7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1,228,234 </w:t>
            </w:r>
          </w:p>
        </w:tc>
        <w:tc>
          <w:tcPr>
            <w:tcW w:w="15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13,523 </w:t>
            </w:r>
          </w:p>
        </w:tc>
        <w:tc>
          <w:tcPr>
            <w:tcW w:w="20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1,123,575 </w:t>
            </w:r>
          </w:p>
        </w:tc>
        <w:tc>
          <w:tcPr>
            <w:tcW w:w="15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13,406 </w:t>
            </w:r>
          </w:p>
        </w:tc>
        <w:tc>
          <w:tcPr>
            <w:tcW w:w="28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spacing w:lineRule="auto" w:line="288" w:before="0" w:after="0"/>
        <w:ind w:left="0" w:right="0" w:hanging="720"/>
        <w:jc w:val="both"/>
        <w:rPr/>
      </w:pPr>
      <w:r>
        <w:rPr>
          <w:rFonts w:ascii="Times New Roman;sans-serif" w:hAnsi="Times New Roman;sans-serif"/>
          <w:b w:val="false"/>
          <w:color w:val="000000"/>
          <w:sz w:val="18"/>
        </w:rPr>
        <w:t xml:space="preserve">(1)Restaurant sales in Brazil increased $9.6 million during the thirteen weeks ended March 26, 2023 in connection with value added tax exemptions resulting from recent tax legislation. See Note 11 - </w:t>
      </w:r>
      <w:r>
        <w:rPr>
          <w:rFonts w:ascii="Times New Roman;sans-serif" w:hAnsi="Times New Roman;sans-serif"/>
          <w:b w:val="false"/>
          <w:i/>
          <w:color w:val="000000"/>
          <w:sz w:val="18"/>
        </w:rPr>
        <w:t>Income Taxes</w:t>
      </w:r>
      <w:r>
        <w:rPr>
          <w:color w:val="000000"/>
        </w:rPr>
        <w:t xml:space="preserve"> </w:t>
      </w:r>
      <w:r>
        <w:rPr>
          <w:rFonts w:ascii="Times New Roman;sans-serif" w:hAnsi="Times New Roman;sans-serif"/>
          <w:b w:val="false"/>
          <w:color w:val="000000"/>
          <w:sz w:val="18"/>
        </w:rPr>
        <w:t xml:space="preserve">for details regarding the Brazil tax legislation. </w:t>
      </w:r>
    </w:p>
    <w:p>
      <w:pPr>
        <w:pStyle w:val="TextBody"/>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(2)Includes Restaurant sales for Company-owned Outback Steakhouse restaurants outside of Brazil and Abbraccio restaurants in Brazil. Franchise revenues primarily include revenues from franchised Outback Steakhouse restaurants.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includes a detail of assets and liabilities from contracts with customers included on the Company’s Consolidated Balance Sheets as of the periods indicated:</w:t>
      </w:r>
    </w:p>
    <w:tbl>
      <w:tblPr>
        <w:tblW w:w="6906" w:type="dxa"/>
        <w:jc w:val="center"/>
        <w:tblInd w:w="0" w:type="dxa"/>
        <w:tblCellMar>
          <w:top w:w="28" w:type="dxa"/>
          <w:left w:w="28" w:type="dxa"/>
          <w:bottom w:w="28" w:type="dxa"/>
          <w:right w:w="28" w:type="dxa"/>
        </w:tblCellMar>
      </w:tblPr>
      <w:tblGrid>
        <w:gridCol w:w="992"/>
        <w:gridCol w:w="875"/>
        <w:gridCol w:w="878"/>
        <w:gridCol w:w="268"/>
        <w:gridCol w:w="1008"/>
        <w:gridCol w:w="149"/>
        <w:gridCol w:w="109"/>
        <w:gridCol w:w="109"/>
        <w:gridCol w:w="109"/>
        <w:gridCol w:w="322"/>
        <w:gridCol w:w="1209"/>
        <w:gridCol w:w="179"/>
        <w:gridCol w:w="109"/>
        <w:gridCol w:w="109"/>
        <w:gridCol w:w="109"/>
        <w:gridCol w:w="109"/>
        <w:gridCol w:w="109"/>
        <w:gridCol w:w="154"/>
      </w:tblGrid>
      <w:tr>
        <w:trPr/>
        <w:tc>
          <w:tcPr>
            <w:tcW w:w="992"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20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26,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25,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 net</w:t>
            </w:r>
          </w:p>
        </w:tc>
        <w:tc>
          <w:tcPr>
            <w:tcW w:w="1425"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gift card sales commissions</w:t>
            </w:r>
          </w:p>
        </w:tc>
        <w:tc>
          <w:tcPr>
            <w:tcW w:w="26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13,403 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17,755 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Unearned revenue</w:t>
            </w:r>
          </w:p>
        </w:tc>
        <w:tc>
          <w:tcPr>
            <w:tcW w:w="14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gift card revenue</w:t>
            </w:r>
          </w:p>
        </w:tc>
        <w:tc>
          <w:tcPr>
            <w:tcW w:w="26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314,096 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386,495 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loyalty revenue</w:t>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6,024 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5,628 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franchise fees - current</w:t>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1,632 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Unearned revenue</w:t>
            </w:r>
          </w:p>
        </w:tc>
        <w:tc>
          <w:tcPr>
            <w:tcW w:w="268"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322,608 </w:t>
            </w:r>
          </w:p>
        </w:tc>
        <w:tc>
          <w:tcPr>
            <w:tcW w:w="14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394,215 </w:t>
            </w:r>
          </w:p>
        </w:tc>
        <w:tc>
          <w:tcPr>
            <w:tcW w:w="17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 net</w:t>
            </w:r>
          </w:p>
        </w:tc>
        <w:tc>
          <w:tcPr>
            <w:tcW w:w="14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franchise fees - non-current</w:t>
            </w:r>
          </w:p>
        </w:tc>
        <w:tc>
          <w:tcPr>
            <w:tcW w:w="26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4,193 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4,126 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is a rollforward of deferred gift card sales commissions for the periods indicated:</w:t>
      </w:r>
    </w:p>
    <w:tbl>
      <w:tblPr>
        <w:tblW w:w="7939" w:type="dxa"/>
        <w:jc w:val="center"/>
        <w:tblInd w:w="0" w:type="dxa"/>
        <w:tblCellMar>
          <w:top w:w="28" w:type="dxa"/>
          <w:left w:w="28" w:type="dxa"/>
          <w:bottom w:w="28" w:type="dxa"/>
          <w:right w:w="28" w:type="dxa"/>
        </w:tblCellMar>
      </w:tblPr>
      <w:tblGrid>
        <w:gridCol w:w="1339"/>
        <w:gridCol w:w="1180"/>
        <w:gridCol w:w="1185"/>
        <w:gridCol w:w="109"/>
        <w:gridCol w:w="109"/>
        <w:gridCol w:w="207"/>
        <w:gridCol w:w="207"/>
        <w:gridCol w:w="372"/>
        <w:gridCol w:w="1227"/>
        <w:gridCol w:w="207"/>
        <w:gridCol w:w="109"/>
        <w:gridCol w:w="109"/>
        <w:gridCol w:w="109"/>
        <w:gridCol w:w="289"/>
        <w:gridCol w:w="954"/>
        <w:gridCol w:w="227"/>
      </w:tblGrid>
      <w:tr>
        <w:trPr/>
        <w:tc>
          <w:tcPr>
            <w:tcW w:w="1339"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122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0"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1797" w:type="dxa"/>
            <w:gridSpan w:val="6"/>
            <w:tcBorders/>
            <w:shd w:fill="auto" w:val="clear"/>
          </w:tcPr>
          <w:p>
            <w:pPr>
              <w:pStyle w:val="TableContents"/>
              <w:spacing w:before="0" w:after="283"/>
              <w:rPr>
                <w:sz w:val="4"/>
                <w:szCs w:val="4"/>
              </w:rPr>
            </w:pPr>
            <w:r>
              <w:rPr>
                <w:sz w:val="4"/>
                <w:szCs w:val="4"/>
              </w:rPr>
            </w:r>
          </w:p>
        </w:tc>
      </w:tr>
      <w:tr>
        <w:trPr/>
        <w:tc>
          <w:tcPr>
            <w:tcW w:w="37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806"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26, 2023</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27, 2022</w:t>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the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372"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7"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17,755 </w:t>
            </w:r>
          </w:p>
        </w:tc>
        <w:tc>
          <w:tcPr>
            <w:tcW w:w="207"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4"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17,793 </w:t>
            </w:r>
          </w:p>
        </w:tc>
        <w:tc>
          <w:tcPr>
            <w:tcW w:w="227"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gift card sales commissions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(7,797)</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(8,017)</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gift card sales commissions capitalization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4,403 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4,169 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the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37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13,403 </w:t>
            </w:r>
          </w:p>
        </w:tc>
        <w:tc>
          <w:tcPr>
            <w:tcW w:w="20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13,033 </w:t>
            </w:r>
          </w:p>
        </w:tc>
        <w:tc>
          <w:tcPr>
            <w:tcW w:w="22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754225e3f1024615994983297e2dce8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spacing w:lineRule="auto" w:line="288" w:before="1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is a rollforward of unearned gift card revenue for the periods indicated:</w:t>
      </w:r>
    </w:p>
    <w:tbl>
      <w:tblPr>
        <w:tblW w:w="6647" w:type="dxa"/>
        <w:jc w:val="center"/>
        <w:tblInd w:w="0" w:type="dxa"/>
        <w:tblCellMar>
          <w:top w:w="28" w:type="dxa"/>
          <w:left w:w="28" w:type="dxa"/>
          <w:bottom w:w="28" w:type="dxa"/>
          <w:right w:w="28" w:type="dxa"/>
        </w:tblCellMar>
      </w:tblPr>
      <w:tblGrid>
        <w:gridCol w:w="873"/>
        <w:gridCol w:w="769"/>
        <w:gridCol w:w="772"/>
        <w:gridCol w:w="109"/>
        <w:gridCol w:w="109"/>
        <w:gridCol w:w="192"/>
        <w:gridCol w:w="192"/>
        <w:gridCol w:w="345"/>
        <w:gridCol w:w="1298"/>
        <w:gridCol w:w="192"/>
        <w:gridCol w:w="109"/>
        <w:gridCol w:w="109"/>
        <w:gridCol w:w="109"/>
        <w:gridCol w:w="265"/>
        <w:gridCol w:w="996"/>
        <w:gridCol w:w="208"/>
      </w:tblGrid>
      <w:tr>
        <w:trPr/>
        <w:tc>
          <w:tcPr>
            <w:tcW w:w="873"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298"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9"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1796" w:type="dxa"/>
            <w:gridSpan w:val="6"/>
            <w:tcBorders/>
            <w:shd w:fill="auto" w:val="clea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83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26, 2023</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27, 2022</w:t>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the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345"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8"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386,495 </w:t>
            </w:r>
          </w:p>
        </w:tc>
        <w:tc>
          <w:tcPr>
            <w:tcW w:w="192"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387,945 </w:t>
            </w:r>
          </w:p>
        </w:tc>
        <w:tc>
          <w:tcPr>
            <w:tcW w:w="208"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Gift card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6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53,005 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50,280 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Gift card redemptions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6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(118,283)</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(116,622)</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Gift card breakage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6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(7,121)</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(6,629)</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the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34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314,096 </w:t>
            </w:r>
          </w:p>
        </w:tc>
        <w:tc>
          <w:tcPr>
            <w:tcW w:w="19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314,974 </w:t>
            </w:r>
          </w:p>
        </w:tc>
        <w:tc>
          <w:tcPr>
            <w:tcW w:w="20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3.    Earnings Per Share </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the computation of basic and diluted earnings per share for the periods indicated:</w:t>
      </w:r>
    </w:p>
    <w:tbl>
      <w:tblPr>
        <w:tblW w:w="8180" w:type="dxa"/>
        <w:jc w:val="center"/>
        <w:tblInd w:w="0" w:type="dxa"/>
        <w:tblCellMar>
          <w:top w:w="28" w:type="dxa"/>
          <w:left w:w="28" w:type="dxa"/>
          <w:bottom w:w="28" w:type="dxa"/>
          <w:right w:w="28" w:type="dxa"/>
        </w:tblCellMar>
      </w:tblPr>
      <w:tblGrid>
        <w:gridCol w:w="1430"/>
        <w:gridCol w:w="1255"/>
        <w:gridCol w:w="1260"/>
        <w:gridCol w:w="109"/>
        <w:gridCol w:w="109"/>
        <w:gridCol w:w="207"/>
        <w:gridCol w:w="207"/>
        <w:gridCol w:w="372"/>
        <w:gridCol w:w="1227"/>
        <w:gridCol w:w="207"/>
        <w:gridCol w:w="109"/>
        <w:gridCol w:w="109"/>
        <w:gridCol w:w="109"/>
        <w:gridCol w:w="289"/>
        <w:gridCol w:w="954"/>
        <w:gridCol w:w="227"/>
      </w:tblGrid>
      <w:tr>
        <w:trPr/>
        <w:tc>
          <w:tcPr>
            <w:tcW w:w="1430" w:type="dxa"/>
            <w:tcBorders/>
            <w:shd w:fill="auto" w:val="clear"/>
            <w:vAlign w:val="center"/>
          </w:tcPr>
          <w:p>
            <w:pPr>
              <w:pStyle w:val="TableContents"/>
              <w:spacing w:before="0" w:after="283"/>
              <w:rPr>
                <w:sz w:val="4"/>
                <w:szCs w:val="4"/>
              </w:rPr>
            </w:pPr>
            <w:r>
              <w:rPr>
                <w:sz w:val="4"/>
                <w:szCs w:val="4"/>
              </w:rPr>
            </w:r>
          </w:p>
        </w:tc>
        <w:tc>
          <w:tcPr>
            <w:tcW w:w="1255" w:type="dxa"/>
            <w:tcBorders/>
            <w:shd w:fill="auto" w:val="clear"/>
            <w:vAlign w:val="center"/>
          </w:tcPr>
          <w:p>
            <w:pPr>
              <w:pStyle w:val="TableContents"/>
              <w:spacing w:before="0" w:after="283"/>
              <w:rPr>
                <w:sz w:val="4"/>
                <w:szCs w:val="4"/>
              </w:rPr>
            </w:pPr>
            <w:r>
              <w:rPr>
                <w:sz w:val="4"/>
                <w:szCs w:val="4"/>
              </w:rPr>
            </w:r>
          </w:p>
        </w:tc>
        <w:tc>
          <w:tcPr>
            <w:tcW w:w="1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122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0"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1797" w:type="dxa"/>
            <w:gridSpan w:val="6"/>
            <w:tcBorders/>
            <w:shd w:fill="auto" w:val="clea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806"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26, 2023</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27, 2022</w:t>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Bloomin’ Brands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372"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7"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91,311 </w:t>
            </w:r>
          </w:p>
        </w:tc>
        <w:tc>
          <w:tcPr>
            <w:tcW w:w="207"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4"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75,511 </w:t>
            </w:r>
          </w:p>
        </w:tc>
        <w:tc>
          <w:tcPr>
            <w:tcW w:w="227"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80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weighted average common shares outstanding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89,116 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89,355 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8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dilutive securities: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8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Nonvested restricted stock units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Nonvested performance-based share units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senior notes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4,831 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8,732 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Warrants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3,108 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4,442 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weighted average common shares outstanding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599"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98,011 </w:t>
            </w:r>
          </w:p>
        </w:tc>
        <w:tc>
          <w:tcPr>
            <w:tcW w:w="207"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103,454 </w:t>
            </w:r>
          </w:p>
        </w:tc>
        <w:tc>
          <w:tcPr>
            <w:tcW w:w="227"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80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earnings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0.85 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earnings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0.93 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0.73 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36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Share-based compensation-related weighted average securities outstanding not included in the computation of earnings per share because their effect was antidilutive were as follows for the periods indicated:</w:t>
      </w:r>
    </w:p>
    <w:tbl>
      <w:tblPr>
        <w:tblW w:w="7632" w:type="dxa"/>
        <w:jc w:val="center"/>
        <w:tblInd w:w="0" w:type="dxa"/>
        <w:tblCellMar>
          <w:top w:w="28" w:type="dxa"/>
          <w:left w:w="28" w:type="dxa"/>
          <w:bottom w:w="28" w:type="dxa"/>
          <w:right w:w="28" w:type="dxa"/>
        </w:tblCellMar>
      </w:tblPr>
      <w:tblGrid>
        <w:gridCol w:w="1117"/>
        <w:gridCol w:w="984"/>
        <w:gridCol w:w="988"/>
        <w:gridCol w:w="109"/>
        <w:gridCol w:w="109"/>
        <w:gridCol w:w="443"/>
        <w:gridCol w:w="443"/>
        <w:gridCol w:w="474"/>
        <w:gridCol w:w="474"/>
        <w:gridCol w:w="477"/>
        <w:gridCol w:w="109"/>
        <w:gridCol w:w="109"/>
        <w:gridCol w:w="109"/>
        <w:gridCol w:w="474"/>
        <w:gridCol w:w="474"/>
        <w:gridCol w:w="476"/>
        <w:gridCol w:w="109"/>
        <w:gridCol w:w="154"/>
      </w:tblGrid>
      <w:tr>
        <w:trPr/>
        <w:tc>
          <w:tcPr>
            <w:tcW w:w="1117"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1"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0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(shares 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142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26, 2023</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27, 2022</w:t>
            </w:r>
          </w:p>
        </w:tc>
        <w:tc>
          <w:tcPr>
            <w:tcW w:w="263" w:type="dxa"/>
            <w:gridSpan w:val="2"/>
            <w:tcBorders/>
            <w:shd w:fill="auto" w:val="clear"/>
          </w:tcPr>
          <w:p>
            <w:pPr>
              <w:pStyle w:val="TableContents"/>
              <w:spacing w:before="0" w:after="283"/>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948"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725 </w:t>
            </w:r>
          </w:p>
        </w:tc>
        <w:tc>
          <w:tcPr>
            <w:tcW w:w="477"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1,417 </w:t>
            </w:r>
          </w:p>
        </w:tc>
        <w:tc>
          <w:tcPr>
            <w:tcW w:w="476"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Nonvested restricted stock units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4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4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Nonvested performance-based share units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344 </w:t>
            </w:r>
          </w:p>
        </w:tc>
        <w:tc>
          <w:tcPr>
            <w:tcW w:w="4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365 </w:t>
            </w:r>
          </w:p>
        </w:tc>
        <w:tc>
          <w:tcPr>
            <w:tcW w:w="4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8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14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4.    Stock-based Compensation Plans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recognized stock-based compensation expense as follows for the periods indicated:</w:t>
      </w:r>
    </w:p>
    <w:tbl>
      <w:tblPr>
        <w:tblW w:w="6529" w:type="dxa"/>
        <w:jc w:val="left"/>
        <w:tblInd w:w="0" w:type="dxa"/>
        <w:tblCellMar>
          <w:top w:w="28" w:type="dxa"/>
          <w:left w:w="28" w:type="dxa"/>
          <w:bottom w:w="28" w:type="dxa"/>
          <w:right w:w="28" w:type="dxa"/>
        </w:tblCellMar>
      </w:tblPr>
      <w:tblGrid>
        <w:gridCol w:w="830"/>
        <w:gridCol w:w="731"/>
        <w:gridCol w:w="734"/>
        <w:gridCol w:w="109"/>
        <w:gridCol w:w="109"/>
        <w:gridCol w:w="224"/>
        <w:gridCol w:w="224"/>
        <w:gridCol w:w="403"/>
        <w:gridCol w:w="1144"/>
        <w:gridCol w:w="224"/>
        <w:gridCol w:w="109"/>
        <w:gridCol w:w="109"/>
        <w:gridCol w:w="109"/>
        <w:gridCol w:w="318"/>
        <w:gridCol w:w="902"/>
        <w:gridCol w:w="250"/>
      </w:tblGrid>
      <w:tr>
        <w:trPr/>
        <w:tc>
          <w:tcPr>
            <w:tcW w:w="830"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114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r>
      <w:tr>
        <w:trPr/>
        <w:tc>
          <w:tcPr>
            <w:tcW w:w="22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9"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1797" w:type="dxa"/>
            <w:gridSpan w:val="6"/>
            <w:tcBorders/>
            <w:shd w:fill="auto" w:val="clear"/>
          </w:tcPr>
          <w:p>
            <w:pPr>
              <w:pStyle w:val="TableContents"/>
              <w:spacing w:before="0" w:after="283"/>
              <w:rPr>
                <w:sz w:val="4"/>
                <w:szCs w:val="4"/>
              </w:rPr>
            </w:pPr>
            <w:r>
              <w:rPr>
                <w:sz w:val="4"/>
                <w:szCs w:val="4"/>
              </w:rPr>
            </w:r>
          </w:p>
        </w:tc>
      </w:tr>
      <w:tr>
        <w:trPr/>
        <w:tc>
          <w:tcPr>
            <w:tcW w:w="22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771"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26,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27, 2022</w:t>
            </w:r>
          </w:p>
        </w:tc>
      </w:tr>
      <w:tr>
        <w:trPr/>
        <w:tc>
          <w:tcPr>
            <w:tcW w:w="2295"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Performance-based share units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403"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4"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923 </w:t>
            </w:r>
          </w:p>
        </w:tc>
        <w:tc>
          <w:tcPr>
            <w:tcW w:w="224"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2"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2,619 </w:t>
            </w:r>
          </w:p>
        </w:tc>
        <w:tc>
          <w:tcPr>
            <w:tcW w:w="250"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Restricted stock units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1,963 </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1,810 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Stock options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377 </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40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2,886 </w:t>
            </w:r>
          </w:p>
        </w:tc>
        <w:tc>
          <w:tcPr>
            <w:tcW w:w="22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4,806 </w:t>
            </w:r>
          </w:p>
        </w:tc>
        <w:tc>
          <w:tcPr>
            <w:tcW w:w="25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2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22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22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22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754225e3f1024615994983297e2dce8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February 2023, the Company granted performance-based share units (“PSUs”) subject to final payout modification by a Relative Total Shareholder Return (“Relative TSR”) modifier. This Relative TSR modifier can adjust the final payout outcome by 75%, 100% or 125% of the achieved performance metric, with the overall payout capped at 200% of the annual target grant. These PSUs have a three-year cliff vesting period and their fair value was estimated using the Monte Carlo simulation model.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a summary of the Company’s PSU activity:</w:t>
      </w:r>
    </w:p>
    <w:tbl>
      <w:tblPr>
        <w:tblW w:w="10205" w:type="dxa"/>
        <w:jc w:val="left"/>
        <w:tblInd w:w="0" w:type="dxa"/>
        <w:tblCellMar>
          <w:top w:w="28" w:type="dxa"/>
          <w:left w:w="28" w:type="dxa"/>
          <w:bottom w:w="28" w:type="dxa"/>
          <w:right w:w="28" w:type="dxa"/>
        </w:tblCellMar>
      </w:tblPr>
      <w:tblGrid>
        <w:gridCol w:w="739"/>
        <w:gridCol w:w="589"/>
        <w:gridCol w:w="591"/>
        <w:gridCol w:w="858"/>
        <w:gridCol w:w="858"/>
        <w:gridCol w:w="860"/>
        <w:gridCol w:w="109"/>
        <w:gridCol w:w="109"/>
        <w:gridCol w:w="109"/>
        <w:gridCol w:w="669"/>
        <w:gridCol w:w="1907"/>
        <w:gridCol w:w="375"/>
        <w:gridCol w:w="109"/>
        <w:gridCol w:w="109"/>
        <w:gridCol w:w="109"/>
        <w:gridCol w:w="412"/>
        <w:gridCol w:w="1361"/>
        <w:gridCol w:w="332"/>
      </w:tblGrid>
      <w:tr>
        <w:trPr/>
        <w:tc>
          <w:tcPr>
            <w:tcW w:w="739"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1907"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1361"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unit data)</w:t>
            </w:r>
          </w:p>
        </w:tc>
        <w:tc>
          <w:tcPr>
            <w:tcW w:w="25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PERFORMANCE-BASED SHARE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 PER UNIT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 (1)</w:t>
            </w:r>
          </w:p>
        </w:tc>
      </w:tr>
      <w:tr>
        <w:trPr/>
        <w:tc>
          <w:tcPr>
            <w:tcW w:w="1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as of December 25, 2022</w:t>
            </w:r>
          </w:p>
        </w:tc>
        <w:tc>
          <w:tcPr>
            <w:tcW w:w="1716"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874 </w:t>
            </w:r>
          </w:p>
        </w:tc>
        <w:tc>
          <w:tcPr>
            <w:tcW w:w="860"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07"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24.83 </w:t>
            </w:r>
          </w:p>
        </w:tc>
        <w:tc>
          <w:tcPr>
            <w:tcW w:w="375"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61"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18,323 </w:t>
            </w:r>
          </w:p>
        </w:tc>
        <w:tc>
          <w:tcPr>
            <w:tcW w:w="332"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17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301 </w:t>
            </w:r>
          </w:p>
        </w:tc>
        <w:tc>
          <w:tcPr>
            <w:tcW w:w="8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0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29.01 </w:t>
            </w:r>
          </w:p>
        </w:tc>
        <w:tc>
          <w:tcPr>
            <w:tcW w:w="3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Performance adjustment (2)</w:t>
            </w:r>
          </w:p>
        </w:tc>
        <w:tc>
          <w:tcPr>
            <w:tcW w:w="17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154 </w:t>
            </w:r>
          </w:p>
        </w:tc>
        <w:tc>
          <w:tcPr>
            <w:tcW w:w="8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0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19.84 </w:t>
            </w:r>
          </w:p>
        </w:tc>
        <w:tc>
          <w:tcPr>
            <w:tcW w:w="3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17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w:t>
            </w:r>
          </w:p>
        </w:tc>
        <w:tc>
          <w:tcPr>
            <w:tcW w:w="8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0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19.84 </w:t>
            </w:r>
          </w:p>
        </w:tc>
        <w:tc>
          <w:tcPr>
            <w:tcW w:w="3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17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8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0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26.39 </w:t>
            </w:r>
          </w:p>
        </w:tc>
        <w:tc>
          <w:tcPr>
            <w:tcW w:w="3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as of March 26, 2023</w:t>
            </w:r>
          </w:p>
        </w:tc>
        <w:tc>
          <w:tcPr>
            <w:tcW w:w="1716"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827 </w:t>
            </w:r>
          </w:p>
        </w:tc>
        <w:tc>
          <w:tcPr>
            <w:tcW w:w="860"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0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26.92 </w:t>
            </w:r>
          </w:p>
        </w:tc>
        <w:tc>
          <w:tcPr>
            <w:tcW w:w="3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20,630 </w:t>
            </w:r>
          </w:p>
        </w:tc>
        <w:tc>
          <w:tcPr>
            <w:tcW w:w="3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to vest as of March 26, 2023</w:t>
            </w:r>
          </w:p>
        </w:tc>
        <w:tc>
          <w:tcPr>
            <w:tcW w:w="171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1,067 </w:t>
            </w:r>
          </w:p>
        </w:tc>
        <w:tc>
          <w:tcPr>
            <w:tcW w:w="8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26,611 </w:t>
            </w:r>
          </w:p>
        </w:tc>
        <w:tc>
          <w:tcPr>
            <w:tcW w:w="3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(1)Based on the $20.96 and $24.94 share price of the Company’s common stock on December 23, 2022 and March 24, 2023, the last trading day of the year ended December 25, 2022 and the thirteen weeks ended March 26, 2023, respectively.</w:t>
      </w:r>
    </w:p>
    <w:p>
      <w:pPr>
        <w:pStyle w:val="TextBody"/>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(2)Represents adjustment to 148% payout for PSUs granted during 2020.</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Assumptions used in the Monte Carlo simulation model and the grant date fair value of PSUs granted were as follows for the periods indicated:</w:t>
      </w:r>
    </w:p>
    <w:tbl>
      <w:tblPr>
        <w:tblW w:w="6057" w:type="dxa"/>
        <w:jc w:val="left"/>
        <w:tblInd w:w="0" w:type="dxa"/>
        <w:tblCellMar>
          <w:top w:w="28" w:type="dxa"/>
          <w:left w:w="28" w:type="dxa"/>
          <w:bottom w:w="28" w:type="dxa"/>
          <w:right w:w="28" w:type="dxa"/>
        </w:tblCellMar>
      </w:tblPr>
      <w:tblGrid>
        <w:gridCol w:w="869"/>
        <w:gridCol w:w="763"/>
        <w:gridCol w:w="767"/>
        <w:gridCol w:w="277"/>
        <w:gridCol w:w="786"/>
        <w:gridCol w:w="362"/>
        <w:gridCol w:w="109"/>
        <w:gridCol w:w="109"/>
        <w:gridCol w:w="109"/>
        <w:gridCol w:w="277"/>
        <w:gridCol w:w="786"/>
        <w:gridCol w:w="362"/>
        <w:gridCol w:w="109"/>
        <w:gridCol w:w="109"/>
        <w:gridCol w:w="109"/>
        <w:gridCol w:w="154"/>
      </w:tblGrid>
      <w:tr>
        <w:trPr/>
        <w:tc>
          <w:tcPr>
            <w:tcW w:w="869"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Pr>
          <w:p>
            <w:pPr>
              <w:pStyle w:val="TableContents"/>
              <w:spacing w:before="0" w:after="283"/>
              <w:rPr>
                <w:sz w:val="4"/>
                <w:szCs w:val="4"/>
              </w:rPr>
            </w:pPr>
            <w:r>
              <w:rPr>
                <w:sz w:val="4"/>
                <w:szCs w:val="4"/>
              </w:rPr>
            </w:r>
          </w:p>
        </w:tc>
      </w:tr>
      <w:tr>
        <w:trPr/>
        <w:tc>
          <w:tcPr>
            <w:tcW w:w="2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26, 2023</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27,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Assumptions:</w:t>
            </w:r>
          </w:p>
        </w:tc>
        <w:tc>
          <w:tcPr>
            <w:tcW w:w="1425"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Risk-free interest rate (1)</w:t>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4.26 </w:t>
            </w:r>
          </w:p>
        </w:tc>
        <w:tc>
          <w:tcPr>
            <w:tcW w:w="3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3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 yield (2)</w:t>
            </w:r>
          </w:p>
        </w:tc>
        <w:tc>
          <w:tcPr>
            <w:tcW w:w="10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3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2.31 </w:t>
            </w:r>
          </w:p>
        </w:tc>
        <w:tc>
          <w:tcPr>
            <w:tcW w:w="3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99" w:type="dxa"/>
            <w:gridSpan w:val="3"/>
            <w:tcBorders/>
            <w:shd w:fill="auto" w:val="clear"/>
            <w:vAlign w:val="center"/>
          </w:tcPr>
          <w:p>
            <w:pPr>
              <w:pStyle w:val="TableContents"/>
              <w:spacing w:before="0" w:after="283"/>
              <w:rPr>
                <w:sz w:val="4"/>
                <w:szCs w:val="4"/>
              </w:rPr>
            </w:pPr>
            <w:r>
              <w:rPr>
                <w:sz w:val="4"/>
                <w:szCs w:val="4"/>
              </w:rPr>
            </w:r>
          </w:p>
        </w:tc>
        <w:tc>
          <w:tcPr>
            <w:tcW w:w="14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Volatility (3)</w:t>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51.02 </w:t>
            </w:r>
          </w:p>
        </w:tc>
        <w:tc>
          <w:tcPr>
            <w:tcW w:w="3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49.11 </w:t>
            </w:r>
          </w:p>
        </w:tc>
        <w:tc>
          <w:tcPr>
            <w:tcW w:w="3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 date fair value per unit (4)</w:t>
            </w:r>
          </w:p>
        </w:tc>
        <w:tc>
          <w:tcPr>
            <w:tcW w:w="27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29.01 </w:t>
            </w:r>
          </w:p>
        </w:tc>
        <w:tc>
          <w:tcPr>
            <w:tcW w:w="3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26.10 </w:t>
            </w:r>
          </w:p>
        </w:tc>
        <w:tc>
          <w:tcPr>
            <w:tcW w:w="3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(1)Risk-free interest rate is the U.S. Treasury yield curve in effect as of the grant date for the performance period of the unit.</w:t>
      </w:r>
    </w:p>
    <w:p>
      <w:pPr>
        <w:pStyle w:val="TextBody"/>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(2)Dividend yield is the level of dividends expected to be paid on the Company’s common stock over the expected term. </w:t>
      </w:r>
    </w:p>
    <w:p>
      <w:pPr>
        <w:pStyle w:val="TextBody"/>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(3)Based on the historical volatility of the Company’s stock over the last seven years.</w:t>
      </w:r>
    </w:p>
    <w:p>
      <w:pPr>
        <w:pStyle w:val="TextBody"/>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(4)Represents a premium above the per share value of the Company’s common stock for the Relative TSR modifier as of the grant date of 2.7% and 7.9% as of March 26, 2023 and March 27, 2022, respectively.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represents unrecognized stock-based compensation expense and the remaining weighted average vesting period as of March 26, 2023:</w:t>
      </w:r>
    </w:p>
    <w:tbl>
      <w:tblPr>
        <w:tblW w:w="10205" w:type="dxa"/>
        <w:jc w:val="left"/>
        <w:tblInd w:w="0" w:type="dxa"/>
        <w:tblCellMar>
          <w:top w:w="28" w:type="dxa"/>
          <w:left w:w="28" w:type="dxa"/>
          <w:bottom w:w="28" w:type="dxa"/>
          <w:right w:w="28" w:type="dxa"/>
        </w:tblCellMar>
      </w:tblPr>
      <w:tblGrid>
        <w:gridCol w:w="777"/>
        <w:gridCol w:w="683"/>
        <w:gridCol w:w="686"/>
        <w:gridCol w:w="674"/>
        <w:gridCol w:w="2224"/>
        <w:gridCol w:w="376"/>
        <w:gridCol w:w="109"/>
        <w:gridCol w:w="109"/>
        <w:gridCol w:w="109"/>
        <w:gridCol w:w="1304"/>
        <w:gridCol w:w="1304"/>
        <w:gridCol w:w="1850"/>
      </w:tblGrid>
      <w:tr>
        <w:trPr/>
        <w:tc>
          <w:tcPr>
            <w:tcW w:w="777"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2224"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4" w:type="dxa"/>
            <w:tcBorders/>
            <w:shd w:fill="auto" w:val="clear"/>
            <w:vAlign w:val="center"/>
          </w:tcPr>
          <w:p>
            <w:pPr>
              <w:pStyle w:val="TableContents"/>
              <w:spacing w:before="0" w:after="283"/>
              <w:rPr>
                <w:sz w:val="4"/>
                <w:szCs w:val="4"/>
              </w:rPr>
            </w:pPr>
            <w:r>
              <w:rPr>
                <w:sz w:val="4"/>
                <w:szCs w:val="4"/>
              </w:rPr>
            </w:r>
          </w:p>
        </w:tc>
        <w:tc>
          <w:tcPr>
            <w:tcW w:w="1304" w:type="dxa"/>
            <w:tcBorders/>
            <w:shd w:fill="auto" w:val="clear"/>
            <w:vAlign w:val="center"/>
          </w:tcPr>
          <w:p>
            <w:pPr>
              <w:pStyle w:val="TableContents"/>
              <w:spacing w:before="0" w:after="283"/>
              <w:rPr>
                <w:sz w:val="4"/>
                <w:szCs w:val="4"/>
              </w:rPr>
            </w:pPr>
            <w:r>
              <w:rPr>
                <w:sz w:val="4"/>
                <w:szCs w:val="4"/>
              </w:rPr>
            </w:r>
          </w:p>
        </w:tc>
        <w:tc>
          <w:tcPr>
            <w:tcW w:w="1850" w:type="dxa"/>
            <w:tcBorders/>
            <w:shd w:fill="auto" w:val="clear"/>
            <w:vAlign w:val="center"/>
          </w:tcPr>
          <w:p>
            <w:pPr>
              <w:pStyle w:val="TableContents"/>
              <w:spacing w:before="0" w:after="283"/>
              <w:rPr>
                <w:sz w:val="4"/>
                <w:szCs w:val="4"/>
              </w:rPr>
            </w:pPr>
            <w:r>
              <w:rPr>
                <w:sz w:val="4"/>
                <w:szCs w:val="4"/>
              </w:rPr>
            </w:r>
          </w:p>
        </w:tc>
      </w:tr>
      <w:tr>
        <w:trPr/>
        <w:tc>
          <w:tcPr>
            <w:tcW w:w="2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UNRECOGNIZED COMPENSATION EXPENSE</w:t>
              <w:b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 WEIGHTED AVERAGE VESTING PERIOD (in years)</w:t>
            </w:r>
          </w:p>
        </w:tc>
      </w:tr>
      <w:tr>
        <w:trPr/>
        <w:tc>
          <w:tcPr>
            <w:tcW w:w="2146"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Performance-based share units</w:t>
            </w:r>
          </w:p>
        </w:tc>
        <w:tc>
          <w:tcPr>
            <w:tcW w:w="674"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224"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16,617 </w:t>
            </w:r>
          </w:p>
        </w:tc>
        <w:tc>
          <w:tcPr>
            <w:tcW w:w="376"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8" w:type="dxa"/>
            <w:gridSpan w:val="3"/>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r>
      <w:tr>
        <w:trPr/>
        <w:tc>
          <w:tcPr>
            <w:tcW w:w="2146"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Restricted stock units</w:t>
            </w:r>
          </w:p>
        </w:tc>
        <w:tc>
          <w:tcPr>
            <w:tcW w:w="67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22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11,864 </w:t>
            </w:r>
          </w:p>
        </w:tc>
        <w:tc>
          <w:tcPr>
            <w:tcW w:w="3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754225e3f1024615994983297e2dce8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5.    Other Current Assets, Net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Other current assets, net, consisted of the following as of the periods indicated:</w:t>
      </w:r>
    </w:p>
    <w:tbl>
      <w:tblPr>
        <w:tblW w:w="6514" w:type="dxa"/>
        <w:jc w:val="left"/>
        <w:tblInd w:w="0" w:type="dxa"/>
        <w:tblCellMar>
          <w:top w:w="28" w:type="dxa"/>
          <w:left w:w="28" w:type="dxa"/>
          <w:bottom w:w="28" w:type="dxa"/>
          <w:right w:w="28" w:type="dxa"/>
        </w:tblCellMar>
      </w:tblPr>
      <w:tblGrid>
        <w:gridCol w:w="1009"/>
        <w:gridCol w:w="889"/>
        <w:gridCol w:w="892"/>
        <w:gridCol w:w="293"/>
        <w:gridCol w:w="968"/>
        <w:gridCol w:w="163"/>
        <w:gridCol w:w="109"/>
        <w:gridCol w:w="109"/>
        <w:gridCol w:w="109"/>
        <w:gridCol w:w="322"/>
        <w:gridCol w:w="1209"/>
        <w:gridCol w:w="179"/>
        <w:gridCol w:w="109"/>
        <w:gridCol w:w="154"/>
      </w:tblGrid>
      <w:tr>
        <w:trPr/>
        <w:tc>
          <w:tcPr>
            <w:tcW w:w="1009"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20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26,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25, 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293"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27,856 </w:t>
            </w:r>
          </w:p>
        </w:tc>
        <w:tc>
          <w:tcPr>
            <w:tcW w:w="163"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29,343 </w:t>
            </w:r>
          </w:p>
        </w:tc>
        <w:tc>
          <w:tcPr>
            <w:tcW w:w="17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 gift cards, net</w:t>
            </w:r>
          </w:p>
        </w:tc>
        <w:tc>
          <w:tcPr>
            <w:tcW w:w="12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8,515 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85,606 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 vendors, net</w:t>
            </w:r>
          </w:p>
        </w:tc>
        <w:tc>
          <w:tcPr>
            <w:tcW w:w="12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10,209 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25,385 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 franchisees, net</w:t>
            </w:r>
          </w:p>
        </w:tc>
        <w:tc>
          <w:tcPr>
            <w:tcW w:w="12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3,755 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2,550 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 other, net</w:t>
            </w:r>
          </w:p>
        </w:tc>
        <w:tc>
          <w:tcPr>
            <w:tcW w:w="12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17,488 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18,408 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gift card sales commissions</w:t>
            </w:r>
          </w:p>
        </w:tc>
        <w:tc>
          <w:tcPr>
            <w:tcW w:w="12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13,403 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17,755 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 net</w:t>
            </w:r>
          </w:p>
        </w:tc>
        <w:tc>
          <w:tcPr>
            <w:tcW w:w="12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4,281 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4,671 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85,507 </w:t>
            </w:r>
          </w:p>
        </w:tc>
        <w:tc>
          <w:tcPr>
            <w:tcW w:w="16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183,718 </w:t>
            </w:r>
          </w:p>
        </w:tc>
        <w:tc>
          <w:tcPr>
            <w:tcW w:w="17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6.    Long-term Debt, Net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Following is a summary of outstanding Long-term debt, net, as of the periods indicated:</w:t>
      </w:r>
    </w:p>
    <w:tbl>
      <w:tblPr>
        <w:tblW w:w="10205" w:type="dxa"/>
        <w:jc w:val="center"/>
        <w:tblInd w:w="0" w:type="dxa"/>
        <w:tblCellMar>
          <w:top w:w="28" w:type="dxa"/>
          <w:left w:w="28" w:type="dxa"/>
          <w:bottom w:w="28" w:type="dxa"/>
          <w:right w:w="28" w:type="dxa"/>
        </w:tblCellMar>
      </w:tblPr>
      <w:tblGrid>
        <w:gridCol w:w="1083"/>
        <w:gridCol w:w="935"/>
        <w:gridCol w:w="939"/>
        <w:gridCol w:w="349"/>
        <w:gridCol w:w="1317"/>
        <w:gridCol w:w="196"/>
        <w:gridCol w:w="109"/>
        <w:gridCol w:w="109"/>
        <w:gridCol w:w="109"/>
        <w:gridCol w:w="298"/>
        <w:gridCol w:w="281"/>
        <w:gridCol w:w="664"/>
        <w:gridCol w:w="109"/>
        <w:gridCol w:w="109"/>
        <w:gridCol w:w="109"/>
        <w:gridCol w:w="349"/>
        <w:gridCol w:w="1317"/>
        <w:gridCol w:w="196"/>
        <w:gridCol w:w="109"/>
        <w:gridCol w:w="109"/>
        <w:gridCol w:w="109"/>
        <w:gridCol w:w="289"/>
        <w:gridCol w:w="265"/>
        <w:gridCol w:w="746"/>
      </w:tblGrid>
      <w:tr>
        <w:trPr/>
        <w:tc>
          <w:tcPr>
            <w:tcW w:w="1083"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r>
      <w:tr>
        <w:trPr/>
        <w:tc>
          <w:tcPr>
            <w:tcW w:w="29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26,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25, 2022</w:t>
            </w:r>
          </w:p>
        </w:tc>
      </w:tr>
      <w:tr>
        <w:trPr/>
        <w:tc>
          <w:tcPr>
            <w:tcW w:w="29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862"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BALANCE</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2"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BALANCE</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w:t>
            </w:r>
          </w:p>
        </w:tc>
      </w:tr>
      <w:tr>
        <w:trPr/>
        <w:tc>
          <w:tcPr>
            <w:tcW w:w="29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 revolving credit facility (1)</w:t>
            </w:r>
          </w:p>
        </w:tc>
        <w:tc>
          <w:tcPr>
            <w:tcW w:w="349"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7"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360,000 </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6.28 </w:t>
            </w:r>
          </w:p>
        </w:tc>
        <w:tc>
          <w:tcPr>
            <w:tcW w:w="664"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7"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430,000 </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5.79 </w:t>
            </w:r>
          </w:p>
        </w:tc>
        <w:tc>
          <w:tcPr>
            <w:tcW w:w="74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9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 Notes</w:t>
            </w:r>
          </w:p>
        </w:tc>
        <w:tc>
          <w:tcPr>
            <w:tcW w:w="16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105,000 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66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105,000 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7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9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2029 Notes</w:t>
            </w:r>
          </w:p>
        </w:tc>
        <w:tc>
          <w:tcPr>
            <w:tcW w:w="16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5.13 </w:t>
            </w:r>
          </w:p>
        </w:tc>
        <w:tc>
          <w:tcPr>
            <w:tcW w:w="66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5.13 </w:t>
            </w:r>
          </w:p>
        </w:tc>
        <w:tc>
          <w:tcPr>
            <w:tcW w:w="7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9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liabilities</w:t>
            </w:r>
          </w:p>
        </w:tc>
        <w:tc>
          <w:tcPr>
            <w:tcW w:w="16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9,114 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4,785 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7" w:type="dxa"/>
            <w:gridSpan w:val="3"/>
            <w:tcBorders/>
            <w:shd w:fill="auto" w:val="clear"/>
            <w:vAlign w:val="center"/>
          </w:tcPr>
          <w:p>
            <w:pPr>
              <w:pStyle w:val="TableContents"/>
              <w:spacing w:before="0" w:after="283"/>
              <w:rPr>
                <w:sz w:val="4"/>
                <w:szCs w:val="4"/>
              </w:rPr>
            </w:pPr>
            <w:r>
              <w:rPr>
                <w:sz w:val="4"/>
                <w:szCs w:val="4"/>
              </w:rPr>
            </w:r>
          </w:p>
        </w:tc>
        <w:tc>
          <w:tcPr>
            <w:tcW w:w="18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r>
      <w:tr>
        <w:trPr/>
        <w:tc>
          <w:tcPr>
            <w:tcW w:w="29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debt discount and issuance costs</w:t>
            </w:r>
          </w:p>
        </w:tc>
        <w:tc>
          <w:tcPr>
            <w:tcW w:w="16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(6,145)</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(6,493)</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7" w:type="dxa"/>
            <w:gridSpan w:val="3"/>
            <w:tcBorders/>
            <w:shd w:fill="auto" w:val="clear"/>
            <w:vAlign w:val="center"/>
          </w:tcPr>
          <w:p>
            <w:pPr>
              <w:pStyle w:val="TableContents"/>
              <w:spacing w:before="0" w:after="283"/>
              <w:rPr>
                <w:sz w:val="4"/>
                <w:szCs w:val="4"/>
              </w:rPr>
            </w:pPr>
            <w:r>
              <w:rPr>
                <w:sz w:val="4"/>
                <w:szCs w:val="4"/>
              </w:rPr>
            </w:r>
          </w:p>
        </w:tc>
        <w:tc>
          <w:tcPr>
            <w:tcW w:w="18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r>
      <w:tr>
        <w:trPr/>
        <w:tc>
          <w:tcPr>
            <w:tcW w:w="29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 net</w:t>
            </w:r>
          </w:p>
        </w:tc>
        <w:tc>
          <w:tcPr>
            <w:tcW w:w="1666"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767,969 </w:t>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833,292 </w:t>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 of long-term debt</w:t>
            </w:r>
          </w:p>
        </w:tc>
        <w:tc>
          <w:tcPr>
            <w:tcW w:w="16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(2,267)</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(1,636)</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w:t>
            </w:r>
          </w:p>
        </w:tc>
        <w:tc>
          <w:tcPr>
            <w:tcW w:w="34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765,702 </w:t>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831,656 </w:t>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7" w:type="dxa"/>
            <w:gridSpan w:val="3"/>
            <w:tcBorders/>
            <w:shd w:fill="auto" w:val="clear"/>
            <w:vAlign w:val="center"/>
          </w:tcPr>
          <w:p>
            <w:pPr>
              <w:pStyle w:val="TableContents"/>
              <w:spacing w:before="0" w:after="283"/>
              <w:rPr>
                <w:sz w:val="4"/>
                <w:szCs w:val="4"/>
              </w:rPr>
            </w:pPr>
            <w:r>
              <w:rPr>
                <w:sz w:val="4"/>
                <w:szCs w:val="4"/>
              </w:rPr>
            </w:r>
          </w:p>
        </w:tc>
        <w:tc>
          <w:tcPr>
            <w:tcW w:w="18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r>
      <w:tr>
        <w:trPr/>
        <w:tc>
          <w:tcPr>
            <w:tcW w:w="2957" w:type="dxa"/>
            <w:gridSpan w:val="3"/>
            <w:tcBorders/>
            <w:shd w:fill="auto" w:val="clear"/>
            <w:vAlign w:val="center"/>
          </w:tcPr>
          <w:p>
            <w:pPr>
              <w:pStyle w:val="TableContents"/>
              <w:spacing w:before="0" w:after="283"/>
              <w:rPr>
                <w:sz w:val="4"/>
                <w:szCs w:val="4"/>
              </w:rPr>
            </w:pPr>
            <w:r>
              <w:rPr>
                <w:sz w:val="4"/>
                <w:szCs w:val="4"/>
              </w:rPr>
            </w:r>
          </w:p>
        </w:tc>
        <w:tc>
          <w:tcPr>
            <w:tcW w:w="18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r>
      <w:tr>
        <w:trPr/>
        <w:tc>
          <w:tcPr>
            <w:tcW w:w="2957" w:type="dxa"/>
            <w:gridSpan w:val="3"/>
            <w:tcBorders/>
            <w:shd w:fill="auto" w:val="clear"/>
            <w:vAlign w:val="center"/>
          </w:tcPr>
          <w:p>
            <w:pPr>
              <w:pStyle w:val="TableContents"/>
              <w:spacing w:before="0" w:after="283"/>
              <w:rPr>
                <w:sz w:val="4"/>
                <w:szCs w:val="4"/>
              </w:rPr>
            </w:pPr>
            <w:r>
              <w:rPr>
                <w:sz w:val="4"/>
                <w:szCs w:val="4"/>
              </w:rPr>
            </w:r>
          </w:p>
        </w:tc>
        <w:tc>
          <w:tcPr>
            <w:tcW w:w="18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r>
      <w:tr>
        <w:trPr/>
        <w:tc>
          <w:tcPr>
            <w:tcW w:w="2957" w:type="dxa"/>
            <w:gridSpan w:val="3"/>
            <w:tcBorders/>
            <w:shd w:fill="auto" w:val="clear"/>
            <w:vAlign w:val="center"/>
          </w:tcPr>
          <w:p>
            <w:pPr>
              <w:pStyle w:val="TableContents"/>
              <w:spacing w:before="0" w:after="283"/>
              <w:rPr>
                <w:sz w:val="4"/>
                <w:szCs w:val="4"/>
              </w:rPr>
            </w:pPr>
            <w:r>
              <w:rPr>
                <w:sz w:val="4"/>
                <w:szCs w:val="4"/>
              </w:rPr>
            </w:r>
          </w:p>
        </w:tc>
        <w:tc>
          <w:tcPr>
            <w:tcW w:w="18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r>
      <w:tr>
        <w:trPr/>
        <w:tc>
          <w:tcPr>
            <w:tcW w:w="2957" w:type="dxa"/>
            <w:gridSpan w:val="3"/>
            <w:tcBorders/>
            <w:shd w:fill="auto" w:val="clear"/>
            <w:vAlign w:val="center"/>
          </w:tcPr>
          <w:p>
            <w:pPr>
              <w:pStyle w:val="TableContents"/>
              <w:spacing w:before="0" w:after="283"/>
              <w:rPr>
                <w:sz w:val="4"/>
                <w:szCs w:val="4"/>
              </w:rPr>
            </w:pPr>
            <w:r>
              <w:rPr>
                <w:sz w:val="4"/>
                <w:szCs w:val="4"/>
              </w:rPr>
            </w:r>
          </w:p>
        </w:tc>
        <w:tc>
          <w:tcPr>
            <w:tcW w:w="18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r>
      <w:tr>
        <w:trPr/>
        <w:tc>
          <w:tcPr>
            <w:tcW w:w="2957" w:type="dxa"/>
            <w:gridSpan w:val="3"/>
            <w:tcBorders/>
            <w:shd w:fill="auto" w:val="clear"/>
            <w:vAlign w:val="center"/>
          </w:tcPr>
          <w:p>
            <w:pPr>
              <w:pStyle w:val="TableContents"/>
              <w:spacing w:before="0" w:after="283"/>
              <w:rPr>
                <w:sz w:val="4"/>
                <w:szCs w:val="4"/>
              </w:rPr>
            </w:pPr>
            <w:r>
              <w:rPr>
                <w:sz w:val="4"/>
                <w:szCs w:val="4"/>
              </w:rPr>
            </w:r>
          </w:p>
        </w:tc>
        <w:tc>
          <w:tcPr>
            <w:tcW w:w="18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r>
      <w:tr>
        <w:trPr/>
        <w:tc>
          <w:tcPr>
            <w:tcW w:w="2957" w:type="dxa"/>
            <w:gridSpan w:val="3"/>
            <w:tcBorders/>
            <w:shd w:fill="auto" w:val="clear"/>
            <w:vAlign w:val="center"/>
          </w:tcPr>
          <w:p>
            <w:pPr>
              <w:pStyle w:val="TableContents"/>
              <w:spacing w:before="0" w:after="283"/>
              <w:rPr>
                <w:sz w:val="4"/>
                <w:szCs w:val="4"/>
              </w:rPr>
            </w:pPr>
            <w:r>
              <w:rPr>
                <w:sz w:val="4"/>
                <w:szCs w:val="4"/>
              </w:rPr>
            </w:r>
          </w:p>
        </w:tc>
        <w:tc>
          <w:tcPr>
            <w:tcW w:w="18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r>
      <w:tr>
        <w:trPr/>
        <w:tc>
          <w:tcPr>
            <w:tcW w:w="2957" w:type="dxa"/>
            <w:gridSpan w:val="3"/>
            <w:tcBorders/>
            <w:shd w:fill="auto" w:val="clear"/>
            <w:vAlign w:val="center"/>
          </w:tcPr>
          <w:p>
            <w:pPr>
              <w:pStyle w:val="TableContents"/>
              <w:spacing w:before="0" w:after="283"/>
              <w:rPr>
                <w:sz w:val="4"/>
                <w:szCs w:val="4"/>
              </w:rPr>
            </w:pPr>
            <w:r>
              <w:rPr>
                <w:sz w:val="4"/>
                <w:szCs w:val="4"/>
              </w:rPr>
            </w:r>
          </w:p>
        </w:tc>
        <w:tc>
          <w:tcPr>
            <w:tcW w:w="18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(1)Interest rate represents the weighted average interest rate as of the respective periods.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2"/>
        </w:rPr>
        <w:t xml:space="preserve">Debt Covenants - </w:t>
      </w:r>
      <w:r>
        <w:rPr>
          <w:rFonts w:ascii="Times New Roman;sans-serif" w:hAnsi="Times New Roman;sans-serif"/>
          <w:b w:val="false"/>
          <w:color w:val="000000"/>
          <w:sz w:val="22"/>
        </w:rPr>
        <w:t>As of March 26, 2023 and December 25, 2022, the Company was in compliance with its debt covenants.</w:t>
      </w:r>
    </w:p>
    <w:p>
      <w:pPr>
        <w:pStyle w:val="TextBody"/>
        <w:spacing w:before="0" w:after="0"/>
        <w:ind w:left="0" w:right="0" w:hanging="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7.    Convertible Senior Notes </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i/>
          <w:color w:val="000000"/>
          <w:sz w:val="22"/>
        </w:rPr>
        <w:t>2025 Notes</w:t>
      </w:r>
      <w:r>
        <w:rPr>
          <w:color w:val="000000"/>
        </w:rPr>
        <w:t xml:space="preserve"> </w:t>
      </w:r>
      <w:r>
        <w:rPr>
          <w:rFonts w:ascii="Times New Roman;sans-serif" w:hAnsi="Times New Roman;sans-serif"/>
          <w:b w:val="false"/>
          <w:color w:val="000000"/>
          <w:sz w:val="22"/>
        </w:rPr>
        <w:t>- In connection with dividends paid during the thirteen weeks ended March 26, 2023, the conversion rate for the</w:t>
      </w:r>
      <w:r>
        <w:rPr>
          <w:color w:val="252525"/>
        </w:rPr>
        <w:t xml:space="preserve"> </w:t>
      </w:r>
      <w:r>
        <w:rPr>
          <w:rFonts w:ascii="Times New Roman;sans-serif" w:hAnsi="Times New Roman;sans-serif"/>
          <w:b w:val="false"/>
          <w:color w:val="000000"/>
          <w:sz w:val="22"/>
        </w:rPr>
        <w:t>Company’s remaining convertible senior notes due 2025 (“2025 Notes”) decreased to approximately $11.49 per share, which represents 87.059 shares of common stock per $1,000 principal amount of the 2025 Notes, or a total of approximately 9.141 million shares.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754225e3f1024615994983297e2dce8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includes the outstanding principal amount and carrying value of the 2025 Notes as of the periods indicated:</w:t>
      </w:r>
    </w:p>
    <w:tbl>
      <w:tblPr>
        <w:tblW w:w="5651" w:type="dxa"/>
        <w:jc w:val="center"/>
        <w:tblInd w:w="0" w:type="dxa"/>
        <w:tblCellMar>
          <w:top w:w="28" w:type="dxa"/>
          <w:left w:w="28" w:type="dxa"/>
          <w:bottom w:w="28" w:type="dxa"/>
          <w:right w:w="28" w:type="dxa"/>
        </w:tblCellMar>
      </w:tblPr>
      <w:tblGrid>
        <w:gridCol w:w="775"/>
        <w:gridCol w:w="683"/>
        <w:gridCol w:w="686"/>
        <w:gridCol w:w="268"/>
        <w:gridCol w:w="1008"/>
        <w:gridCol w:w="149"/>
        <w:gridCol w:w="109"/>
        <w:gridCol w:w="109"/>
        <w:gridCol w:w="109"/>
        <w:gridCol w:w="316"/>
        <w:gridCol w:w="1190"/>
        <w:gridCol w:w="249"/>
      </w:tblGrid>
      <w:tr>
        <w:trPr/>
        <w:tc>
          <w:tcPr>
            <w:tcW w:w="775"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26,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25, 2022</w:t>
            </w:r>
          </w:p>
        </w:tc>
      </w:tr>
      <w:tr>
        <w:trPr/>
        <w:tc>
          <w:tcPr>
            <w:tcW w:w="2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w:t>
            </w:r>
          </w:p>
        </w:tc>
        <w:tc>
          <w:tcPr>
            <w:tcW w:w="1425"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5"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w:t>
            </w:r>
          </w:p>
        </w:tc>
        <w:tc>
          <w:tcPr>
            <w:tcW w:w="26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105,000 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105,000 </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debt issuance costs (1)</w:t>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(1,744)</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(1,939)</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carrying amount</w:t>
            </w:r>
          </w:p>
        </w:tc>
        <w:tc>
          <w:tcPr>
            <w:tcW w:w="26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103,256 </w:t>
            </w:r>
          </w:p>
        </w:tc>
        <w:tc>
          <w:tcPr>
            <w:tcW w:w="14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103,061 </w:t>
            </w:r>
          </w:p>
        </w:tc>
        <w:tc>
          <w:tcPr>
            <w:tcW w:w="24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(1)Debt issuance costs are amortized to Interest expense, net using the effective interest method over the 2025 Notes’ expected life.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Following is a summary of interest expense for the 2025 Notes by component for the periods indicated:</w:t>
      </w:r>
    </w:p>
    <w:tbl>
      <w:tblPr>
        <w:tblW w:w="6588" w:type="dxa"/>
        <w:jc w:val="left"/>
        <w:tblInd w:w="0" w:type="dxa"/>
        <w:tblCellMar>
          <w:top w:w="28" w:type="dxa"/>
          <w:left w:w="28" w:type="dxa"/>
          <w:bottom w:w="28" w:type="dxa"/>
          <w:right w:w="28" w:type="dxa"/>
        </w:tblCellMar>
      </w:tblPr>
      <w:tblGrid>
        <w:gridCol w:w="851"/>
        <w:gridCol w:w="750"/>
        <w:gridCol w:w="753"/>
        <w:gridCol w:w="109"/>
        <w:gridCol w:w="109"/>
        <w:gridCol w:w="224"/>
        <w:gridCol w:w="224"/>
        <w:gridCol w:w="403"/>
        <w:gridCol w:w="1144"/>
        <w:gridCol w:w="224"/>
        <w:gridCol w:w="109"/>
        <w:gridCol w:w="109"/>
        <w:gridCol w:w="109"/>
        <w:gridCol w:w="318"/>
        <w:gridCol w:w="902"/>
        <w:gridCol w:w="250"/>
      </w:tblGrid>
      <w:tr>
        <w:trPr/>
        <w:tc>
          <w:tcPr>
            <w:tcW w:w="851"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114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r>
      <w:tr>
        <w:trPr/>
        <w:tc>
          <w:tcPr>
            <w:tcW w:w="2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9"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1797" w:type="dxa"/>
            <w:gridSpan w:val="6"/>
            <w:tcBorders/>
            <w:shd w:fill="auto" w:val="clear"/>
          </w:tcPr>
          <w:p>
            <w:pPr>
              <w:pStyle w:val="TableContents"/>
              <w:spacing w:before="0" w:after="283"/>
              <w:rPr>
                <w:sz w:val="4"/>
                <w:szCs w:val="4"/>
              </w:rPr>
            </w:pPr>
            <w:r>
              <w:rPr>
                <w:sz w:val="4"/>
                <w:szCs w:val="4"/>
              </w:rPr>
            </w:r>
          </w:p>
        </w:tc>
      </w:tr>
      <w:tr>
        <w:trPr/>
        <w:tc>
          <w:tcPr>
            <w:tcW w:w="23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771"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26, 2023</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27, 2022</w:t>
            </w:r>
          </w:p>
        </w:tc>
      </w:tr>
      <w:tr>
        <w:trPr/>
        <w:tc>
          <w:tcPr>
            <w:tcW w:w="2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Coupon interest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403"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4"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1,313 </w:t>
            </w:r>
          </w:p>
        </w:tc>
        <w:tc>
          <w:tcPr>
            <w:tcW w:w="224"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2"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2,875 </w:t>
            </w:r>
          </w:p>
        </w:tc>
        <w:tc>
          <w:tcPr>
            <w:tcW w:w="250"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issuance cost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 expense (1)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40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1,508 </w:t>
            </w:r>
          </w:p>
        </w:tc>
        <w:tc>
          <w:tcPr>
            <w:tcW w:w="22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3,279 </w:t>
            </w:r>
          </w:p>
        </w:tc>
        <w:tc>
          <w:tcPr>
            <w:tcW w:w="25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spacing w:lineRule="auto" w:line="288" w:before="0" w:after="0"/>
        <w:ind w:left="0" w:right="0" w:hanging="720"/>
        <w:jc w:val="both"/>
        <w:rPr/>
      </w:pPr>
      <w:r>
        <w:rPr>
          <w:rFonts w:ascii="Times New Roman;sans-serif" w:hAnsi="Times New Roman;sans-serif"/>
          <w:b w:val="false"/>
          <w:color w:val="000000"/>
          <w:sz w:val="18"/>
        </w:rPr>
        <w:t>(1)The effective rate of the 2025 Notes over their expected life is 5.85%</w:t>
      </w:r>
      <w:r>
        <w:rPr>
          <w:rFonts w:ascii="Times New Roman;sans-serif" w:hAnsi="Times New Roman;sans-serif"/>
          <w:b w:val="false"/>
          <w:color w:val="252525"/>
          <w:sz w:val="18"/>
        </w:rPr>
        <w: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Based on the daily closing prices of the Company’s stock during the quarter ended March 26, 2023, the remaining holders of the 2025 Notes are eligible to convert their 2025 Notes during the second quarter of 2023.</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8.    Stockholders’ Equity </w:t>
      </w:r>
    </w:p>
    <w:p>
      <w:pPr>
        <w:pStyle w:val="TextBody"/>
        <w:spacing w:before="0" w:after="0"/>
        <w:ind w:left="0" w:right="0" w:hanging="900"/>
        <w:jc w:val="both"/>
        <w:rPr/>
      </w:pPr>
      <w:r>
        <w:rPr/>
      </w:r>
    </w:p>
    <w:p>
      <w:pPr>
        <w:pStyle w:val="TextBody"/>
        <w:spacing w:lineRule="auto" w:line="288" w:before="0" w:after="0"/>
        <w:jc w:val="both"/>
        <w:rPr/>
      </w:pPr>
      <w:r>
        <w:rPr>
          <w:rFonts w:ascii="Times New Roman;sans-serif" w:hAnsi="Times New Roman;sans-serif"/>
          <w:b w:val="false"/>
          <w:i/>
          <w:color w:val="000000"/>
          <w:sz w:val="22"/>
        </w:rPr>
        <w:t>Share Repurchases</w:t>
      </w:r>
      <w:r>
        <w:rPr>
          <w:color w:val="000000"/>
        </w:rPr>
        <w:t xml:space="preserve"> </w:t>
      </w:r>
      <w:r>
        <w:rPr>
          <w:rFonts w:ascii="Times New Roman;sans-serif" w:hAnsi="Times New Roman;sans-serif"/>
          <w:b w:val="false"/>
          <w:color w:val="000000"/>
          <w:sz w:val="22"/>
        </w:rPr>
        <w:t xml:space="preserve">- On February 8, 2022, the Company’s Board of Directors (the “Board”) approved a share repurchase program (the “2022 Share Repurchase Program”) under which the Company was authorized to repurchase up to $125.0 million of its outstanding common stock. During the thirteen weeks ended March 26, 2023, the Company fully utilized the remaining share repurchase authorization under the 2022 Share Repurchase Program. On February 7, 2023, the Company’s Board approved a new $125.0 million authorization (the “2023 Share Repurchase Program”) expiring on August 7, 2024. As of March 26, 2023, $119.4 million remained available for repurchase under the 2023 Share Repurchase Program.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Following is a summary of the shares repurchased during fiscal year 2023:</w:t>
      </w:r>
    </w:p>
    <w:tbl>
      <w:tblPr>
        <w:tblW w:w="9959" w:type="dxa"/>
        <w:jc w:val="left"/>
        <w:tblInd w:w="0" w:type="dxa"/>
        <w:tblCellMar>
          <w:top w:w="28" w:type="dxa"/>
          <w:left w:w="28" w:type="dxa"/>
          <w:bottom w:w="28" w:type="dxa"/>
          <w:right w:w="28" w:type="dxa"/>
        </w:tblCellMar>
      </w:tblPr>
      <w:tblGrid>
        <w:gridCol w:w="1011"/>
        <w:gridCol w:w="888"/>
        <w:gridCol w:w="891"/>
        <w:gridCol w:w="619"/>
        <w:gridCol w:w="619"/>
        <w:gridCol w:w="621"/>
        <w:gridCol w:w="109"/>
        <w:gridCol w:w="109"/>
        <w:gridCol w:w="109"/>
        <w:gridCol w:w="831"/>
        <w:gridCol w:w="2362"/>
        <w:gridCol w:w="467"/>
        <w:gridCol w:w="109"/>
        <w:gridCol w:w="109"/>
        <w:gridCol w:w="109"/>
        <w:gridCol w:w="196"/>
        <w:gridCol w:w="646"/>
        <w:gridCol w:w="154"/>
      </w:tblGrid>
      <w:tr>
        <w:trPr/>
        <w:tc>
          <w:tcPr>
            <w:tcW w:w="1011"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2362"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c>
          <w:tcPr>
            <w:tcW w:w="18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NUMBER OF SHARES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REPURCHASE PRICE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First fiscal quarter (1)</w:t>
            </w:r>
          </w:p>
        </w:tc>
        <w:tc>
          <w:tcPr>
            <w:tcW w:w="1238"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863 </w:t>
            </w:r>
          </w:p>
        </w:tc>
        <w:tc>
          <w:tcPr>
            <w:tcW w:w="621"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362"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23.92 </w:t>
            </w:r>
          </w:p>
        </w:tc>
        <w:tc>
          <w:tcPr>
            <w:tcW w:w="467"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20,645 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auto" w:val="clear"/>
            <w:vAlign w:val="center"/>
          </w:tcPr>
          <w:p>
            <w:pPr>
              <w:pStyle w:val="TableContents"/>
              <w:spacing w:before="0" w:after="283"/>
              <w:rPr>
                <w:sz w:val="4"/>
                <w:szCs w:val="4"/>
              </w:rPr>
            </w:pPr>
            <w:r>
              <w:rPr>
                <w:sz w:val="4"/>
                <w:szCs w:val="4"/>
              </w:rPr>
            </w:r>
          </w:p>
        </w:tc>
        <w:tc>
          <w:tcPr>
            <w:tcW w:w="1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vAlign w:val="center"/>
          </w:tcPr>
          <w:p>
            <w:pPr>
              <w:pStyle w:val="TableContents"/>
              <w:spacing w:before="0" w:after="283"/>
              <w:rPr>
                <w:sz w:val="4"/>
                <w:szCs w:val="4"/>
              </w:rPr>
            </w:pPr>
            <w:r>
              <w:rPr>
                <w:sz w:val="4"/>
                <w:szCs w:val="4"/>
              </w:rPr>
            </w:r>
          </w:p>
        </w:tc>
        <w:tc>
          <w:tcPr>
            <w:tcW w:w="1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vAlign w:val="center"/>
          </w:tcPr>
          <w:p>
            <w:pPr>
              <w:pStyle w:val="TableContents"/>
              <w:spacing w:before="0" w:after="283"/>
              <w:rPr>
                <w:sz w:val="4"/>
                <w:szCs w:val="4"/>
              </w:rPr>
            </w:pPr>
            <w:r>
              <w:rPr>
                <w:sz w:val="4"/>
                <w:szCs w:val="4"/>
              </w:rPr>
            </w:r>
          </w:p>
        </w:tc>
        <w:tc>
          <w:tcPr>
            <w:tcW w:w="1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(1)Excludes excise tax on share repurchases. Subsequent to March 26, 2023, the Company repurchased 291 thousand shares of its common stock for $7.2 million under a Rule 10b5-1 plan.</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2"/>
        </w:rPr>
        <w:t xml:space="preserve">Dividends - </w:t>
      </w:r>
      <w:r>
        <w:rPr>
          <w:rFonts w:ascii="Times New Roman;sans-serif" w:hAnsi="Times New Roman;sans-serif"/>
          <w:b w:val="false"/>
          <w:color w:val="000000"/>
          <w:sz w:val="22"/>
        </w:rPr>
        <w:t>The Company declared and paid dividends per share during fiscal year 2023 as follows:</w:t>
      </w:r>
    </w:p>
    <w:tbl>
      <w:tblPr>
        <w:tblW w:w="7098" w:type="dxa"/>
        <w:jc w:val="center"/>
        <w:tblInd w:w="0" w:type="dxa"/>
        <w:tblCellMar>
          <w:top w:w="28" w:type="dxa"/>
          <w:left w:w="28" w:type="dxa"/>
          <w:bottom w:w="28" w:type="dxa"/>
          <w:right w:w="28" w:type="dxa"/>
        </w:tblCellMar>
      </w:tblPr>
      <w:tblGrid>
        <w:gridCol w:w="1206"/>
        <w:gridCol w:w="1060"/>
        <w:gridCol w:w="1063"/>
        <w:gridCol w:w="109"/>
        <w:gridCol w:w="109"/>
        <w:gridCol w:w="510"/>
        <w:gridCol w:w="1215"/>
        <w:gridCol w:w="285"/>
        <w:gridCol w:w="109"/>
        <w:gridCol w:w="109"/>
        <w:gridCol w:w="109"/>
        <w:gridCol w:w="109"/>
        <w:gridCol w:w="109"/>
        <w:gridCol w:w="196"/>
        <w:gridCol w:w="646"/>
        <w:gridCol w:w="154"/>
      </w:tblGrid>
      <w:tr>
        <w:trPr/>
        <w:tc>
          <w:tcPr>
            <w:tcW w:w="1206"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121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0" w:type="dxa"/>
            <w:gridSpan w:val="3"/>
            <w:tcBorders/>
            <w:shd w:fill="auto" w:val="clear"/>
            <w:vAlign w:val="center"/>
          </w:tcPr>
          <w:p>
            <w:pPr>
              <w:pStyle w:val="TableContents"/>
              <w:spacing w:before="0" w:after="283"/>
              <w:rPr>
                <w:sz w:val="4"/>
                <w:szCs w:val="4"/>
              </w:rPr>
            </w:pPr>
            <w:r>
              <w:rPr>
                <w:sz w:val="4"/>
                <w:szCs w:val="4"/>
              </w:rPr>
            </w:r>
          </w:p>
        </w:tc>
        <w:tc>
          <w:tcPr>
            <w:tcW w:w="1541" w:type="dxa"/>
            <w:gridSpan w:val="8"/>
            <w:tcBorders/>
            <w:shd w:fill="auto" w:val="clear"/>
          </w:tcPr>
          <w:p>
            <w:pPr>
              <w:pStyle w:val="TableContents"/>
              <w:spacing w:before="0" w:after="283"/>
              <w:rPr>
                <w:sz w:val="4"/>
                <w:szCs w:val="4"/>
              </w:rPr>
            </w:pPr>
            <w:r>
              <w:rPr>
                <w:sz w:val="4"/>
                <w:szCs w:val="4"/>
              </w:rPr>
            </w:r>
          </w:p>
        </w:tc>
      </w:tr>
      <w:tr>
        <w:trPr/>
        <w:tc>
          <w:tcPr>
            <w:tcW w:w="332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0" w:type="dxa"/>
            <w:gridSpan w:val="3"/>
            <w:tcBorders/>
            <w:shd w:fill="auto" w:val="clear"/>
            <w:vAlign w:val="center"/>
          </w:tcPr>
          <w:p>
            <w:pPr>
              <w:pStyle w:val="TableContents"/>
              <w:spacing w:before="0" w:after="283"/>
              <w:rPr>
                <w:sz w:val="4"/>
                <w:szCs w:val="4"/>
              </w:rPr>
            </w:pPr>
            <w:r>
              <w:rPr>
                <w:sz w:val="4"/>
                <w:szCs w:val="4"/>
              </w:rPr>
            </w:r>
          </w:p>
        </w:tc>
        <w:tc>
          <w:tcPr>
            <w:tcW w:w="1541" w:type="dxa"/>
            <w:gridSpan w:val="8"/>
            <w:tcBorders/>
            <w:shd w:fill="auto" w:val="clea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 except per share data)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DIVIDENDS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First fiscal quarter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0"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5"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0.24 </w:t>
            </w:r>
          </w:p>
        </w:tc>
        <w:tc>
          <w:tcPr>
            <w:tcW w:w="285"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21,014 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April 2023, the Board declared a quarterly cash dividend of $0.24 per share, payable on May 24, 2023 to shareholders of record at the close of business on May 10, 2023.</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754225e3f1024615994983297e2dce8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spacing w:lineRule="auto" w:line="288" w:before="0" w:after="0"/>
        <w:jc w:val="both"/>
        <w:rPr/>
      </w:pPr>
      <w:r>
        <w:rPr>
          <w:rFonts w:ascii="Times New Roman;sans-serif" w:hAnsi="Times New Roman;sans-serif"/>
          <w:b w:val="false"/>
          <w:i/>
          <w:color w:val="000000"/>
          <w:sz w:val="22"/>
        </w:rPr>
        <w:t>Accumulated Other Comprehensive Loss (“AOCL”) -</w:t>
      </w:r>
      <w:r>
        <w:rPr>
          <w:color w:val="000000"/>
        </w:rPr>
        <w:t xml:space="preserve"> </w:t>
      </w:r>
      <w:r>
        <w:rPr>
          <w:rFonts w:ascii="Times New Roman;sans-serif" w:hAnsi="Times New Roman;sans-serif"/>
          <w:b w:val="false"/>
          <w:color w:val="000000"/>
          <w:sz w:val="22"/>
        </w:rPr>
        <w:t>AOCL consisted of foreign currency translation adjustments as of March 26, 2023 and December 25, 2022.</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Following are the components of Other comprehensive (loss) income attributable to Bloomin’ Brands for the periods indicated:</w:t>
      </w:r>
    </w:p>
    <w:tbl>
      <w:tblPr>
        <w:tblW w:w="10205" w:type="dxa"/>
        <w:jc w:val="center"/>
        <w:tblInd w:w="0" w:type="dxa"/>
        <w:tblCellMar>
          <w:top w:w="28" w:type="dxa"/>
          <w:left w:w="28" w:type="dxa"/>
          <w:bottom w:w="28" w:type="dxa"/>
          <w:right w:w="28" w:type="dxa"/>
        </w:tblCellMar>
      </w:tblPr>
      <w:tblGrid>
        <w:gridCol w:w="2206"/>
        <w:gridCol w:w="1925"/>
        <w:gridCol w:w="1931"/>
        <w:gridCol w:w="109"/>
        <w:gridCol w:w="109"/>
        <w:gridCol w:w="203"/>
        <w:gridCol w:w="203"/>
        <w:gridCol w:w="366"/>
        <w:gridCol w:w="1177"/>
        <w:gridCol w:w="203"/>
        <w:gridCol w:w="109"/>
        <w:gridCol w:w="109"/>
        <w:gridCol w:w="109"/>
        <w:gridCol w:w="283"/>
        <w:gridCol w:w="936"/>
        <w:gridCol w:w="227"/>
      </w:tblGrid>
      <w:tr>
        <w:trPr/>
        <w:tc>
          <w:tcPr>
            <w:tcW w:w="2206" w:type="dxa"/>
            <w:tcBorders/>
            <w:shd w:fill="auto" w:val="clear"/>
            <w:vAlign w:val="center"/>
          </w:tcPr>
          <w:p>
            <w:pPr>
              <w:pStyle w:val="TableContents"/>
              <w:spacing w:before="0" w:after="283"/>
              <w:rPr>
                <w:sz w:val="4"/>
                <w:szCs w:val="4"/>
              </w:rPr>
            </w:pPr>
            <w:r>
              <w:rPr>
                <w:sz w:val="4"/>
                <w:szCs w:val="4"/>
              </w:rPr>
            </w:r>
          </w:p>
        </w:tc>
        <w:tc>
          <w:tcPr>
            <w:tcW w:w="1925" w:type="dxa"/>
            <w:tcBorders/>
            <w:shd w:fill="auto" w:val="clear"/>
            <w:vAlign w:val="center"/>
          </w:tcPr>
          <w:p>
            <w:pPr>
              <w:pStyle w:val="TableContents"/>
              <w:spacing w:before="0" w:after="283"/>
              <w:rPr>
                <w:sz w:val="4"/>
                <w:szCs w:val="4"/>
              </w:rPr>
            </w:pPr>
            <w:r>
              <w:rPr>
                <w:sz w:val="4"/>
                <w:szCs w:val="4"/>
              </w:rPr>
            </w:r>
          </w:p>
        </w:tc>
        <w:tc>
          <w:tcPr>
            <w:tcW w:w="1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r>
      <w:tr>
        <w:trPr/>
        <w:tc>
          <w:tcPr>
            <w:tcW w:w="60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2"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1773" w:type="dxa"/>
            <w:gridSpan w:val="6"/>
            <w:tcBorders/>
            <w:shd w:fill="auto" w:val="clear"/>
          </w:tcPr>
          <w:p>
            <w:pPr>
              <w:pStyle w:val="TableContents"/>
              <w:spacing w:before="0" w:after="283"/>
              <w:rPr>
                <w:sz w:val="4"/>
                <w:szCs w:val="4"/>
              </w:rPr>
            </w:pPr>
            <w:r>
              <w:rPr>
                <w:sz w:val="4"/>
                <w:szCs w:val="4"/>
              </w:rPr>
            </w:r>
          </w:p>
        </w:tc>
      </w:tr>
      <w:tr>
        <w:trPr/>
        <w:tc>
          <w:tcPr>
            <w:tcW w:w="60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746"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26, 2023</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27, 2022</w:t>
            </w:r>
          </w:p>
        </w:tc>
      </w:tr>
      <w:tr>
        <w:trPr/>
        <w:tc>
          <w:tcPr>
            <w:tcW w:w="60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36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7"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(1,134)</w:t>
            </w:r>
          </w:p>
        </w:tc>
        <w:tc>
          <w:tcPr>
            <w:tcW w:w="203"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11,283 </w:t>
            </w:r>
          </w:p>
        </w:tc>
        <w:tc>
          <w:tcPr>
            <w:tcW w:w="227"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7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derivatives, net of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5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adjustments for loss on derivatives included in Net income, net of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Impact of terminated interest rate swaps included in Net income, net of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5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3,021 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gain on derivatives, net of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543"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9"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4,275 </w:t>
            </w:r>
          </w:p>
        </w:tc>
        <w:tc>
          <w:tcPr>
            <w:tcW w:w="227"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7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60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income attributable to Bloomin’ Brands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36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(1,134)</w:t>
            </w:r>
          </w:p>
        </w:tc>
        <w:tc>
          <w:tcPr>
            <w:tcW w:w="20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15,558 </w:t>
            </w:r>
          </w:p>
        </w:tc>
        <w:tc>
          <w:tcPr>
            <w:tcW w:w="22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60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7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60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7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60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7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60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7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60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7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60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7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60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7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60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7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60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7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60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7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60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7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60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7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60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7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60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7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60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7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60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7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60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7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9.    Leases</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includes a detail of lease assets and liabilities included on the Company’s Consolidated Balance Sheets as of the periods indicated:</w:t>
      </w:r>
    </w:p>
    <w:tbl>
      <w:tblPr>
        <w:tblW w:w="10205" w:type="dxa"/>
        <w:jc w:val="center"/>
        <w:tblInd w:w="0" w:type="dxa"/>
        <w:tblCellMar>
          <w:top w:w="28" w:type="dxa"/>
          <w:left w:w="28" w:type="dxa"/>
          <w:bottom w:w="28" w:type="dxa"/>
          <w:right w:w="28" w:type="dxa"/>
        </w:tblCellMar>
      </w:tblPr>
      <w:tblGrid>
        <w:gridCol w:w="980"/>
        <w:gridCol w:w="842"/>
        <w:gridCol w:w="844"/>
        <w:gridCol w:w="1278"/>
        <w:gridCol w:w="1278"/>
        <w:gridCol w:w="1281"/>
        <w:gridCol w:w="109"/>
        <w:gridCol w:w="109"/>
        <w:gridCol w:w="109"/>
        <w:gridCol w:w="229"/>
        <w:gridCol w:w="1024"/>
        <w:gridCol w:w="128"/>
        <w:gridCol w:w="109"/>
        <w:gridCol w:w="109"/>
        <w:gridCol w:w="109"/>
        <w:gridCol w:w="266"/>
        <w:gridCol w:w="1186"/>
        <w:gridCol w:w="215"/>
      </w:tblGrid>
      <w:tr>
        <w:trPr/>
        <w:tc>
          <w:tcPr>
            <w:tcW w:w="980"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1278" w:type="dxa"/>
            <w:tcBorders/>
            <w:shd w:fill="auto" w:val="clear"/>
            <w:vAlign w:val="center"/>
          </w:tcPr>
          <w:p>
            <w:pPr>
              <w:pStyle w:val="TableContents"/>
              <w:spacing w:before="0" w:after="283"/>
              <w:rPr>
                <w:sz w:val="4"/>
                <w:szCs w:val="4"/>
              </w:rPr>
            </w:pPr>
            <w:r>
              <w:rPr>
                <w:sz w:val="4"/>
                <w:szCs w:val="4"/>
              </w:rPr>
            </w:r>
          </w:p>
        </w:tc>
        <w:tc>
          <w:tcPr>
            <w:tcW w:w="1278" w:type="dxa"/>
            <w:tcBorders/>
            <w:shd w:fill="auto" w:val="clear"/>
            <w:vAlign w:val="center"/>
          </w:tcPr>
          <w:p>
            <w:pPr>
              <w:pStyle w:val="TableContents"/>
              <w:spacing w:before="0" w:after="283"/>
              <w:rPr>
                <w:sz w:val="4"/>
                <w:szCs w:val="4"/>
              </w:rPr>
            </w:pPr>
            <w:r>
              <w:rPr>
                <w:sz w:val="4"/>
                <w:szCs w:val="4"/>
              </w:rPr>
            </w:r>
          </w:p>
        </w:tc>
        <w:tc>
          <w:tcPr>
            <w:tcW w:w="12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r>
      <w:tr>
        <w:trPr/>
        <w:tc>
          <w:tcPr>
            <w:tcW w:w="26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8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 BALANCE SHEET CLASSIFICATION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26,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25, 2022</w:t>
            </w:r>
          </w:p>
        </w:tc>
      </w:tr>
      <w:tr>
        <w:trPr/>
        <w:tc>
          <w:tcPr>
            <w:tcW w:w="26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3837" w:type="dxa"/>
            <w:gridSpan w:val="3"/>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4"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1,091,943 </w:t>
            </w:r>
          </w:p>
        </w:tc>
        <w:tc>
          <w:tcPr>
            <w:tcW w:w="128"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1,103,083 </w:t>
            </w:r>
          </w:p>
        </w:tc>
        <w:tc>
          <w:tcPr>
            <w:tcW w:w="215"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right-of-use assets (1)</w:t>
            </w:r>
          </w:p>
        </w:tc>
        <w:tc>
          <w:tcPr>
            <w:tcW w:w="38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fixtures and equipment,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8,909 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4,679 </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assets, net</w:t>
            </w:r>
          </w:p>
        </w:tc>
        <w:tc>
          <w:tcPr>
            <w:tcW w:w="38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4"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1,100,852 </w:t>
            </w:r>
          </w:p>
        </w:tc>
        <w:tc>
          <w:tcPr>
            <w:tcW w:w="128"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1,107,762 </w:t>
            </w:r>
          </w:p>
        </w:tc>
        <w:tc>
          <w:tcPr>
            <w:tcW w:w="215"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operating lease liabilities (2)</w:t>
            </w:r>
          </w:p>
        </w:tc>
        <w:tc>
          <w:tcPr>
            <w:tcW w:w="38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and other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182,782 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183,510 </w:t>
            </w:r>
          </w:p>
        </w:tc>
        <w:tc>
          <w:tcPr>
            <w:tcW w:w="2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finance lease liabilities</w:t>
            </w:r>
          </w:p>
        </w:tc>
        <w:tc>
          <w:tcPr>
            <w:tcW w:w="38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2,267 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1,636 </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operating lease liabilities (2)</w:t>
            </w:r>
          </w:p>
        </w:tc>
        <w:tc>
          <w:tcPr>
            <w:tcW w:w="38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1,136,493 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1,148,379 </w:t>
            </w:r>
          </w:p>
        </w:tc>
        <w:tc>
          <w:tcPr>
            <w:tcW w:w="2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finance lease liabilities</w:t>
            </w:r>
          </w:p>
        </w:tc>
        <w:tc>
          <w:tcPr>
            <w:tcW w:w="38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6,847 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3,149 </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liabilities</w:t>
            </w:r>
          </w:p>
        </w:tc>
        <w:tc>
          <w:tcPr>
            <w:tcW w:w="38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1,328,389 </w:t>
            </w:r>
          </w:p>
        </w:tc>
        <w:tc>
          <w:tcPr>
            <w:tcW w:w="12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1,336,674 </w:t>
            </w:r>
          </w:p>
        </w:tc>
        <w:tc>
          <w:tcPr>
            <w:tcW w:w="21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(1)Net of accumulated amortization of $3.0 million and $3.6 million as of March 26, 2023 and December 25, 2022, respectively. </w:t>
      </w:r>
    </w:p>
    <w:p>
      <w:pPr>
        <w:pStyle w:val="TextBody"/>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(2)Excludes current accrued contingent percentage rent of $3.4 million as of March 26, 2023 and December 25, 2022 and immaterial current and non-current COVID-19-related deferred rent accruals.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754225e3f1024615994983297e2dce8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Following is a summary of expenses and income related to leases recognized in the Company’s Consolidated Statements of Operations and Comprehensive Income for the periods indicated:</w:t>
      </w:r>
    </w:p>
    <w:tbl>
      <w:tblPr>
        <w:tblW w:w="10205" w:type="dxa"/>
        <w:jc w:val="center"/>
        <w:tblInd w:w="0" w:type="dxa"/>
        <w:tblCellMar>
          <w:top w:w="28" w:type="dxa"/>
          <w:left w:w="28" w:type="dxa"/>
          <w:bottom w:w="28" w:type="dxa"/>
          <w:right w:w="28" w:type="dxa"/>
        </w:tblCellMar>
      </w:tblPr>
      <w:tblGrid>
        <w:gridCol w:w="651"/>
        <w:gridCol w:w="480"/>
        <w:gridCol w:w="481"/>
        <w:gridCol w:w="1599"/>
        <w:gridCol w:w="1599"/>
        <w:gridCol w:w="1602"/>
        <w:gridCol w:w="109"/>
        <w:gridCol w:w="109"/>
        <w:gridCol w:w="109"/>
        <w:gridCol w:w="109"/>
        <w:gridCol w:w="109"/>
        <w:gridCol w:w="157"/>
        <w:gridCol w:w="157"/>
        <w:gridCol w:w="282"/>
        <w:gridCol w:w="932"/>
        <w:gridCol w:w="157"/>
        <w:gridCol w:w="109"/>
        <w:gridCol w:w="109"/>
        <w:gridCol w:w="109"/>
        <w:gridCol w:w="241"/>
        <w:gridCol w:w="797"/>
        <w:gridCol w:w="198"/>
      </w:tblGrid>
      <w:tr>
        <w:trPr/>
        <w:tc>
          <w:tcPr>
            <w:tcW w:w="651"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99" w:type="dxa"/>
            <w:tcBorders/>
            <w:shd w:fill="auto" w:val="clear"/>
            <w:vAlign w:val="center"/>
          </w:tcPr>
          <w:p>
            <w:pPr>
              <w:pStyle w:val="TableContents"/>
              <w:spacing w:before="0" w:after="283"/>
              <w:rPr>
                <w:sz w:val="4"/>
                <w:szCs w:val="4"/>
              </w:rPr>
            </w:pPr>
            <w:r>
              <w:rPr>
                <w:sz w:val="4"/>
                <w:szCs w:val="4"/>
              </w:rPr>
            </w:r>
          </w:p>
        </w:tc>
        <w:tc>
          <w:tcPr>
            <w:tcW w:w="1599" w:type="dxa"/>
            <w:tcBorders/>
            <w:shd w:fill="auto" w:val="clear"/>
            <w:vAlign w:val="center"/>
          </w:tcPr>
          <w:p>
            <w:pPr>
              <w:pStyle w:val="TableContents"/>
              <w:spacing w:before="0" w:after="283"/>
              <w:rPr>
                <w:sz w:val="4"/>
                <w:szCs w:val="4"/>
              </w:rPr>
            </w:pPr>
            <w:r>
              <w:rPr>
                <w:sz w:val="4"/>
                <w:szCs w:val="4"/>
              </w:rPr>
            </w:r>
          </w:p>
        </w:tc>
        <w:tc>
          <w:tcPr>
            <w:tcW w:w="16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r>
      <w:tr>
        <w:trPr/>
        <w:tc>
          <w:tcPr>
            <w:tcW w:w="16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 STATEMENTS OF OPERATIONS AND COMPREHENSIVE INCOME CLASSIFICATION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5"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1563" w:type="dxa"/>
            <w:gridSpan w:val="6"/>
            <w:tcBorders/>
            <w:shd w:fill="auto" w:val="clear"/>
          </w:tcPr>
          <w:p>
            <w:pPr>
              <w:pStyle w:val="TableContents"/>
              <w:spacing w:before="0" w:after="283"/>
              <w:rPr>
                <w:sz w:val="4"/>
                <w:szCs w:val="4"/>
              </w:rPr>
            </w:pPr>
            <w:r>
              <w:rPr>
                <w:sz w:val="4"/>
                <w:szCs w:val="4"/>
              </w:rPr>
            </w:r>
          </w:p>
        </w:tc>
      </w:tr>
      <w:tr>
        <w:trPr/>
        <w:tc>
          <w:tcPr>
            <w:tcW w:w="16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480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371"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26, 2023</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27, 2022</w:t>
            </w:r>
          </w:p>
        </w:tc>
      </w:tr>
      <w:tr>
        <w:trPr/>
        <w:tc>
          <w:tcPr>
            <w:tcW w:w="16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leases (1)</w:t>
            </w:r>
          </w:p>
        </w:tc>
        <w:tc>
          <w:tcPr>
            <w:tcW w:w="4800" w:type="dxa"/>
            <w:gridSpan w:val="3"/>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restaurant operating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82"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2"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45,747 </w:t>
            </w:r>
          </w:p>
        </w:tc>
        <w:tc>
          <w:tcPr>
            <w:tcW w:w="157"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45,361 </w:t>
            </w:r>
          </w:p>
        </w:tc>
        <w:tc>
          <w:tcPr>
            <w:tcW w:w="198"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Variable lease cost</w:t>
            </w:r>
          </w:p>
        </w:tc>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restaurant operating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1,724 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1,883 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leases:</w:t>
            </w:r>
          </w:p>
        </w:tc>
        <w:tc>
          <w:tcPr>
            <w:tcW w:w="48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leased assets</w:t>
            </w:r>
          </w:p>
        </w:tc>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on lease liabilities</w:t>
            </w:r>
          </w:p>
        </w:tc>
        <w:tc>
          <w:tcPr>
            <w:tcW w:w="48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Sublease revenue</w:t>
            </w:r>
          </w:p>
        </w:tc>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and other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(1,708)</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(2,558)</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costs, net</w:t>
            </w:r>
          </w:p>
        </w:tc>
        <w:tc>
          <w:tcPr>
            <w:tcW w:w="48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8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46,387 </w:t>
            </w:r>
          </w:p>
        </w:tc>
        <w:tc>
          <w:tcPr>
            <w:tcW w:w="15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45,055 </w:t>
            </w:r>
          </w:p>
        </w:tc>
        <w:tc>
          <w:tcPr>
            <w:tcW w:w="19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(1)Excludes rent expense for office facilities and Company-owned closed or subleased properties of $3.0 million for both the thirteen weeks ended March 26, 2023 and March 27, 2022, which is included in General and administrative expense.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is a summary of cash flow impacts to the Company’s Consolidated Financial Statements related to its leases for the periods indicated:</w:t>
      </w:r>
    </w:p>
    <w:tbl>
      <w:tblPr>
        <w:tblW w:w="8966" w:type="dxa"/>
        <w:jc w:val="center"/>
        <w:tblInd w:w="0" w:type="dxa"/>
        <w:tblCellMar>
          <w:top w:w="28" w:type="dxa"/>
          <w:left w:w="28" w:type="dxa"/>
          <w:bottom w:w="28" w:type="dxa"/>
          <w:right w:w="28" w:type="dxa"/>
        </w:tblCellMar>
      </w:tblPr>
      <w:tblGrid>
        <w:gridCol w:w="2077"/>
        <w:gridCol w:w="1831"/>
        <w:gridCol w:w="1837"/>
        <w:gridCol w:w="293"/>
        <w:gridCol w:w="968"/>
        <w:gridCol w:w="163"/>
        <w:gridCol w:w="109"/>
        <w:gridCol w:w="109"/>
        <w:gridCol w:w="109"/>
        <w:gridCol w:w="289"/>
        <w:gridCol w:w="954"/>
        <w:gridCol w:w="227"/>
      </w:tblGrid>
      <w:tr>
        <w:trPr/>
        <w:tc>
          <w:tcPr>
            <w:tcW w:w="2077" w:type="dxa"/>
            <w:tcBorders/>
            <w:shd w:fill="auto" w:val="clear"/>
            <w:vAlign w:val="center"/>
          </w:tcPr>
          <w:p>
            <w:pPr>
              <w:pStyle w:val="TableContents"/>
              <w:spacing w:before="0" w:after="283"/>
              <w:rPr>
                <w:sz w:val="4"/>
                <w:szCs w:val="4"/>
              </w:rPr>
            </w:pPr>
            <w:r>
              <w:rPr>
                <w:sz w:val="4"/>
                <w:szCs w:val="4"/>
              </w:rPr>
            </w:r>
          </w:p>
        </w:tc>
        <w:tc>
          <w:tcPr>
            <w:tcW w:w="1831" w:type="dxa"/>
            <w:tcBorders/>
            <w:shd w:fill="auto" w:val="clear"/>
            <w:vAlign w:val="center"/>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r>
      <w:tr>
        <w:trPr/>
        <w:tc>
          <w:tcPr>
            <w:tcW w:w="57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424"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26, 2023</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27, 2022</w:t>
            </w:r>
          </w:p>
        </w:tc>
      </w:tr>
      <w:tr>
        <w:trPr/>
        <w:tc>
          <w:tcPr>
            <w:tcW w:w="5745"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424"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amounts included in the measurement of operating lease liabilities</w:t>
            </w:r>
          </w:p>
        </w:tc>
        <w:tc>
          <w:tcPr>
            <w:tcW w:w="29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48,620 </w:t>
            </w:r>
          </w:p>
        </w:tc>
        <w:tc>
          <w:tcPr>
            <w:tcW w:w="1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48,560 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10.    Fair Value Measurements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Fair value is the price that would be received for an asset or paid to transfer a liability, or the exit price, in an orderly transaction between market participants on the measurement date. Fair value is categorized into one of the following three levels based on the lowest level of significant input:</w:t>
      </w:r>
    </w:p>
    <w:tbl>
      <w:tblPr>
        <w:tblW w:w="7675" w:type="dxa"/>
        <w:jc w:val="center"/>
        <w:tblInd w:w="0" w:type="dxa"/>
        <w:tblCellMar>
          <w:top w:w="28" w:type="dxa"/>
          <w:left w:w="28" w:type="dxa"/>
          <w:bottom w:w="28" w:type="dxa"/>
          <w:right w:w="28" w:type="dxa"/>
        </w:tblCellMar>
      </w:tblPr>
      <w:tblGrid>
        <w:gridCol w:w="234"/>
        <w:gridCol w:w="205"/>
        <w:gridCol w:w="205"/>
        <w:gridCol w:w="109"/>
        <w:gridCol w:w="109"/>
        <w:gridCol w:w="109"/>
        <w:gridCol w:w="1964"/>
        <w:gridCol w:w="1964"/>
        <w:gridCol w:w="2776"/>
      </w:tblGrid>
      <w:tr>
        <w:trPr/>
        <w:tc>
          <w:tcPr>
            <w:tcW w:w="234"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4" w:type="dxa"/>
            <w:tcBorders/>
            <w:shd w:fill="auto" w:val="clear"/>
            <w:vAlign w:val="center"/>
          </w:tcPr>
          <w:p>
            <w:pPr>
              <w:pStyle w:val="TableContents"/>
              <w:spacing w:before="0" w:after="283"/>
              <w:rPr>
                <w:sz w:val="4"/>
                <w:szCs w:val="4"/>
              </w:rPr>
            </w:pPr>
            <w:r>
              <w:rPr>
                <w:sz w:val="4"/>
                <w:szCs w:val="4"/>
              </w:rPr>
            </w:r>
          </w:p>
        </w:tc>
        <w:tc>
          <w:tcPr>
            <w:tcW w:w="1964" w:type="dxa"/>
            <w:tcBorders/>
            <w:shd w:fill="auto" w:val="clear"/>
            <w:vAlign w:val="center"/>
          </w:tcPr>
          <w:p>
            <w:pPr>
              <w:pStyle w:val="TableContents"/>
              <w:spacing w:before="0" w:after="283"/>
              <w:rPr>
                <w:sz w:val="4"/>
                <w:szCs w:val="4"/>
              </w:rPr>
            </w:pPr>
            <w:r>
              <w:rPr>
                <w:sz w:val="4"/>
                <w:szCs w:val="4"/>
              </w:rPr>
            </w:r>
          </w:p>
        </w:tc>
        <w:tc>
          <w:tcPr>
            <w:tcW w:w="2776" w:type="dxa"/>
            <w:tcBorders/>
            <w:shd w:fill="auto" w:val="clear"/>
            <w:vAlign w:val="center"/>
          </w:tcPr>
          <w:p>
            <w:pPr>
              <w:pStyle w:val="TableContents"/>
              <w:spacing w:before="0" w:after="283"/>
              <w:rPr>
                <w:sz w:val="4"/>
                <w:szCs w:val="4"/>
              </w:rPr>
            </w:pPr>
            <w:r>
              <w:rPr>
                <w:sz w:val="4"/>
                <w:szCs w:val="4"/>
              </w:rPr>
            </w:r>
          </w:p>
        </w:tc>
      </w:tr>
      <w:tr>
        <w:trPr/>
        <w:tc>
          <w:tcPr>
            <w:tcW w:w="64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Level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Unadjusted quoted market prices in active markets for identical assets or liabilities</w:t>
            </w:r>
          </w:p>
        </w:tc>
      </w:tr>
      <w:tr>
        <w:trPr/>
        <w:tc>
          <w:tcPr>
            <w:tcW w:w="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Observable inputs available at measurement date other than quoted prices included in Level 1</w:t>
            </w:r>
          </w:p>
        </w:tc>
      </w:tr>
      <w:tr>
        <w:trPr/>
        <w:tc>
          <w:tcPr>
            <w:tcW w:w="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Level 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Unobservable inputs that cannot be corroborated by observable market data</w:t>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val="false"/>
          <w:i/>
          <w:color w:val="000000"/>
          <w:sz w:val="22"/>
        </w:rPr>
        <w:t xml:space="preserve">Fair Value Measurements on a Recurring Basis - </w:t>
      </w:r>
      <w:r>
        <w:rPr>
          <w:rFonts w:ascii="Times New Roman;sans-serif" w:hAnsi="Times New Roman;sans-serif"/>
          <w:b w:val="false"/>
          <w:color w:val="000000"/>
          <w:sz w:val="22"/>
        </w:rPr>
        <w:t>The following table summarizes the Company’s financial assets measured at fair value by hierarchy level on a recurring basis as of the periods indicated:</w:t>
      </w:r>
    </w:p>
    <w:tbl>
      <w:tblPr>
        <w:tblW w:w="9245" w:type="dxa"/>
        <w:jc w:val="left"/>
        <w:tblInd w:w="0" w:type="dxa"/>
        <w:tblCellMar>
          <w:top w:w="28" w:type="dxa"/>
          <w:left w:w="28" w:type="dxa"/>
          <w:bottom w:w="28" w:type="dxa"/>
          <w:right w:w="28" w:type="dxa"/>
        </w:tblCellMar>
      </w:tblPr>
      <w:tblGrid>
        <w:gridCol w:w="1198"/>
        <w:gridCol w:w="1056"/>
        <w:gridCol w:w="1060"/>
        <w:gridCol w:w="196"/>
        <w:gridCol w:w="646"/>
        <w:gridCol w:w="109"/>
        <w:gridCol w:w="109"/>
        <w:gridCol w:w="109"/>
        <w:gridCol w:w="109"/>
        <w:gridCol w:w="196"/>
        <w:gridCol w:w="646"/>
        <w:gridCol w:w="109"/>
        <w:gridCol w:w="109"/>
        <w:gridCol w:w="109"/>
        <w:gridCol w:w="109"/>
        <w:gridCol w:w="143"/>
        <w:gridCol w:w="143"/>
        <w:gridCol w:w="143"/>
        <w:gridCol w:w="143"/>
        <w:gridCol w:w="258"/>
        <w:gridCol w:w="733"/>
        <w:gridCol w:w="143"/>
        <w:gridCol w:w="109"/>
        <w:gridCol w:w="109"/>
        <w:gridCol w:w="109"/>
        <w:gridCol w:w="196"/>
        <w:gridCol w:w="556"/>
        <w:gridCol w:w="109"/>
        <w:gridCol w:w="109"/>
        <w:gridCol w:w="109"/>
        <w:gridCol w:w="109"/>
        <w:gridCol w:w="154"/>
      </w:tblGrid>
      <w:tr>
        <w:trPr/>
        <w:tc>
          <w:tcPr>
            <w:tcW w:w="1198"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26, 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6"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25, 2022</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3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951" w:type="dxa"/>
            <w:gridSpan w:val="3"/>
            <w:tcBorders>
              <w:top w:val="single" w:sz="16" w:space="0" w:color="000000"/>
              <w:bottom w:val="single" w:sz="16"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16" w:space="0" w:color="000000"/>
              <w:bottom w:val="single" w:sz="16"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4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top w:val="single" w:sz="16" w:space="0" w:color="000000"/>
              <w:bottom w:val="single" w:sz="16"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16" w:space="0" w:color="000000"/>
              <w:bottom w:val="single" w:sz="16"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 (1):</w:t>
            </w:r>
          </w:p>
        </w:tc>
        <w:tc>
          <w:tcPr>
            <w:tcW w:w="951"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equivalents:</w:t>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income funds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3,301 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4,786 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4"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429"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4"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429"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4"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429"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4"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429"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4"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429"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4"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429"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4"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429"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 recurring fair value measurements</w:t>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12,488 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12,488 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8,087 </w:t>
            </w:r>
          </w:p>
        </w:tc>
        <w:tc>
          <w:tcPr>
            <w:tcW w:w="14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8,087 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4"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429"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4"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429"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4"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429"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4"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429"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4"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429"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4"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429"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4"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429"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4"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429"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4"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429"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4"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429"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4"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429"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4"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429"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4"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429"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4"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429"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4"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429"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4"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429"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4"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429"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4"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429"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4"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429"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4"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429"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(1)Carrying value approximates fair value because maturities are less than three months.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val="false"/>
          <w:i/>
          <w:color w:val="000000"/>
          <w:sz w:val="22"/>
        </w:rPr>
        <w:t xml:space="preserve">Interim Disclosures about Fair Value of Financial Instruments - </w:t>
      </w:r>
      <w:r>
        <w:rPr>
          <w:rFonts w:ascii="Times New Roman;sans-serif" w:hAnsi="Times New Roman;sans-serif"/>
          <w:b w:val="false"/>
          <w:color w:val="000000"/>
          <w:sz w:val="22"/>
        </w:rPr>
        <w:t>The Company’s financial instruments consist of cash equivalents, accounts receivable, accounts payable and current and long-term debt. The fair values of cash equivalents, accounts receivable and accounts payable approximate their carrying amounts reported on its Consolidated Balance Sheets due to their short duration.</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754225e3f1024615994983297e2dce8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Debt is carried at amortized cost; however, the Company estimates the fair value of debt for disclosure purposes. The following table includes the carrying value and fair value of the Company’s debt by hierarchy level as of the periods indicated:</w:t>
      </w:r>
    </w:p>
    <w:tbl>
      <w:tblPr>
        <w:tblW w:w="10205" w:type="dxa"/>
        <w:jc w:val="left"/>
        <w:tblInd w:w="0" w:type="dxa"/>
        <w:tblCellMar>
          <w:top w:w="28" w:type="dxa"/>
          <w:left w:w="28" w:type="dxa"/>
          <w:bottom w:w="28" w:type="dxa"/>
          <w:right w:w="28" w:type="dxa"/>
        </w:tblCellMar>
      </w:tblPr>
      <w:tblGrid>
        <w:gridCol w:w="858"/>
        <w:gridCol w:w="728"/>
        <w:gridCol w:w="731"/>
        <w:gridCol w:w="248"/>
        <w:gridCol w:w="933"/>
        <w:gridCol w:w="138"/>
        <w:gridCol w:w="109"/>
        <w:gridCol w:w="109"/>
        <w:gridCol w:w="109"/>
        <w:gridCol w:w="267"/>
        <w:gridCol w:w="1003"/>
        <w:gridCol w:w="148"/>
        <w:gridCol w:w="109"/>
        <w:gridCol w:w="1310"/>
        <w:gridCol w:w="116"/>
        <w:gridCol w:w="116"/>
        <w:gridCol w:w="116"/>
        <w:gridCol w:w="267"/>
        <w:gridCol w:w="1003"/>
        <w:gridCol w:w="148"/>
        <w:gridCol w:w="109"/>
        <w:gridCol w:w="109"/>
        <w:gridCol w:w="109"/>
        <w:gridCol w:w="196"/>
        <w:gridCol w:w="736"/>
        <w:gridCol w:w="109"/>
        <w:gridCol w:w="109"/>
        <w:gridCol w:w="162"/>
      </w:tblGrid>
      <w:tr>
        <w:trPr/>
        <w:tc>
          <w:tcPr>
            <w:tcW w:w="858"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0"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3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4" w:type="dxa"/>
            <w:gridSpan w:val="9"/>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26, 2023</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6" w:type="dxa"/>
            <w:gridSpan w:val="7"/>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25, 2022</w:t>
            </w:r>
          </w:p>
        </w:tc>
        <w:tc>
          <w:tcPr>
            <w:tcW w:w="1639" w:type="dxa"/>
            <w:gridSpan w:val="8"/>
            <w:tcBorders/>
            <w:shd w:fill="auto" w:val="clear"/>
          </w:tcPr>
          <w:p>
            <w:pPr>
              <w:pStyle w:val="TableContents"/>
              <w:spacing w:before="0" w:after="283"/>
              <w:rPr>
                <w:sz w:val="4"/>
                <w:szCs w:val="4"/>
              </w:rPr>
            </w:pPr>
            <w:r>
              <w:rPr>
                <w:sz w:val="4"/>
                <w:szCs w:val="4"/>
              </w:rPr>
            </w:r>
          </w:p>
        </w:tc>
      </w:tr>
      <w:tr>
        <w:trPr/>
        <w:tc>
          <w:tcPr>
            <w:tcW w:w="23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vMerge w:val="restart"/>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8" w:type="dxa"/>
            <w:gridSpan w:val="3"/>
            <w:vMerge w:val="restart"/>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LEVEL 2</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0" w:type="dxa"/>
            <w:vMerge w:val="restart"/>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48"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8" w:type="dxa"/>
            <w:gridSpan w:val="3"/>
            <w:vMerge w:val="restart"/>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LEVEL 2</w:t>
            </w:r>
          </w:p>
        </w:tc>
        <w:tc>
          <w:tcPr>
            <w:tcW w:w="1639" w:type="dxa"/>
            <w:gridSpan w:val="8"/>
            <w:tcBorders/>
            <w:shd w:fill="auto" w:val="clear"/>
          </w:tcPr>
          <w:p>
            <w:pPr>
              <w:pStyle w:val="TableContents"/>
              <w:spacing w:before="0" w:after="283"/>
              <w:rPr>
                <w:sz w:val="4"/>
                <w:szCs w:val="4"/>
              </w:rPr>
            </w:pPr>
            <w:r>
              <w:rPr>
                <w:sz w:val="4"/>
                <w:szCs w:val="4"/>
              </w:rPr>
            </w:r>
          </w:p>
        </w:tc>
      </w:tr>
      <w:tr>
        <w:trPr/>
        <w:tc>
          <w:tcPr>
            <w:tcW w:w="23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319" w:type="dxa"/>
            <w:gridSpan w:val="3"/>
            <w:vMerge w:val="continue"/>
            <w:tcBorders>
              <w:top w:val="single" w:sz="16"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8" w:type="dxa"/>
            <w:gridSpan w:val="3"/>
            <w:vMerge w:val="continue"/>
            <w:tcBorders>
              <w:top w:val="single" w:sz="16" w:space="0" w:color="000000"/>
            </w:tcBorders>
            <w:shd w:fill="auto" w:val="clear"/>
            <w:tcMar>
              <w:top w:w="30" w:type="dxa"/>
              <w:left w:w="0" w:type="dxa"/>
              <w:bottom w:w="0" w:type="dxa"/>
              <w:right w:w="0" w:type="dxa"/>
            </w:tcMar>
            <w:vAlign w:val="center"/>
          </w:tcPr>
          <w:p>
            <w:pPr>
              <w:pStyle w:val="Normal"/>
              <w:rPr/>
            </w:pPr>
            <w:r>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0" w:type="dxa"/>
            <w:vMerge w:val="continue"/>
            <w:tcBorders>
              <w:top w:val="single" w:sz="16" w:space="0" w:color="000000"/>
            </w:tcBorders>
            <w:shd w:fill="auto" w:val="clear"/>
            <w:tcMar>
              <w:top w:w="30" w:type="dxa"/>
              <w:left w:w="0" w:type="dxa"/>
              <w:bottom w:w="0" w:type="dxa"/>
              <w:right w:w="0" w:type="dxa"/>
            </w:tcMar>
            <w:vAlign w:val="center"/>
          </w:tcPr>
          <w:p>
            <w:pPr>
              <w:pStyle w:val="Normal"/>
              <w:rPr/>
            </w:pPr>
            <w:r>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8" w:type="dxa"/>
            <w:gridSpan w:val="3"/>
            <w:vMerge w:val="continue"/>
            <w:tcBorders>
              <w:top w:val="single" w:sz="16" w:space="0" w:color="000000"/>
            </w:tcBorders>
            <w:shd w:fill="auto" w:val="clear"/>
            <w:tcMar>
              <w:top w:w="30" w:type="dxa"/>
              <w:left w:w="0" w:type="dxa"/>
              <w:bottom w:w="0" w:type="dxa"/>
              <w:right w:w="0" w:type="dxa"/>
            </w:tcMar>
            <w:vAlign w:val="center"/>
          </w:tcPr>
          <w:p>
            <w:pPr>
              <w:pStyle w:val="Normal"/>
              <w:rPr/>
            </w:pPr>
            <w:r>
              <w:rPr/>
            </w:r>
          </w:p>
        </w:tc>
        <w:tc>
          <w:tcPr>
            <w:tcW w:w="1639" w:type="dxa"/>
            <w:gridSpan w:val="8"/>
            <w:tcBorders/>
            <w:shd w:fill="auto" w:val="clear"/>
          </w:tcPr>
          <w:p>
            <w:pPr>
              <w:pStyle w:val="TableContents"/>
              <w:spacing w:before="0" w:after="283"/>
              <w:rPr>
                <w:sz w:val="4"/>
                <w:szCs w:val="4"/>
              </w:rPr>
            </w:pPr>
            <w:r>
              <w:rPr>
                <w:sz w:val="4"/>
                <w:szCs w:val="4"/>
              </w:rPr>
            </w:r>
          </w:p>
        </w:tc>
      </w:tr>
      <w:tr>
        <w:trPr/>
        <w:tc>
          <w:tcPr>
            <w:tcW w:w="2317" w:type="dxa"/>
            <w:gridSpan w:val="3"/>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0" w:type="dxa"/>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4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317" w:type="dxa"/>
            <w:gridSpan w:val="3"/>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0" w:type="dxa"/>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4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3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 revolving credit facility</w:t>
            </w:r>
          </w:p>
        </w:tc>
        <w:tc>
          <w:tcPr>
            <w:tcW w:w="248"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360,000 </w:t>
            </w:r>
          </w:p>
        </w:tc>
        <w:tc>
          <w:tcPr>
            <w:tcW w:w="138"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3"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360,000 </w:t>
            </w:r>
          </w:p>
        </w:tc>
        <w:tc>
          <w:tcPr>
            <w:tcW w:w="148"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0" w:type="dxa"/>
            <w:tcBorders/>
            <w:shd w:fill="auto" w:val="cle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3"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430,000 </w:t>
            </w:r>
          </w:p>
        </w:tc>
        <w:tc>
          <w:tcPr>
            <w:tcW w:w="148"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430,000 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317" w:type="dxa"/>
            <w:gridSpan w:val="3"/>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0" w:type="dxa"/>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4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317" w:type="dxa"/>
            <w:gridSpan w:val="3"/>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0" w:type="dxa"/>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4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317" w:type="dxa"/>
            <w:gridSpan w:val="3"/>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0" w:type="dxa"/>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4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3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 Notes</w:t>
            </w:r>
          </w:p>
        </w:tc>
        <w:tc>
          <w:tcPr>
            <w:tcW w:w="2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105,000 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233,054 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0" w:type="dxa"/>
            <w:tcBorders/>
            <w:shd w:fill="auto" w:val="cle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105,000 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198,843 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3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2029 Notes</w:t>
            </w:r>
          </w:p>
        </w:tc>
        <w:tc>
          <w:tcPr>
            <w:tcW w:w="2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268,212 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0" w:type="dxa"/>
            <w:tcBorders/>
            <w:shd w:fill="auto" w:val="cle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260,265 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bl>
    <w:p>
      <w:pPr>
        <w:pStyle w:val="TextBody"/>
        <w:spacing w:before="10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11.    Income Taxes </w:t>
      </w:r>
    </w:p>
    <w:tbl>
      <w:tblPr>
        <w:tblW w:w="7309" w:type="dxa"/>
        <w:jc w:val="center"/>
        <w:tblInd w:w="0" w:type="dxa"/>
        <w:tblCellMar>
          <w:top w:w="28" w:type="dxa"/>
          <w:left w:w="28" w:type="dxa"/>
          <w:bottom w:w="28" w:type="dxa"/>
          <w:right w:w="28" w:type="dxa"/>
        </w:tblCellMar>
      </w:tblPr>
      <w:tblGrid>
        <w:gridCol w:w="1112"/>
        <w:gridCol w:w="980"/>
        <w:gridCol w:w="983"/>
        <w:gridCol w:w="109"/>
        <w:gridCol w:w="109"/>
        <w:gridCol w:w="172"/>
        <w:gridCol w:w="172"/>
        <w:gridCol w:w="309"/>
        <w:gridCol w:w="1162"/>
        <w:gridCol w:w="404"/>
        <w:gridCol w:w="109"/>
        <w:gridCol w:w="109"/>
        <w:gridCol w:w="109"/>
        <w:gridCol w:w="252"/>
        <w:gridCol w:w="831"/>
        <w:gridCol w:w="387"/>
      </w:tblGrid>
      <w:tr>
        <w:trPr/>
        <w:tc>
          <w:tcPr>
            <w:tcW w:w="1112"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162"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9"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1797" w:type="dxa"/>
            <w:gridSpan w:val="6"/>
            <w:tcBorders/>
            <w:shd w:fill="auto" w:val="clear"/>
          </w:tcPr>
          <w:p>
            <w:pPr>
              <w:pStyle w:val="TableContents"/>
              <w:spacing w:before="0" w:after="283"/>
              <w:rPr>
                <w:sz w:val="4"/>
                <w:szCs w:val="4"/>
              </w:rPr>
            </w:pPr>
            <w:r>
              <w:rPr>
                <w:sz w:val="4"/>
                <w:szCs w:val="4"/>
              </w:rPr>
            </w:r>
          </w:p>
        </w:tc>
      </w:tr>
      <w:tr>
        <w:trPr/>
        <w:tc>
          <w:tcPr>
            <w:tcW w:w="30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87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26, 2023</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27, 2022</w:t>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provision for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309"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2"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108,189 </w:t>
            </w:r>
          </w:p>
        </w:tc>
        <w:tc>
          <w:tcPr>
            <w:tcW w:w="404"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1"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93,623 </w:t>
            </w:r>
          </w:p>
        </w:tc>
        <w:tc>
          <w:tcPr>
            <w:tcW w:w="387"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14,761 </w:t>
            </w:r>
          </w:p>
        </w:tc>
        <w:tc>
          <w:tcPr>
            <w:tcW w:w="4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15,929 </w:t>
            </w:r>
          </w:p>
        </w:tc>
        <w:tc>
          <w:tcPr>
            <w:tcW w:w="3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Effective income tax rate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4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3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effective income tax rate for the thirteen weeks ended March 26, 2023 decreased by 3.4 percentage points as compared to the thirteen weeks ended March 27, 2022. This decrease was primarily due to the benefits of Brazil tax legislation that include a temporary reduction in the Brazilian income tax rate from 34% to 0% applicable to the thirteen weeks ended March 26, 2023.</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September 2022, the Company’s Brazilian subsidiary received a preliminary injunction authorizing it to benefit from the exemptions enacted by Law 14,148/2021 which provides for emergency and temporary actions that would grant certain industries a 100% exemption from income tax (IRPJ and CSLL) and federal value added taxes (PIS and COFINS) for a five-year period. The injunction was issued as part of an ongoing lawsuit initiated by the Company’s Brazilian subsidiary due to the uncertainty regarding the restaurant industry’s eligibility for the exemptions under this legislation. The Company will continue to evaluate and assess the exemptions, the status of its preliminary injunction and all other available evidence to determine the exemption status with respect to this subsidiary in future periods.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 restaurant company employer may claim a credit against its federal income taxes for FICA taxes paid on certain tipped wages (the “FICA tax credit”). The level of FICA tax credits is primarily driven by U.S. Restaurant sales and is not impacted by costs incurred that may reduce pre-tax income.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effective income tax rate for the thirteen weeks ended March 26, 2023 was lower than the Company’s blended federal and state statutory rate of approximately 26% primarily due to the benefit of FICA tax credits on certain tipped wages and benefits of Brazil tax legislation that include a temporary reduction in the Brazilian income tax rate from 34% to 0%.</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12.    Commitments and Contingencies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2"/>
        </w:rPr>
        <w:t>Litigation and Other Matters</w:t>
      </w:r>
      <w:r>
        <w:rPr>
          <w:color w:val="000000"/>
        </w:rPr>
        <w:t xml:space="preserve"> </w:t>
      </w:r>
      <w:r>
        <w:rPr>
          <w:rFonts w:ascii="Times New Roman;sans-serif" w:hAnsi="Times New Roman;sans-serif"/>
          <w:b w:val="false"/>
          <w:color w:val="000000"/>
          <w:sz w:val="22"/>
        </w:rPr>
        <w:t>- The Company is subject to legal proceedings, claims and liabilities, such as liquor liability, slip and fall cases, wage and hour and other employment-related litigation, which arise in the ordinary course of business. A reserve is recorded when it is both: (i) probable that a loss has occurred and (ii) the amount of loss can be reasonably estimated. There may be instances in which an exposure to loss exceeds the recorded reserve. The Company evaluates, on a quarterly basis, developments in legal proceedings that could cause an increase or decrease in the amount of the reserve that has been previously recorded, or a revision to the disclosed estimated range of possible losses, as applicable.</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754225e3f1024615994983297e2dce8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legal proceedings range from cases brought by a single plaintiff to threatened class actions with many putative class members. While some matters pending against the Company specify the damages claimed by the plaintiff or class, many seek unspecified amounts or are at very early stages of the legal process. Even when the amount of damages claimed against the Company are stated, the claimed amount may be exaggerated, unsupported or unrelated to possible outcomes, and as such, are not meaningful indicators of the Company’s potential liability or financial exposure. As a result, some matters have not yet progressed sufficiently through discovery or development of important factual information and legal issues to enable the Company to estimate an amount of loss or a range of possible loss.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intends to defend itself in legal matters. Some of these matters may be covered, at least in part, by insurance if they exceed specified retention or deductible amounts. However, it is possible that claims may be denied by the Company’s insurance carriers, the Company may be required by its insurance carriers to contribute to the payment of claims, or the Company’s insurance coverage may not continue to be available on acceptable terms or in sufficient amounts. The Company records receivables from third party insurers when recovery has been determined to be probable. The Company believes that the ultimate determination of liability in connection with legal claims pending against the Company, if any, in excess of amounts already provided for such matters in the consolidated financial statements, will not have a material adverse effect on its business, annual results of operations, liquidity or financial position. However, it is possible that the Company’s business, results of operations, liquidity, or financial condition could be materially affected in a particular future reporting period by the unfavorable resolution of one or more matters or contingencies during such period.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recorded reserves of $15.9 million and $15.1 million for certain of its outstanding legal proceedings as of March 26, 2023 and December 25, 2022, respectively, within Accrued and other current liabilities on its Consolidated Balance Sheets. While the Company believes that additional losses beyond these accruals are reasonably possible, it cannot estimate a possible loss contingency or range of reasonably possible loss contingencies beyond these accruals.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2"/>
        </w:rPr>
        <w:t>Lease Guarantees</w:t>
      </w:r>
      <w:r>
        <w:rPr>
          <w:color w:val="000000"/>
        </w:rPr>
        <w:t xml:space="preserve"> </w:t>
      </w:r>
      <w:r>
        <w:rPr>
          <w:rFonts w:ascii="Times New Roman;sans-serif" w:hAnsi="Times New Roman;sans-serif"/>
          <w:b w:val="false"/>
          <w:color w:val="000000"/>
          <w:sz w:val="22"/>
        </w:rPr>
        <w:t>- The Company assigned its interest, and is contingently liable, under certain real estate leases. These leases have varying terms, the latest of which expires in 2032. As of March 26, 2023, the undiscounted payments that the Company could be required to make in the event of non-payment by the primary lessees was approximately $22.7 million. The present value of these potential payments discounted at the Company’s incremental borrowing rate as of March 26, 2023 was approximately $17.2 million. In the event of default, the indemnity clauses in the Company’s purchase and sale agreements generally govern its ability to pursue and recover damages incurred. As of March 26, 2023 and December 25, 2022, the Company’s recorded contingent lease liability was $6.2 million.</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13.    Segment Reporting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is a summary of reporting segments:</w:t>
      </w:r>
    </w:p>
    <w:tbl>
      <w:tblPr>
        <w:tblW w:w="8317" w:type="dxa"/>
        <w:jc w:val="left"/>
        <w:tblInd w:w="0" w:type="dxa"/>
        <w:tblCellMar>
          <w:top w:w="28" w:type="dxa"/>
          <w:left w:w="28" w:type="dxa"/>
          <w:bottom w:w="28" w:type="dxa"/>
          <w:right w:w="28" w:type="dxa"/>
        </w:tblCellMar>
      </w:tblPr>
      <w:tblGrid>
        <w:gridCol w:w="852"/>
        <w:gridCol w:w="750"/>
        <w:gridCol w:w="752"/>
        <w:gridCol w:w="109"/>
        <w:gridCol w:w="109"/>
        <w:gridCol w:w="109"/>
        <w:gridCol w:w="1014"/>
        <w:gridCol w:w="1014"/>
        <w:gridCol w:w="1017"/>
        <w:gridCol w:w="109"/>
        <w:gridCol w:w="109"/>
        <w:gridCol w:w="109"/>
        <w:gridCol w:w="663"/>
        <w:gridCol w:w="663"/>
        <w:gridCol w:w="938"/>
      </w:tblGrid>
      <w:tr>
        <w:trPr/>
        <w:tc>
          <w:tcPr>
            <w:tcW w:w="852"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4" w:type="dxa"/>
            <w:tcBorders/>
            <w:shd w:fill="auto" w:val="clear"/>
            <w:vAlign w:val="center"/>
          </w:tcPr>
          <w:p>
            <w:pPr>
              <w:pStyle w:val="TableContents"/>
              <w:spacing w:before="0" w:after="283"/>
              <w:rPr>
                <w:sz w:val="4"/>
                <w:szCs w:val="4"/>
              </w:rPr>
            </w:pPr>
            <w:r>
              <w:rPr>
                <w:sz w:val="4"/>
                <w:szCs w:val="4"/>
              </w:rPr>
            </w:r>
          </w:p>
        </w:tc>
        <w:tc>
          <w:tcPr>
            <w:tcW w:w="1014"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r>
      <w:tr>
        <w:trPr/>
        <w:tc>
          <w:tcPr>
            <w:tcW w:w="23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REPORTABLE SEGMENT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CONCEPT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GEOGRAPHIC LOCATION</w:t>
            </w:r>
          </w:p>
        </w:tc>
      </w:tr>
      <w:tr>
        <w:trPr/>
        <w:tc>
          <w:tcPr>
            <w:tcW w:w="2354" w:type="dxa"/>
            <w:gridSpan w:val="3"/>
            <w:vMerge w:val="restart"/>
            <w:tcBorders>
              <w:top w:val="single" w:sz="16" w:space="0" w:color="000000"/>
              <w:left w:val="single" w:sz="8" w:space="0" w:color="000000"/>
            </w:tcBorders>
            <w:shd w:fill="CCEEFF"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3045" w:type="dxa"/>
            <w:gridSpan w:val="3"/>
            <w:tcBorders>
              <w:top w:val="single" w:sz="16" w:space="0" w:color="000000"/>
              <w:left w:val="single" w:sz="8" w:space="0" w:color="000000"/>
            </w:tcBorders>
            <w:shd w:fill="CCEEFF"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2264" w:type="dxa"/>
            <w:gridSpan w:val="3"/>
            <w:vMerge w:val="restart"/>
            <w:tcBorders>
              <w:top w:val="single" w:sz="16" w:space="0" w:color="000000"/>
              <w:left w:val="single" w:sz="8" w:space="0" w:color="000000"/>
              <w:right w:val="single" w:sz="8" w:space="0" w:color="000000"/>
            </w:tcBorders>
            <w:shd w:fill="CCEEFF"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United States of America</w:t>
            </w:r>
          </w:p>
        </w:tc>
      </w:tr>
      <w:tr>
        <w:trPr/>
        <w:tc>
          <w:tcPr>
            <w:tcW w:w="2354" w:type="dxa"/>
            <w:gridSpan w:val="3"/>
            <w:vMerge w:val="continue"/>
            <w:tcBorders>
              <w:top w:val="single" w:sz="16" w:space="0" w:color="000000"/>
              <w:left w:val="single" w:sz="8" w:space="0" w:color="000000"/>
            </w:tcBorders>
            <w:shd w:fill="CCEEFF" w:val="clear"/>
            <w:tcMar>
              <w:top w:w="30" w:type="dxa"/>
              <w:bottom w:w="0" w:type="dxa"/>
              <w:right w:w="0" w:type="dxa"/>
            </w:tcMar>
            <w:vAlign w:val="center"/>
          </w:tcPr>
          <w:p>
            <w:pPr>
              <w:pStyle w:val="Normal"/>
              <w:rPr/>
            </w:pPr>
            <w:r>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3045" w:type="dxa"/>
            <w:gridSpan w:val="3"/>
            <w:tcBorders>
              <w:left w:val="single" w:sz="8" w:space="0" w:color="000000"/>
            </w:tcBorders>
            <w:shd w:fill="CCEEFF" w:val="clear"/>
            <w:tcMar>
              <w:top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327" w:type="dxa"/>
            <w:gridSpan w:val="3"/>
            <w:tcBorders>
              <w:left w:val="single" w:sz="8" w:space="0" w:color="000000"/>
              <w:right w:val="single" w:sz="8" w:space="0" w:color="000000"/>
            </w:tcBorders>
            <w:shd w:fill="CCEEFF" w:val="clear"/>
            <w:tcMar>
              <w:top w:w="0" w:type="dxa"/>
              <w:bottom w:w="0" w:type="dxa"/>
            </w:tcMar>
            <w:vAlign w:val="center"/>
          </w:tcPr>
          <w:p>
            <w:pPr>
              <w:pStyle w:val="TableContents"/>
              <w:spacing w:before="0" w:after="283"/>
              <w:rPr>
                <w:sz w:val="4"/>
                <w:szCs w:val="4"/>
              </w:rPr>
            </w:pPr>
            <w:r>
              <w:rPr>
                <w:sz w:val="4"/>
                <w:szCs w:val="4"/>
              </w:rPr>
            </w:r>
          </w:p>
        </w:tc>
        <w:tc>
          <w:tcPr>
            <w:tcW w:w="2264" w:type="dxa"/>
            <w:gridSpan w:val="3"/>
            <w:vMerge w:val="continue"/>
            <w:tcBorders>
              <w:top w:val="single" w:sz="16" w:space="0" w:color="000000"/>
              <w:left w:val="single" w:sz="8" w:space="0" w:color="000000"/>
              <w:right w:val="single" w:sz="8" w:space="0" w:color="000000"/>
            </w:tcBorders>
            <w:shd w:fill="CCEEFF" w:val="clear"/>
            <w:tcMar>
              <w:top w:w="30" w:type="dxa"/>
              <w:bottom w:w="0" w:type="dxa"/>
            </w:tcMar>
            <w:vAlign w:val="center"/>
          </w:tcPr>
          <w:p>
            <w:pPr>
              <w:pStyle w:val="Normal"/>
              <w:rPr/>
            </w:pPr>
            <w:r>
              <w:rPr/>
            </w:r>
          </w:p>
        </w:tc>
      </w:tr>
      <w:tr>
        <w:trPr/>
        <w:tc>
          <w:tcPr>
            <w:tcW w:w="2354" w:type="dxa"/>
            <w:gridSpan w:val="3"/>
            <w:vMerge w:val="continue"/>
            <w:tcBorders>
              <w:top w:val="single" w:sz="16" w:space="0" w:color="000000"/>
              <w:left w:val="single" w:sz="8" w:space="0" w:color="000000"/>
            </w:tcBorders>
            <w:shd w:fill="CCEEFF" w:val="clear"/>
            <w:tcMar>
              <w:top w:w="30" w:type="dxa"/>
              <w:bottom w:w="0" w:type="dxa"/>
              <w:right w:w="0" w:type="dxa"/>
            </w:tcMar>
            <w:vAlign w:val="center"/>
          </w:tcPr>
          <w:p>
            <w:pPr>
              <w:pStyle w:val="Normal"/>
              <w:rPr/>
            </w:pPr>
            <w:r>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3045" w:type="dxa"/>
            <w:gridSpan w:val="3"/>
            <w:tcBorders>
              <w:left w:val="single" w:sz="8" w:space="0" w:color="000000"/>
            </w:tcBorders>
            <w:shd w:fill="CCEEFF" w:val="clear"/>
            <w:tcMar>
              <w:top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327" w:type="dxa"/>
            <w:gridSpan w:val="3"/>
            <w:tcBorders>
              <w:left w:val="single" w:sz="8" w:space="0" w:color="000000"/>
              <w:right w:val="single" w:sz="8" w:space="0" w:color="000000"/>
            </w:tcBorders>
            <w:shd w:fill="CCEEFF" w:val="clear"/>
            <w:tcMar>
              <w:top w:w="0" w:type="dxa"/>
              <w:bottom w:w="0" w:type="dxa"/>
            </w:tcMar>
            <w:vAlign w:val="center"/>
          </w:tcPr>
          <w:p>
            <w:pPr>
              <w:pStyle w:val="TableContents"/>
              <w:spacing w:before="0" w:after="283"/>
              <w:rPr>
                <w:sz w:val="4"/>
                <w:szCs w:val="4"/>
              </w:rPr>
            </w:pPr>
            <w:r>
              <w:rPr>
                <w:sz w:val="4"/>
                <w:szCs w:val="4"/>
              </w:rPr>
            </w:r>
          </w:p>
        </w:tc>
        <w:tc>
          <w:tcPr>
            <w:tcW w:w="2264" w:type="dxa"/>
            <w:gridSpan w:val="3"/>
            <w:vMerge w:val="continue"/>
            <w:tcBorders>
              <w:top w:val="single" w:sz="16" w:space="0" w:color="000000"/>
              <w:left w:val="single" w:sz="8" w:space="0" w:color="000000"/>
              <w:right w:val="single" w:sz="8" w:space="0" w:color="000000"/>
            </w:tcBorders>
            <w:shd w:fill="CCEEFF" w:val="clear"/>
            <w:tcMar>
              <w:top w:w="30" w:type="dxa"/>
              <w:bottom w:w="0" w:type="dxa"/>
            </w:tcMar>
            <w:vAlign w:val="center"/>
          </w:tcPr>
          <w:p>
            <w:pPr>
              <w:pStyle w:val="Normal"/>
              <w:rPr/>
            </w:pPr>
            <w:r>
              <w:rPr/>
            </w:r>
          </w:p>
        </w:tc>
      </w:tr>
      <w:tr>
        <w:trPr/>
        <w:tc>
          <w:tcPr>
            <w:tcW w:w="2354" w:type="dxa"/>
            <w:gridSpan w:val="3"/>
            <w:vMerge w:val="continue"/>
            <w:tcBorders>
              <w:top w:val="single" w:sz="16" w:space="0" w:color="000000"/>
              <w:left w:val="single" w:sz="8" w:space="0" w:color="000000"/>
            </w:tcBorders>
            <w:shd w:fill="CCEEFF" w:val="clear"/>
            <w:tcMar>
              <w:top w:w="30" w:type="dxa"/>
              <w:bottom w:w="0" w:type="dxa"/>
              <w:right w:w="0" w:type="dxa"/>
            </w:tcMar>
            <w:vAlign w:val="center"/>
          </w:tcPr>
          <w:p>
            <w:pPr>
              <w:pStyle w:val="Normal"/>
              <w:rPr/>
            </w:pPr>
            <w:r>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3045" w:type="dxa"/>
            <w:gridSpan w:val="3"/>
            <w:tcBorders>
              <w:left w:val="single" w:sz="8" w:space="0" w:color="000000"/>
            </w:tcBorders>
            <w:shd w:fill="CCEEFF" w:val="clear"/>
            <w:tcMar>
              <w:top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327" w:type="dxa"/>
            <w:gridSpan w:val="3"/>
            <w:tcBorders>
              <w:left w:val="single" w:sz="8" w:space="0" w:color="000000"/>
              <w:right w:val="single" w:sz="8" w:space="0" w:color="000000"/>
            </w:tcBorders>
            <w:shd w:fill="CCEEFF" w:val="clear"/>
            <w:tcMar>
              <w:top w:w="0" w:type="dxa"/>
              <w:bottom w:w="0" w:type="dxa"/>
            </w:tcMar>
            <w:vAlign w:val="center"/>
          </w:tcPr>
          <w:p>
            <w:pPr>
              <w:pStyle w:val="TableContents"/>
              <w:spacing w:before="0" w:after="283"/>
              <w:rPr>
                <w:sz w:val="4"/>
                <w:szCs w:val="4"/>
              </w:rPr>
            </w:pPr>
            <w:r>
              <w:rPr>
                <w:sz w:val="4"/>
                <w:szCs w:val="4"/>
              </w:rPr>
            </w:r>
          </w:p>
        </w:tc>
        <w:tc>
          <w:tcPr>
            <w:tcW w:w="2264" w:type="dxa"/>
            <w:gridSpan w:val="3"/>
            <w:vMerge w:val="continue"/>
            <w:tcBorders>
              <w:top w:val="single" w:sz="16" w:space="0" w:color="000000"/>
              <w:left w:val="single" w:sz="8" w:space="0" w:color="000000"/>
              <w:right w:val="single" w:sz="8" w:space="0" w:color="000000"/>
            </w:tcBorders>
            <w:shd w:fill="CCEEFF" w:val="clear"/>
            <w:tcMar>
              <w:top w:w="30" w:type="dxa"/>
              <w:bottom w:w="0" w:type="dxa"/>
            </w:tcMar>
            <w:vAlign w:val="center"/>
          </w:tcPr>
          <w:p>
            <w:pPr>
              <w:pStyle w:val="Normal"/>
              <w:rPr/>
            </w:pPr>
            <w:r>
              <w:rPr/>
            </w:r>
          </w:p>
        </w:tc>
      </w:tr>
      <w:tr>
        <w:trPr/>
        <w:tc>
          <w:tcPr>
            <w:tcW w:w="2354" w:type="dxa"/>
            <w:gridSpan w:val="3"/>
            <w:vMerge w:val="restart"/>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304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226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Brazil, Hong Kong/China</w:t>
            </w:r>
          </w:p>
        </w:tc>
      </w:tr>
      <w:tr>
        <w:trPr/>
        <w:tc>
          <w:tcPr>
            <w:tcW w:w="2354" w:type="dxa"/>
            <w:gridSpan w:val="3"/>
            <w:vMerge w:val="continue"/>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Normal"/>
              <w:rPr/>
            </w:pPr>
            <w:r>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304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 (Abbraccio)</w:t>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2264"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Brazil</w:t>
            </w:r>
          </w:p>
        </w:tc>
      </w:tr>
    </w:tbl>
    <w:p>
      <w:pPr>
        <w:pStyle w:val="TextBody"/>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w:t>
      </w:r>
    </w:p>
    <w:p>
      <w:pPr>
        <w:pStyle w:val="TextBody"/>
        <w:spacing w:lineRule="auto" w:line="288" w:before="0" w:after="0"/>
        <w:ind w:left="0" w:right="0" w:hanging="720"/>
        <w:rPr>
          <w:rFonts w:ascii="Times New Roman;sans-serif" w:hAnsi="Times New Roman;sans-serif"/>
          <w:b w:val="false"/>
          <w:color w:val="000000"/>
          <w:sz w:val="18"/>
        </w:rPr>
      </w:pPr>
      <w:r>
        <w:rPr>
          <w:rFonts w:ascii="Times New Roman;sans-serif" w:hAnsi="Times New Roman;sans-serif"/>
          <w:b w:val="false"/>
          <w:color w:val="000000"/>
          <w:sz w:val="18"/>
        </w:rPr>
        <w:t>(1)Includes franchise locations.</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754225e3f1024615994983297e2dce8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spacing w:lineRule="auto" w:line="288" w:before="0" w:after="0"/>
        <w:jc w:val="both"/>
        <w:rPr/>
      </w:pPr>
      <w:r>
        <w:rPr>
          <w:rFonts w:ascii="Times New Roman;sans-serif" w:hAnsi="Times New Roman;sans-serif"/>
          <w:b w:val="false"/>
          <w:color w:val="000000"/>
          <w:sz w:val="22"/>
        </w:rPr>
        <w:t xml:space="preserve">Segment accounting policies are the same as those described in Note 2 - </w:t>
      </w:r>
      <w:r>
        <w:rPr>
          <w:rFonts w:ascii="Times New Roman;sans-serif" w:hAnsi="Times New Roman;sans-serif"/>
          <w:b w:val="false"/>
          <w:i/>
          <w:color w:val="000000"/>
          <w:sz w:val="22"/>
        </w:rPr>
        <w:t xml:space="preserve">Summary of Significant Accounting Policies </w:t>
      </w:r>
      <w:r>
        <w:rPr>
          <w:rFonts w:ascii="Times New Roman;sans-serif" w:hAnsi="Times New Roman;sans-serif"/>
          <w:b w:val="false"/>
          <w:color w:val="000000"/>
          <w:sz w:val="22"/>
        </w:rPr>
        <w:t>in the Company’s Annual Report on Form 10-K for the year ended December 25, 2022. Revenues for all segments include only transactions with customers and exclude intersegment revenues. Excluded from Income from operations for U.S. and international are certain legal and corporate costs not directly related to the performance of the segments, most stock-based compensation expenses, certain insurance expenses and certain bonus expenses.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is a summary of Total revenues by segment for the periods indicated:</w:t>
      </w:r>
    </w:p>
    <w:tbl>
      <w:tblPr>
        <w:tblW w:w="5912" w:type="dxa"/>
        <w:jc w:val="center"/>
        <w:tblInd w:w="0" w:type="dxa"/>
        <w:tblCellMar>
          <w:top w:w="28" w:type="dxa"/>
          <w:left w:w="28" w:type="dxa"/>
          <w:bottom w:w="28" w:type="dxa"/>
          <w:right w:w="28" w:type="dxa"/>
        </w:tblCellMar>
      </w:tblPr>
      <w:tblGrid>
        <w:gridCol w:w="607"/>
        <w:gridCol w:w="535"/>
        <w:gridCol w:w="537"/>
        <w:gridCol w:w="109"/>
        <w:gridCol w:w="109"/>
        <w:gridCol w:w="173"/>
        <w:gridCol w:w="173"/>
        <w:gridCol w:w="312"/>
        <w:gridCol w:w="1387"/>
        <w:gridCol w:w="173"/>
        <w:gridCol w:w="109"/>
        <w:gridCol w:w="109"/>
        <w:gridCol w:w="109"/>
        <w:gridCol w:w="236"/>
        <w:gridCol w:w="1049"/>
        <w:gridCol w:w="185"/>
      </w:tblGrid>
      <w:tr>
        <w:trPr/>
        <w:tc>
          <w:tcPr>
            <w:tcW w:w="607"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387"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16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8"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1797" w:type="dxa"/>
            <w:gridSpan w:val="6"/>
            <w:tcBorders/>
            <w:shd w:fill="auto" w:val="clear"/>
          </w:tcPr>
          <w:p>
            <w:pPr>
              <w:pStyle w:val="TableContents"/>
              <w:spacing w:before="0" w:after="283"/>
              <w:rPr>
                <w:sz w:val="4"/>
                <w:szCs w:val="4"/>
              </w:rPr>
            </w:pPr>
            <w:r>
              <w:rPr>
                <w:sz w:val="4"/>
                <w:szCs w:val="4"/>
              </w:rPr>
            </w:r>
          </w:p>
        </w:tc>
      </w:tr>
      <w:tr>
        <w:trPr/>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872"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26, 2023</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27, 2022</w:t>
            </w:r>
          </w:p>
        </w:tc>
      </w:tr>
      <w:tr>
        <w:trPr/>
        <w:tc>
          <w:tcPr>
            <w:tcW w:w="16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872"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1,092,996 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1,036,407 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6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151,750 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104,128 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31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1,244,746 </w:t>
            </w:r>
          </w:p>
        </w:tc>
        <w:tc>
          <w:tcPr>
            <w:tcW w:w="17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1,140,535 </w:t>
            </w:r>
          </w:p>
        </w:tc>
        <w:tc>
          <w:tcPr>
            <w:tcW w:w="18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6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16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16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is a reconciliation of segment income from operations to Income before provision for income taxes for the periods indicated:</w:t>
      </w:r>
    </w:p>
    <w:tbl>
      <w:tblPr>
        <w:tblW w:w="7308" w:type="dxa"/>
        <w:jc w:val="center"/>
        <w:tblInd w:w="0" w:type="dxa"/>
        <w:tblCellMar>
          <w:top w:w="28" w:type="dxa"/>
          <w:left w:w="28" w:type="dxa"/>
          <w:bottom w:w="28" w:type="dxa"/>
          <w:right w:w="28" w:type="dxa"/>
        </w:tblCellMar>
      </w:tblPr>
      <w:tblGrid>
        <w:gridCol w:w="1111"/>
        <w:gridCol w:w="980"/>
        <w:gridCol w:w="984"/>
        <w:gridCol w:w="109"/>
        <w:gridCol w:w="109"/>
        <w:gridCol w:w="192"/>
        <w:gridCol w:w="192"/>
        <w:gridCol w:w="345"/>
        <w:gridCol w:w="1298"/>
        <w:gridCol w:w="192"/>
        <w:gridCol w:w="109"/>
        <w:gridCol w:w="109"/>
        <w:gridCol w:w="109"/>
        <w:gridCol w:w="265"/>
        <w:gridCol w:w="996"/>
        <w:gridCol w:w="208"/>
      </w:tblGrid>
      <w:tr>
        <w:trPr/>
        <w:tc>
          <w:tcPr>
            <w:tcW w:w="1111"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298"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9"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1796" w:type="dxa"/>
            <w:gridSpan w:val="6"/>
            <w:tcBorders/>
            <w:shd w:fill="auto" w:val="clear"/>
          </w:tcPr>
          <w:p>
            <w:pPr>
              <w:pStyle w:val="TableContents"/>
              <w:spacing w:before="0" w:after="283"/>
              <w:rPr>
                <w:sz w:val="4"/>
                <w:szCs w:val="4"/>
              </w:rPr>
            </w:pPr>
            <w:r>
              <w:rPr>
                <w:sz w:val="4"/>
                <w:szCs w:val="4"/>
              </w:rPr>
            </w:r>
          </w:p>
        </w:tc>
      </w:tr>
      <w:tr>
        <w:trPr/>
        <w:tc>
          <w:tcPr>
            <w:tcW w:w="30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83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26, 2023</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27, 2022</w:t>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income from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835"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133,243 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132,226 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6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24,508 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8,884 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segment income from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643"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157,751 </w:t>
            </w:r>
          </w:p>
        </w:tc>
        <w:tc>
          <w:tcPr>
            <w:tcW w:w="192"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141,110 </w:t>
            </w:r>
          </w:p>
        </w:tc>
        <w:tc>
          <w:tcPr>
            <w:tcW w:w="208"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Unallocated corporate operating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6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(37,118)</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(33,854)</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income from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643"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120,633 </w:t>
            </w:r>
          </w:p>
        </w:tc>
        <w:tc>
          <w:tcPr>
            <w:tcW w:w="192"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107,256 </w:t>
            </w:r>
          </w:p>
        </w:tc>
        <w:tc>
          <w:tcPr>
            <w:tcW w:w="208"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8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9" w:type="dxa"/>
            <w:gridSpan w:val="3"/>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8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9" w:type="dxa"/>
            <w:gridSpan w:val="3"/>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8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9" w:type="dxa"/>
            <w:gridSpan w:val="3"/>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6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(12,444)</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(13,633)</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provision for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34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108,189 </w:t>
            </w:r>
          </w:p>
        </w:tc>
        <w:tc>
          <w:tcPr>
            <w:tcW w:w="19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93,623 </w:t>
            </w:r>
          </w:p>
        </w:tc>
        <w:tc>
          <w:tcPr>
            <w:tcW w:w="20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72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is a summary of Depreciation and amortization expense by segment for the periods indicated:</w:t>
      </w:r>
    </w:p>
    <w:tbl>
      <w:tblPr>
        <w:tblW w:w="6830" w:type="dxa"/>
        <w:jc w:val="center"/>
        <w:tblInd w:w="0" w:type="dxa"/>
        <w:tblCellMar>
          <w:top w:w="28" w:type="dxa"/>
          <w:left w:w="28" w:type="dxa"/>
          <w:bottom w:w="28" w:type="dxa"/>
          <w:right w:w="28" w:type="dxa"/>
        </w:tblCellMar>
      </w:tblPr>
      <w:tblGrid>
        <w:gridCol w:w="938"/>
        <w:gridCol w:w="827"/>
        <w:gridCol w:w="830"/>
        <w:gridCol w:w="109"/>
        <w:gridCol w:w="109"/>
        <w:gridCol w:w="207"/>
        <w:gridCol w:w="207"/>
        <w:gridCol w:w="372"/>
        <w:gridCol w:w="1227"/>
        <w:gridCol w:w="207"/>
        <w:gridCol w:w="109"/>
        <w:gridCol w:w="109"/>
        <w:gridCol w:w="109"/>
        <w:gridCol w:w="289"/>
        <w:gridCol w:w="954"/>
        <w:gridCol w:w="227"/>
      </w:tblGrid>
      <w:tr>
        <w:trPr/>
        <w:tc>
          <w:tcPr>
            <w:tcW w:w="938"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122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0"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1797" w:type="dxa"/>
            <w:gridSpan w:val="6"/>
            <w:tcBorders/>
            <w:shd w:fill="auto" w:val="clea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806"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26, 2023</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27, 2022</w:t>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806"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38,163 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34,759 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5,919 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5,537 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2,220 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1,479 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37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46,302 </w:t>
            </w:r>
          </w:p>
        </w:tc>
        <w:tc>
          <w:tcPr>
            <w:tcW w:w="20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41,775 </w:t>
            </w:r>
          </w:p>
        </w:tc>
        <w:tc>
          <w:tcPr>
            <w:tcW w:w="22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both"/>
        <w:rPr/>
      </w:pPr>
      <w:r>
        <w:rPr>
          <w:rFonts w:ascii="Times New Roman;sans-serif" w:hAnsi="Times New Roman;sans-serif"/>
          <w:b w:val="false"/>
          <w:i/>
          <w:color w:val="000000"/>
          <w:sz w:val="22"/>
        </w:rPr>
        <w:t>Geographic Areas</w:t>
      </w:r>
      <w:r>
        <w:rPr>
          <w:color w:val="000000"/>
        </w:rPr>
        <w:t xml:space="preserve"> </w:t>
      </w:r>
      <w:r>
        <w:rPr>
          <w:rFonts w:ascii="Times New Roman;sans-serif" w:hAnsi="Times New Roman;sans-serif"/>
          <w:b w:val="false"/>
          <w:color w:val="000000"/>
          <w:sz w:val="22"/>
        </w:rPr>
        <w:t>- International revenues are defined as revenues generated from restaurant sales originating in a country other than the U.S. The following table details Total revenues by major geographic area for the periods indicated:</w:t>
      </w:r>
    </w:p>
    <w:tbl>
      <w:tblPr>
        <w:tblW w:w="4901" w:type="dxa"/>
        <w:jc w:val="left"/>
        <w:tblInd w:w="0" w:type="dxa"/>
        <w:tblCellMar>
          <w:top w:w="28" w:type="dxa"/>
          <w:left w:w="28" w:type="dxa"/>
          <w:bottom w:w="28" w:type="dxa"/>
          <w:right w:w="28" w:type="dxa"/>
        </w:tblCellMar>
      </w:tblPr>
      <w:tblGrid>
        <w:gridCol w:w="607"/>
        <w:gridCol w:w="535"/>
        <w:gridCol w:w="537"/>
        <w:gridCol w:w="237"/>
        <w:gridCol w:w="1056"/>
        <w:gridCol w:w="132"/>
        <w:gridCol w:w="109"/>
        <w:gridCol w:w="109"/>
        <w:gridCol w:w="109"/>
        <w:gridCol w:w="236"/>
        <w:gridCol w:w="1049"/>
        <w:gridCol w:w="185"/>
      </w:tblGrid>
      <w:tr>
        <w:trPr/>
        <w:tc>
          <w:tcPr>
            <w:tcW w:w="607"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16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r>
      <w:tr>
        <w:trPr/>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42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26, 2023</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27, 2022</w:t>
            </w:r>
          </w:p>
        </w:tc>
      </w:tr>
      <w:tr>
        <w:trPr/>
        <w:tc>
          <w:tcPr>
            <w:tcW w:w="16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237"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1,092,996 </w:t>
            </w:r>
          </w:p>
        </w:tc>
        <w:tc>
          <w:tcPr>
            <w:tcW w:w="132"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9"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1,036,407 </w:t>
            </w:r>
          </w:p>
        </w:tc>
        <w:tc>
          <w:tcPr>
            <w:tcW w:w="185"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14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Brazil</w:t>
            </w:r>
          </w:p>
        </w:tc>
        <w:tc>
          <w:tcPr>
            <w:tcW w:w="12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138,994 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90,100 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2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12,756 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14,028 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23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1,244,746 </w:t>
            </w:r>
          </w:p>
        </w:tc>
        <w:tc>
          <w:tcPr>
            <w:tcW w:w="13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1,140,535 </w:t>
            </w:r>
          </w:p>
        </w:tc>
        <w:tc>
          <w:tcPr>
            <w:tcW w:w="18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754225e3f1024615994983297e2dce8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Item 2. Management’s Discussion and Analysis of Financial Condition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Management’s discussion and analysis of financial condition and results of operations should be read in conjunction with our unaudited consolidated financial statements and the related notes. Unless the context otherwise indicates, as used in this report, the term the “Company,” “we,” “us,” “our” and other similar terms mean Bloomin’ Brands, Inc. and its subsidiaries.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Cautionary Statement</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This Quarterly Report on Form 10-Q (the “Report”) includes statements that express our opinions, expectations, beliefs, plans, objectives, assumptions or projections regarding future events or future results and therefore are, or may be deemed to be, “forward-looking statements” within the meaning of Section 27A of the Securities Act of 1933, as amended (the “Securities Act”), and Section 21E of the Securities Exchange Act of 1934, as amended. These forward-looking statements can generally be identified by the use of forward-looking terminology, including the terms “believes,” “estimates,” “anticipates,” “expects,” “feels,” “seeks,” “forecasts,” “projects,” “intends,” “plans,” “may,” “will,” “should,” “could” or “would” or, in each case, their negative or other variations or comparable terminology, although not all forward-looking statements are accompanied by such terms.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By their nature, forward-looking statements involve risks and uncertainties because they relate to events and depend on circumstances that may or may not occur in the future. Although we base these forward-looking statements on assumptions that we believe are reasonable when made, we caution you that forward-looking statements are not guarantees of future performance and that our actual results of operations, financial condition and liquidity, and industry developments may differ materially from statements made in or suggested by the forward-looking statements contained in this Report. In addition, even if our results of operations, financial condition and liquidity, and industry developments are consistent with the forward-looking statements contained in this Report, those results or developments may not be indicative of results or developments in subsequent periods. Important factors that could cause actual results to differ materially from statements made or suggested by forward-looking statements include, but are not limited to, the following:</w:t>
      </w:r>
    </w:p>
    <w:p>
      <w:pPr>
        <w:pStyle w:val="TextBody"/>
        <w:spacing w:before="0" w:after="0"/>
        <w:jc w:val="both"/>
        <w:rPr/>
      </w:pPr>
      <w:r>
        <w:rPr/>
      </w:r>
    </w:p>
    <w:p>
      <w:pPr>
        <w:pStyle w:val="TextBody"/>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(i)Consumer reactions to public health and food safety issues;</w:t>
      </w:r>
    </w:p>
    <w:p>
      <w:pPr>
        <w:pStyle w:val="TextBody"/>
        <w:spacing w:before="0" w:after="0"/>
        <w:ind w:left="0" w:right="0" w:hanging="720"/>
        <w:jc w:val="both"/>
        <w:rPr/>
      </w:pPr>
      <w:r>
        <w:rPr/>
      </w:r>
    </w:p>
    <w:p>
      <w:pPr>
        <w:pStyle w:val="TextBody"/>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(ii)Minimum wage increases, additional mandated employee benefits and fluctuations in the cost and availability of employees;</w:t>
      </w:r>
    </w:p>
    <w:p>
      <w:pPr>
        <w:pStyle w:val="TextBody"/>
        <w:spacing w:before="0" w:after="0"/>
        <w:ind w:left="0" w:right="0" w:hanging="720"/>
        <w:jc w:val="both"/>
        <w:rPr/>
      </w:pPr>
      <w:r>
        <w:rPr/>
      </w:r>
    </w:p>
    <w:p>
      <w:pPr>
        <w:pStyle w:val="TextBody"/>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(iii)Our ability to recruit and retain high-quality leadership, restaurant-level management and team members;</w:t>
      </w:r>
    </w:p>
    <w:p>
      <w:pPr>
        <w:pStyle w:val="TextBody"/>
        <w:spacing w:before="0" w:after="0"/>
        <w:ind w:left="0" w:right="0" w:hanging="720"/>
        <w:jc w:val="both"/>
        <w:rPr/>
      </w:pPr>
      <w:r>
        <w:rPr/>
      </w:r>
    </w:p>
    <w:p>
      <w:pPr>
        <w:pStyle w:val="TextBody"/>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(iv)Economic conditions and their effects on consumer confidence and discretionary spending, consumer traffic, the cost and availability of credit and interest rates;</w:t>
      </w:r>
    </w:p>
    <w:p>
      <w:pPr>
        <w:pStyle w:val="TextBody"/>
        <w:spacing w:before="0" w:after="0"/>
        <w:ind w:left="0" w:right="0" w:hanging="720"/>
        <w:jc w:val="both"/>
        <w:rPr/>
      </w:pPr>
      <w:r>
        <w:rPr/>
      </w:r>
    </w:p>
    <w:p>
      <w:pPr>
        <w:pStyle w:val="TextBody"/>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(v)Our ability to compete in the highly competitive restaurant industry with many well-established competitors and new market entrants;</w:t>
      </w:r>
    </w:p>
    <w:p>
      <w:pPr>
        <w:pStyle w:val="TextBody"/>
        <w:spacing w:before="0" w:after="0"/>
        <w:ind w:left="0" w:right="0" w:hanging="720"/>
        <w:jc w:val="both"/>
        <w:rPr/>
      </w:pPr>
      <w:r>
        <w:rPr/>
      </w:r>
    </w:p>
    <w:p>
      <w:pPr>
        <w:pStyle w:val="TextBody"/>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(vi)Our ability to protect our information technology systems from interruption or security breach, including cyber security threats, and to protect consumer data and personal employee information;</w:t>
      </w:r>
    </w:p>
    <w:p>
      <w:pPr>
        <w:pStyle w:val="TextBody"/>
        <w:spacing w:before="0" w:after="0"/>
        <w:ind w:left="0" w:right="0" w:hanging="720"/>
        <w:jc w:val="both"/>
        <w:rPr/>
      </w:pPr>
      <w:r>
        <w:rPr/>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754225e3f1024615994983297e2dce8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(vii)Fluctuations in the price and availability of commodities, including supplier freight charges and restaurant distribution expenses, and other impacts of inflation and our dependence on a limited number of suppliers and distributors to meet our beef, chicken and other major product supply needs;</w:t>
      </w:r>
    </w:p>
    <w:p>
      <w:pPr>
        <w:pStyle w:val="TextBody"/>
        <w:spacing w:before="0" w:after="0"/>
        <w:ind w:left="0" w:right="0" w:hanging="720"/>
        <w:jc w:val="both"/>
        <w:rPr/>
      </w:pPr>
      <w:r>
        <w:rPr/>
      </w:r>
    </w:p>
    <w:p>
      <w:pPr>
        <w:pStyle w:val="TextBody"/>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(viii)The severity, extent and duration of a health pandemic, its impacts on our business and results of operations, financial condition and liquidity, including any adverse impact on our stock price and on the other factors listed in this Report, and the responses of domestic and foreign federal, state and local governments to the pandemic;</w:t>
      </w:r>
    </w:p>
    <w:p>
      <w:pPr>
        <w:pStyle w:val="TextBody"/>
        <w:spacing w:before="0" w:after="0"/>
        <w:ind w:left="0" w:right="0" w:hanging="720"/>
        <w:jc w:val="both"/>
        <w:rPr/>
      </w:pPr>
      <w:r>
        <w:rPr/>
      </w:r>
    </w:p>
    <w:p>
      <w:pPr>
        <w:pStyle w:val="TextBody"/>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(ix)Our ability to preserve and grow the reputation and value of our brands, particularly in light of changes in consumer engagement with social media platforms and limited control with respect to the operations of our franchisees;</w:t>
      </w:r>
    </w:p>
    <w:p>
      <w:pPr>
        <w:pStyle w:val="TextBody"/>
        <w:spacing w:before="0" w:after="0"/>
        <w:ind w:left="0" w:right="0" w:hanging="720"/>
        <w:jc w:val="both"/>
        <w:rPr/>
      </w:pPr>
      <w:r>
        <w:rPr/>
      </w:r>
    </w:p>
    <w:p>
      <w:pPr>
        <w:pStyle w:val="TextBody"/>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(x)The effects of international economic, political and social conditions and legal systems on our foreign operations and on foreign currency exchange rates;</w:t>
      </w:r>
    </w:p>
    <w:p>
      <w:pPr>
        <w:pStyle w:val="TextBody"/>
        <w:spacing w:before="0" w:after="0"/>
        <w:ind w:left="0" w:right="0" w:hanging="720"/>
        <w:jc w:val="both"/>
        <w:rPr/>
      </w:pPr>
      <w:r>
        <w:rPr/>
      </w:r>
    </w:p>
    <w:p>
      <w:pPr>
        <w:pStyle w:val="TextBody"/>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(xi)Our ability to comply with new environmental, social and governance (“ESG”) requirements or our failure to achieve any goals, targets or objectives with respect to ESG matters; </w:t>
      </w:r>
    </w:p>
    <w:p>
      <w:pPr>
        <w:pStyle w:val="TextBody"/>
        <w:spacing w:before="0" w:after="0"/>
        <w:ind w:left="0" w:right="0" w:hanging="720"/>
        <w:jc w:val="both"/>
        <w:rPr/>
      </w:pPr>
      <w:r>
        <w:rPr/>
      </w:r>
    </w:p>
    <w:p>
      <w:pPr>
        <w:pStyle w:val="TextBody"/>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(xii)Our ability to effectively respond to changes in patterns of consumer traffic, consumer tastes and dietary habits, including by maintaining relationships with third party delivery apps and services; </w:t>
      </w:r>
    </w:p>
    <w:p>
      <w:pPr>
        <w:pStyle w:val="TextBody"/>
        <w:spacing w:before="0" w:after="0"/>
        <w:ind w:left="0" w:right="0" w:hanging="720"/>
        <w:jc w:val="both"/>
        <w:rPr/>
      </w:pPr>
      <w:r>
        <w:rPr/>
      </w:r>
    </w:p>
    <w:p>
      <w:pPr>
        <w:pStyle w:val="TextBody"/>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(xiii)Our ability to comply with governmental laws and regulations, the costs of compliance with such laws and regulations and the effects of changes to applicable laws and regulations, including tax laws and unanticipated liabilities, and the impact of any litigation;</w:t>
      </w:r>
    </w:p>
    <w:p>
      <w:pPr>
        <w:pStyle w:val="TextBody"/>
        <w:spacing w:before="0" w:after="0"/>
        <w:ind w:left="0" w:right="0" w:hanging="720"/>
        <w:jc w:val="both"/>
        <w:rPr/>
      </w:pPr>
      <w:r>
        <w:rPr/>
      </w:r>
    </w:p>
    <w:p>
      <w:pPr>
        <w:pStyle w:val="TextBody"/>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(xiv)Our ability to implement our remodeling, relocation and expansion plans, due to uncertainty in locating and acquiring attractive sites on acceptable terms, obtaining required permits and approvals, recruiting and training necessary personnel, obtaining adequate financing and estimating the performance of newly opened, remodeled or relocated restaurants, and our cost savings plans to enable reinvestment in our business, due to uncertainty with respect to macroeconomic conditions and the efficiency that may be added by the actions we take;</w:t>
      </w:r>
    </w:p>
    <w:p>
      <w:pPr>
        <w:pStyle w:val="TextBody"/>
        <w:spacing w:before="0" w:after="0"/>
        <w:ind w:left="0" w:right="0" w:hanging="360"/>
        <w:jc w:val="both"/>
        <w:rPr/>
      </w:pPr>
      <w:r>
        <w:rPr/>
      </w:r>
    </w:p>
    <w:p>
      <w:pPr>
        <w:pStyle w:val="TextBody"/>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(xv)Seasonal and periodic fluctuations in our results and the effects of significant adverse weather conditions and other disasters or unforeseen events;</w:t>
      </w:r>
    </w:p>
    <w:p>
      <w:pPr>
        <w:pStyle w:val="TextBody"/>
        <w:spacing w:before="0" w:after="0"/>
        <w:ind w:left="0" w:right="0" w:hanging="360"/>
        <w:jc w:val="both"/>
        <w:rPr/>
      </w:pPr>
      <w:r>
        <w:rPr/>
      </w:r>
    </w:p>
    <w:p>
      <w:pPr>
        <w:pStyle w:val="TextBody"/>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(xvi)The effects of our leverage and restrictive covenants in our various credit facilities on our ability to raise additional capital to fund our operations, to make capital expenditures to invest in new or renovate restaurants and to react to changes in the economy or our industry;</w:t>
      </w:r>
    </w:p>
    <w:p>
      <w:pPr>
        <w:pStyle w:val="TextBody"/>
        <w:spacing w:before="0" w:after="0"/>
        <w:ind w:left="0" w:right="0" w:hanging="720"/>
        <w:jc w:val="both"/>
        <w:rPr/>
      </w:pPr>
      <w:r>
        <w:rPr/>
      </w:r>
    </w:p>
    <w:p>
      <w:pPr>
        <w:pStyle w:val="TextBody"/>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(xvii)Any impairment in the carrying value of our goodwill or other intangible or long-lived assets and its effect on our financial condition and results of operations; and</w:t>
      </w:r>
    </w:p>
    <w:p>
      <w:pPr>
        <w:pStyle w:val="TextBody"/>
        <w:spacing w:before="0" w:after="0"/>
        <w:ind w:left="0" w:right="0" w:hanging="360"/>
        <w:jc w:val="both"/>
        <w:rPr/>
      </w:pPr>
      <w:r>
        <w:rPr/>
      </w:r>
    </w:p>
    <w:p>
      <w:pPr>
        <w:pStyle w:val="TextBody"/>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(xviii)Such other factors as discussed in Part I, Item IA. Risk Factors of our Annual Report on Form 10-K for the year ended December 25, 2022.</w:t>
      </w:r>
    </w:p>
    <w:p>
      <w:pPr>
        <w:pStyle w:val="TextBody"/>
        <w:spacing w:before="0" w:after="0"/>
        <w:ind w:left="0" w:right="0" w:hanging="36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Given these risks and uncertainties, we caution you not to place undue reliance on these forward-looking statements. Any forward-looking statement that we make in this Report speaks only as of the date of such statement, and we undertake no obligation to update any forward-looking statement or to publicly announce the results of any revision to any of those statements to reflect future events or developments. Comparisons of results for current and any prior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754225e3f1024615994983297e2dce8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periods are not intended to express any future trends or indications of future performance, unless specifically expressed as such, and should only be viewed as historical data.</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Overview</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are one of the largest casual dining restaurant companies in the world with a portfolio of leading, differentiated restaurant concepts. As of March 26, 2023, we owned and operated 1,184 full-service restaurants and off-premises only kitchens and franchised 313 full-service restaurants and off-premises only kitchens across 47 states, Guam and 13 countries. We have four founder-inspired concepts: Outback Steakhouse, Carrabba’s Italian Grill, Bonefish Grill and Fleming’s Prime Steakhouse &amp; Wine Bar.</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val="false"/>
          <w:i/>
          <w:color w:val="000000"/>
          <w:sz w:val="22"/>
        </w:rPr>
        <w:t xml:space="preserve">Financial Highlights - </w:t>
      </w:r>
      <w:r>
        <w:rPr>
          <w:rFonts w:ascii="Times New Roman;sans-serif" w:hAnsi="Times New Roman;sans-serif"/>
          <w:b w:val="false"/>
          <w:color w:val="000000"/>
          <w:sz w:val="22"/>
        </w:rPr>
        <w:t>Our financial highlights for the thirteen weeks ended March 26, 2023 include the following:</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2"/>
        </w:rPr>
        <w:t>U.S. combined and Outback Steakhouse comparable restaurant sales of 5.1% and 4.9%, respectively;</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2"/>
        </w:rPr>
        <w:t>Increase in Total revenues of 9.1%, as compared to the first quarter of 2022;</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2"/>
        </w:rPr>
        <w:t>Operating income and restaurant-level operating margins of 9.7% and 17.9%, respectively, as compared to 9.4% and 17.1%, respectively, for the first quarter of 2022;</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2"/>
        </w:rPr>
        <w:t>Operating income of $120.6 million, as compared to $107.3 million in the first quarter of 2022;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2"/>
        </w:rPr>
        <w:t>Diluted earnings per share of $0.93 as compared to $0.73 for the first quarter of 2022.</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val="false"/>
          <w:i/>
          <w:color w:val="000000"/>
          <w:sz w:val="22"/>
        </w:rPr>
        <w:t>Key Financial Performance Indicators</w:t>
      </w:r>
      <w:r>
        <w:rPr>
          <w:color w:val="000000"/>
        </w:rPr>
        <w:t xml:space="preserve"> </w:t>
      </w:r>
      <w:r>
        <w:rPr>
          <w:rFonts w:ascii="Times New Roman;sans-serif" w:hAnsi="Times New Roman;sans-serif"/>
          <w:b w:val="false"/>
          <w:color w:val="000000"/>
          <w:sz w:val="22"/>
        </w:rPr>
        <w:t>- Key measures that we use in evaluating our restaurants and assessing our business include the following:</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i/>
          <w:color w:val="000000"/>
          <w:sz w:val="22"/>
        </w:rPr>
        <w:t>Average restaurant unit volumes</w:t>
      </w:r>
      <w:r>
        <w:rPr>
          <w:color w:val="000000"/>
        </w:rPr>
        <w:t>—</w:t>
      </w:r>
      <w:r>
        <w:rPr>
          <w:rFonts w:ascii="Times New Roman;sans-serif" w:hAnsi="Times New Roman;sans-serif"/>
          <w:b w:val="false"/>
          <w:color w:val="000000"/>
          <w:sz w:val="22"/>
        </w:rPr>
        <w:t>average sales (excluding gift card breakage and the benefit of value added tax exemptions in Brazil) per restaurant to measure changes in customer traffic, pricing and development of the brand;</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i/>
          <w:color w:val="000000"/>
          <w:sz w:val="22"/>
        </w:rPr>
        <w:t>Comparable restaurant sales</w:t>
      </w:r>
      <w:r>
        <w:rPr>
          <w:color w:val="000000"/>
        </w:rPr>
        <w:t>—</w:t>
      </w:r>
      <w:r>
        <w:rPr>
          <w:rFonts w:ascii="Times New Roman;sans-serif" w:hAnsi="Times New Roman;sans-serif"/>
          <w:b w:val="false"/>
          <w:color w:val="000000"/>
          <w:sz w:val="22"/>
        </w:rPr>
        <w:t>year-over-year comparison of the change in sales volumes (excluding gift card breakage and the benefit of value added tax exemptions in Brazil) for Company-owned restaurants that are open 18 months or more in order to remove the impact of new restaurant openings in comparing the operations of existing restaurants;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i/>
          <w:color w:val="000000"/>
          <w:sz w:val="22"/>
        </w:rPr>
        <w:t>System-wide sales</w:t>
      </w:r>
      <w:r>
        <w:rPr>
          <w:color w:val="000000"/>
        </w:rPr>
        <w:t>—</w:t>
      </w:r>
      <w:r>
        <w:rPr>
          <w:rFonts w:ascii="Times New Roman;sans-serif" w:hAnsi="Times New Roman;sans-serif"/>
          <w:b w:val="false"/>
          <w:color w:val="000000"/>
          <w:sz w:val="22"/>
        </w:rPr>
        <w:t>total restaurant sales volume for all Company-owned and franchise restaurants, regardless of ownership, to interpret the overall health of our brands;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i/>
          <w:color w:val="000000"/>
          <w:sz w:val="22"/>
        </w:rPr>
        <w:t>Restaurant-level operating margin, Income from operations, Net income and Diluted earnings per share</w:t>
      </w:r>
      <w:r>
        <w:rPr>
          <w:color w:val="000000"/>
        </w:rPr>
        <w:t>—</w:t>
      </w:r>
      <w:r>
        <w:rPr>
          <w:rFonts w:ascii="Times New Roman;sans-serif" w:hAnsi="Times New Roman;sans-serif"/>
          <w:b w:val="false"/>
          <w:color w:val="000000"/>
          <w:sz w:val="22"/>
        </w:rPr>
        <w:t xml:space="preserve">financial measures utilized to evaluate our operating performance.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Restaurant-level operating margin is a non-GAAP financial measure widely regarded in the industry as a useful metric to evaluate restaurant-level operating efficiency and performance of ongoing restaurant-level operations, and we use it for these purposes, overall and particularly within our two segments. Our restaurant-level operating margin is expressed as the percentage of our Restaurant sales that Food and beverage costs, Labor and other related expenses and Other restaurant operating expenses (including advertising expenses) represent, in each case as such items are reflected in our Consolidated Statements of Operations and Comprehensive Income. The following categories of revenue and operating expenses are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754225e3f1024615994983297e2dce8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not included in restaurant-level operating margin because we do not consider them reflective of operating performance at the restaurant-level within a period: </w:t>
      </w:r>
    </w:p>
    <w:p>
      <w:pPr>
        <w:pStyle w:val="TextBody"/>
        <w:spacing w:before="0" w:after="0"/>
        <w:jc w:val="both"/>
        <w:rPr/>
      </w:pPr>
      <w:r>
        <w:rPr/>
      </w:r>
    </w:p>
    <w:p>
      <w:pPr>
        <w:pStyle w:val="TextBody"/>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(i)Franchise and other revenues which are earned primarily from franchise royalties and other non-food and beverage revenue streams, such as rental and sublease income;</w:t>
      </w:r>
    </w:p>
    <w:p>
      <w:pPr>
        <w:pStyle w:val="TextBody"/>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(ii)Depreciation and amortization which, although substantially all of which is related to restaurant-level assets, represent historical sunk costs rather than cash outlays for the restaurants;</w:t>
      </w:r>
    </w:p>
    <w:p>
      <w:pPr>
        <w:pStyle w:val="TextBody"/>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(iii)General and administrative expense which includes primarily non-restaurant-level costs associated with support of the restaurants and other activities at our corporate offices; and</w:t>
      </w:r>
    </w:p>
    <w:p>
      <w:pPr>
        <w:pStyle w:val="TextBody"/>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(iv)Asset impairment charges and restaurant closing costs which are not reflective of ongoing restaurant performance in a period.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Restaurant-level operating margin excludes various expenses, as discussed above, that are essential to support the operations of our restaurants and may materially impact our Consolidated Statements of Operations and Comprehensive Income. As a result, restaurant-level operating margin is not indicative of our consolidated results of operations and is presented exclusively as a supplement to, and not a substitute for, Net income or Income from operations. In addition, our presentation of restaurant-level operating margin may not be comparable to similarly titled measures used by other companies in our industry; and</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i/>
          <w:color w:val="000000"/>
          <w:sz w:val="22"/>
        </w:rPr>
        <w:t>Adjusted restaurant-level operating margin, Adjusted income from operations, Adjusted net income and Adjusted diluted earnings per share</w:t>
      </w:r>
      <w:r>
        <w:rPr>
          <w:color w:val="000000"/>
        </w:rPr>
        <w:t>—</w:t>
      </w:r>
      <w:r>
        <w:rPr>
          <w:rFonts w:ascii="Times New Roman;sans-serif" w:hAnsi="Times New Roman;sans-serif"/>
          <w:b w:val="false"/>
          <w:color w:val="000000"/>
          <w:sz w:val="22"/>
        </w:rPr>
        <w:t>non-GAAP financial measures utilized to evaluate our operating performance.</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believe that our use of these non-GAAP financial measures permits investors to assess the operating performance of our business relative to our performance based on U.S. GAAP results and relative to other companies within the restaurant industry by isolating the effects of certain items that may vary from period to period without correlation to core operating performance or that vary widely among similar companies. However, our inclusion of these adjusted measures should not be construed as an indication that our future results will be unaffected by unusual or infrequent items or that the items for which we have made adjustments are unusual or infrequent or will not recur. We believe that the disclosure of these non-GAAP measures is useful to investors as they form part of the basis for how our management team and Board evaluate our operating performance, allocate resources and administer employee incentive plans.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754225e3f1024615994983297e2dce8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spacing w:lineRule="auto" w:line="288" w:before="0" w:after="0"/>
        <w:jc w:val="both"/>
        <w:rPr/>
      </w:pPr>
      <w:r>
        <w:rPr>
          <w:rFonts w:ascii="Times New Roman;sans-serif" w:hAnsi="Times New Roman;sans-serif"/>
          <w:b w:val="false"/>
          <w:i/>
          <w:color w:val="000000"/>
          <w:sz w:val="22"/>
        </w:rPr>
        <w:t xml:space="preserve">Selected Operating Data - </w:t>
      </w:r>
      <w:r>
        <w:rPr>
          <w:rFonts w:ascii="Times New Roman;sans-serif" w:hAnsi="Times New Roman;sans-serif"/>
          <w:b w:val="false"/>
          <w:color w:val="000000"/>
          <w:sz w:val="22"/>
        </w:rPr>
        <w:t>The table below presents the number of our full-service restaurants in operation as of the periods indicated:</w:t>
      </w:r>
    </w:p>
    <w:tbl>
      <w:tblPr>
        <w:tblW w:w="6835" w:type="dxa"/>
        <w:jc w:val="left"/>
        <w:tblInd w:w="0" w:type="dxa"/>
        <w:tblCellMar>
          <w:top w:w="28" w:type="dxa"/>
          <w:left w:w="28" w:type="dxa"/>
          <w:bottom w:w="28" w:type="dxa"/>
          <w:right w:w="28" w:type="dxa"/>
        </w:tblCellMar>
      </w:tblPr>
      <w:tblGrid>
        <w:gridCol w:w="1308"/>
        <w:gridCol w:w="1150"/>
        <w:gridCol w:w="1157"/>
        <w:gridCol w:w="474"/>
        <w:gridCol w:w="474"/>
        <w:gridCol w:w="476"/>
        <w:gridCol w:w="109"/>
        <w:gridCol w:w="109"/>
        <w:gridCol w:w="109"/>
        <w:gridCol w:w="430"/>
        <w:gridCol w:w="430"/>
        <w:gridCol w:w="609"/>
      </w:tblGrid>
      <w:tr>
        <w:trPr/>
        <w:tc>
          <w:tcPr>
            <w:tcW w:w="1308"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Number of restaurants (at end of the period):</w:t>
            </w:r>
          </w:p>
        </w:tc>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26,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27, 2022</w:t>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424"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1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Company-owned</w:t>
            </w:r>
          </w:p>
        </w:tc>
        <w:tc>
          <w:tcPr>
            <w:tcW w:w="9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564 </w:t>
            </w:r>
          </w:p>
        </w:tc>
        <w:tc>
          <w:tcPr>
            <w:tcW w:w="4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562 </w:t>
            </w:r>
          </w:p>
        </w:tc>
        <w:tc>
          <w:tcPr>
            <w:tcW w:w="6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Franchised</w:t>
            </w:r>
          </w:p>
        </w:tc>
        <w:tc>
          <w:tcPr>
            <w:tcW w:w="9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4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6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948"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691 </w:t>
            </w:r>
          </w:p>
        </w:tc>
        <w:tc>
          <w:tcPr>
            <w:tcW w:w="476"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692 </w:t>
            </w:r>
          </w:p>
        </w:tc>
        <w:tc>
          <w:tcPr>
            <w:tcW w:w="60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1424"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Company-owned</w:t>
            </w:r>
          </w:p>
        </w:tc>
        <w:tc>
          <w:tcPr>
            <w:tcW w:w="9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4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6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Franchised</w:t>
            </w:r>
          </w:p>
        </w:tc>
        <w:tc>
          <w:tcPr>
            <w:tcW w:w="9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4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6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948"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476"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219 </w:t>
            </w:r>
          </w:p>
        </w:tc>
        <w:tc>
          <w:tcPr>
            <w:tcW w:w="60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1424"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Company-owned</w:t>
            </w:r>
          </w:p>
        </w:tc>
        <w:tc>
          <w:tcPr>
            <w:tcW w:w="9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4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6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Franchised</w:t>
            </w:r>
          </w:p>
        </w:tc>
        <w:tc>
          <w:tcPr>
            <w:tcW w:w="9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4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6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948"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476"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60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1424"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Company-owned</w:t>
            </w:r>
          </w:p>
        </w:tc>
        <w:tc>
          <w:tcPr>
            <w:tcW w:w="9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4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6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Aussie Grill</w:t>
            </w:r>
          </w:p>
        </w:tc>
        <w:tc>
          <w:tcPr>
            <w:tcW w:w="1424"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Company-owned</w:t>
            </w:r>
          </w:p>
        </w:tc>
        <w:tc>
          <w:tcPr>
            <w:tcW w:w="9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4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6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total</w:t>
            </w:r>
          </w:p>
        </w:tc>
        <w:tc>
          <w:tcPr>
            <w:tcW w:w="948"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1,158 </w:t>
            </w:r>
          </w:p>
        </w:tc>
        <w:tc>
          <w:tcPr>
            <w:tcW w:w="476"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1,164 </w:t>
            </w:r>
          </w:p>
        </w:tc>
        <w:tc>
          <w:tcPr>
            <w:tcW w:w="609"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1424"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Company-owned</w:t>
            </w:r>
          </w:p>
        </w:tc>
        <w:tc>
          <w:tcPr>
            <w:tcW w:w="14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Brazil (1)</w:t>
            </w:r>
          </w:p>
        </w:tc>
        <w:tc>
          <w:tcPr>
            <w:tcW w:w="9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4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6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9" w:type="dxa"/>
            <w:gridSpan w:val="3"/>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(1)(2)</w:t>
            </w:r>
          </w:p>
        </w:tc>
        <w:tc>
          <w:tcPr>
            <w:tcW w:w="9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4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6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Franchised</w:t>
            </w:r>
          </w:p>
        </w:tc>
        <w:tc>
          <w:tcPr>
            <w:tcW w:w="14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South Korea</w:t>
            </w:r>
          </w:p>
        </w:tc>
        <w:tc>
          <w:tcPr>
            <w:tcW w:w="9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4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6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(2)</w:t>
            </w:r>
          </w:p>
        </w:tc>
        <w:tc>
          <w:tcPr>
            <w:tcW w:w="9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4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6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 total</w:t>
            </w:r>
          </w:p>
        </w:tc>
        <w:tc>
          <w:tcPr>
            <w:tcW w:w="948"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476"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286 </w:t>
            </w:r>
          </w:p>
        </w:tc>
        <w:tc>
          <w:tcPr>
            <w:tcW w:w="609"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System-wide total</w:t>
            </w:r>
          </w:p>
        </w:tc>
        <w:tc>
          <w:tcPr>
            <w:tcW w:w="948"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1,471 </w:t>
            </w:r>
          </w:p>
        </w:tc>
        <w:tc>
          <w:tcPr>
            <w:tcW w:w="476"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1,450 </w:t>
            </w:r>
          </w:p>
        </w:tc>
        <w:tc>
          <w:tcPr>
            <w:tcW w:w="60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System-wide total - Company-owned</w:t>
            </w:r>
          </w:p>
        </w:tc>
        <w:tc>
          <w:tcPr>
            <w:tcW w:w="948"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1,183 </w:t>
            </w:r>
          </w:p>
        </w:tc>
        <w:tc>
          <w:tcPr>
            <w:tcW w:w="47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1,163 </w:t>
            </w:r>
          </w:p>
        </w:tc>
        <w:tc>
          <w:tcPr>
            <w:tcW w:w="6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System-wide total - Franchised</w:t>
            </w:r>
          </w:p>
        </w:tc>
        <w:tc>
          <w:tcPr>
            <w:tcW w:w="9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288 </w:t>
            </w:r>
          </w:p>
        </w:tc>
        <w:tc>
          <w:tcPr>
            <w:tcW w:w="4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287 </w:t>
            </w:r>
          </w:p>
        </w:tc>
        <w:tc>
          <w:tcPr>
            <w:tcW w:w="6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9" w:type="dxa"/>
            <w:gridSpan w:val="3"/>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9" w:type="dxa"/>
            <w:gridSpan w:val="3"/>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9" w:type="dxa"/>
            <w:gridSpan w:val="3"/>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9" w:type="dxa"/>
            <w:gridSpan w:val="3"/>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9" w:type="dxa"/>
            <w:gridSpan w:val="3"/>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9" w:type="dxa"/>
            <w:gridSpan w:val="3"/>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(1)The restaurant counts for Brazil, including Abbraccio and Aussie Grill restaurants within International Company-owned Other, are reported as of February 28, 2023 and 2022, respectively, to correspond with the balance sheet dates of this subsidiary.</w:t>
      </w:r>
    </w:p>
    <w:p>
      <w:pPr>
        <w:pStyle w:val="TextBody"/>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(2)International Company-owned Other included four and two Aussie Grill locations as of March 26, 2023 and March 27, 2022, respectively. International Franchised Other included four and three Aussie Grill locations as of March 26, 2023 and March 27, 2022, respectively.</w:t>
      </w:r>
    </w:p>
    <w:p>
      <w:pPr>
        <w:pStyle w:val="TextBody"/>
        <w:spacing w:before="0" w:after="0"/>
        <w:ind w:left="0" w:right="0" w:hanging="36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table below presents the number of our off-premises only kitchens in operation as of the periods indicated:</w:t>
      </w:r>
    </w:p>
    <w:tbl>
      <w:tblPr>
        <w:tblW w:w="6850" w:type="dxa"/>
        <w:jc w:val="left"/>
        <w:tblInd w:w="0" w:type="dxa"/>
        <w:tblCellMar>
          <w:top w:w="28" w:type="dxa"/>
          <w:left w:w="28" w:type="dxa"/>
          <w:bottom w:w="28" w:type="dxa"/>
          <w:right w:w="28" w:type="dxa"/>
        </w:tblCellMar>
      </w:tblPr>
      <w:tblGrid>
        <w:gridCol w:w="1313"/>
        <w:gridCol w:w="1156"/>
        <w:gridCol w:w="1161"/>
        <w:gridCol w:w="474"/>
        <w:gridCol w:w="474"/>
        <w:gridCol w:w="476"/>
        <w:gridCol w:w="109"/>
        <w:gridCol w:w="109"/>
        <w:gridCol w:w="109"/>
        <w:gridCol w:w="430"/>
        <w:gridCol w:w="430"/>
        <w:gridCol w:w="609"/>
      </w:tblGrid>
      <w:tr>
        <w:trPr/>
        <w:tc>
          <w:tcPr>
            <w:tcW w:w="1313"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Number of kitchens (at end of the period) (1):</w:t>
            </w:r>
          </w:p>
        </w:tc>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26,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27, 2022</w:t>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424"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Company-owned</w:t>
            </w:r>
          </w:p>
        </w:tc>
        <w:tc>
          <w:tcPr>
            <w:tcW w:w="9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6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9" w:type="dxa"/>
            <w:gridSpan w:val="3"/>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9" w:type="dxa"/>
            <w:gridSpan w:val="3"/>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14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Company-owned</w:t>
            </w:r>
          </w:p>
        </w:tc>
        <w:tc>
          <w:tcPr>
            <w:tcW w:w="9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6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Franchised - South Korea</w:t>
            </w:r>
          </w:p>
        </w:tc>
        <w:tc>
          <w:tcPr>
            <w:tcW w:w="9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4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6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9" w:type="dxa"/>
            <w:gridSpan w:val="3"/>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9" w:type="dxa"/>
            <w:gridSpan w:val="3"/>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System-wide total</w:t>
            </w:r>
          </w:p>
        </w:tc>
        <w:tc>
          <w:tcPr>
            <w:tcW w:w="948" w:type="dxa"/>
            <w:gridSpan w:val="2"/>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47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6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(1)Excludes virtual concepts that operate out of existing restaurants and sports venue locations.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754225e3f1024615994983297e2dce8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spacing w:lineRule="auto" w:line="288" w:before="0" w:after="0"/>
        <w:rPr>
          <w:rFonts w:ascii="Times New Roman;sans-serif" w:hAnsi="Times New Roman;sans-serif"/>
          <w:b/>
          <w:color w:val="000000"/>
          <w:sz w:val="22"/>
        </w:rPr>
      </w:pPr>
      <w:r>
        <w:rPr>
          <w:rFonts w:ascii="Times New Roman;sans-serif" w:hAnsi="Times New Roman;sans-serif"/>
          <w:b/>
          <w:color w:val="000000"/>
          <w:sz w:val="22"/>
        </w:rPr>
        <w:t>Results of Operations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sets forth the percentages of certain items in our Consolidated Statements of Operations in relation to Total revenues or Restaurant sales for the periods indicated:</w:t>
      </w:r>
    </w:p>
    <w:tbl>
      <w:tblPr>
        <w:tblW w:w="8251" w:type="dxa"/>
        <w:jc w:val="left"/>
        <w:tblInd w:w="0" w:type="dxa"/>
        <w:tblCellMar>
          <w:top w:w="28" w:type="dxa"/>
          <w:left w:w="28" w:type="dxa"/>
          <w:bottom w:w="28" w:type="dxa"/>
          <w:right w:w="28" w:type="dxa"/>
        </w:tblCellMar>
      </w:tblPr>
      <w:tblGrid>
        <w:gridCol w:w="1454"/>
        <w:gridCol w:w="1280"/>
        <w:gridCol w:w="1286"/>
        <w:gridCol w:w="109"/>
        <w:gridCol w:w="109"/>
        <w:gridCol w:w="348"/>
        <w:gridCol w:w="348"/>
        <w:gridCol w:w="348"/>
        <w:gridCol w:w="348"/>
        <w:gridCol w:w="825"/>
        <w:gridCol w:w="109"/>
        <w:gridCol w:w="109"/>
        <w:gridCol w:w="109"/>
        <w:gridCol w:w="308"/>
        <w:gridCol w:w="308"/>
        <w:gridCol w:w="853"/>
      </w:tblGrid>
      <w:tr>
        <w:trPr/>
        <w:tc>
          <w:tcPr>
            <w:tcW w:w="1454"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1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7"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1796" w:type="dxa"/>
            <w:gridSpan w:val="6"/>
            <w:tcBorders/>
            <w:shd w:fill="auto" w:val="clear"/>
          </w:tcPr>
          <w:p>
            <w:pPr>
              <w:pStyle w:val="TableContents"/>
              <w:spacing w:before="0" w:after="283"/>
              <w:rPr>
                <w:sz w:val="4"/>
                <w:szCs w:val="4"/>
              </w:rPr>
            </w:pPr>
            <w:r>
              <w:rPr>
                <w:sz w:val="4"/>
                <w:szCs w:val="4"/>
              </w:rPr>
            </w:r>
          </w:p>
        </w:tc>
      </w:tr>
      <w:tr>
        <w:trPr/>
        <w:tc>
          <w:tcPr>
            <w:tcW w:w="4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521"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26, 2023</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27, 2022</w:t>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521" w:type="dxa"/>
            <w:gridSpan w:val="3"/>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98.7 </w:t>
            </w:r>
          </w:p>
        </w:tc>
        <w:tc>
          <w:tcPr>
            <w:tcW w:w="8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98.5 </w:t>
            </w:r>
          </w:p>
        </w:tc>
        <w:tc>
          <w:tcPr>
            <w:tcW w:w="85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and other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8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8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696"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825"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853"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 (1)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8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8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 and other related (1)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8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8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restaurant operating (1)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8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23.1 </w:t>
            </w:r>
          </w:p>
        </w:tc>
        <w:tc>
          <w:tcPr>
            <w:tcW w:w="8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8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8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General and administrative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8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8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5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9" w:type="dxa"/>
            <w:gridSpan w:val="3"/>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5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9" w:type="dxa"/>
            <w:gridSpan w:val="3"/>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5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9" w:type="dxa"/>
            <w:gridSpan w:val="3"/>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impaired assets and restaurant closings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8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8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5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9" w:type="dxa"/>
            <w:gridSpan w:val="3"/>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696"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90.3 </w:t>
            </w:r>
          </w:p>
        </w:tc>
        <w:tc>
          <w:tcPr>
            <w:tcW w:w="825"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90.6 </w:t>
            </w:r>
          </w:p>
        </w:tc>
        <w:tc>
          <w:tcPr>
            <w:tcW w:w="853"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696"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825"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853"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5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9" w:type="dxa"/>
            <w:gridSpan w:val="3"/>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5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9" w:type="dxa"/>
            <w:gridSpan w:val="3"/>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5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9" w:type="dxa"/>
            <w:gridSpan w:val="3"/>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8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8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provision for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696"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825"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853"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8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8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696"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825"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853"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attributable to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8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8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Bloomin’ Brands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696"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82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85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02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5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9" w:type="dxa"/>
            <w:gridSpan w:val="3"/>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5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9" w:type="dxa"/>
            <w:gridSpan w:val="3"/>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5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9" w:type="dxa"/>
            <w:gridSpan w:val="3"/>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5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9" w:type="dxa"/>
            <w:gridSpan w:val="3"/>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5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9" w:type="dxa"/>
            <w:gridSpan w:val="3"/>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5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9" w:type="dxa"/>
            <w:gridSpan w:val="3"/>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5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________________</w:t>
      </w:r>
    </w:p>
    <w:p>
      <w:pPr>
        <w:pStyle w:val="TextBody"/>
        <w:spacing w:lineRule="auto" w:line="288" w:before="0" w:after="0"/>
        <w:ind w:left="0" w:right="0" w:hanging="720"/>
        <w:rPr>
          <w:rFonts w:ascii="Times New Roman;sans-serif" w:hAnsi="Times New Roman;sans-serif"/>
          <w:b w:val="false"/>
          <w:color w:val="000000"/>
          <w:sz w:val="18"/>
        </w:rPr>
      </w:pPr>
      <w:r>
        <w:rPr>
          <w:rFonts w:ascii="Times New Roman;sans-serif" w:hAnsi="Times New Roman;sans-serif"/>
          <w:b w:val="false"/>
          <w:color w:val="000000"/>
          <w:sz w:val="18"/>
        </w:rPr>
        <w:t>(1)As a percentage of Restaurant sales.</w:t>
      </w:r>
    </w:p>
    <w:p>
      <w:pPr>
        <w:pStyle w:val="TextBody"/>
        <w:spacing w:before="0" w:after="0"/>
        <w:ind w:left="0" w:right="0" w:hanging="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REVENUES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Restaurant Sales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Following is a summary of the change in Restaurant sales for the period indicated:</w:t>
      </w:r>
    </w:p>
    <w:tbl>
      <w:tblPr>
        <w:tblW w:w="5273" w:type="dxa"/>
        <w:jc w:val="left"/>
        <w:tblInd w:w="0" w:type="dxa"/>
        <w:tblCellMar>
          <w:top w:w="28" w:type="dxa"/>
          <w:left w:w="28" w:type="dxa"/>
          <w:bottom w:w="28" w:type="dxa"/>
          <w:right w:w="28" w:type="dxa"/>
        </w:tblCellMar>
      </w:tblPr>
      <w:tblGrid>
        <w:gridCol w:w="1011"/>
        <w:gridCol w:w="888"/>
        <w:gridCol w:w="891"/>
        <w:gridCol w:w="109"/>
        <w:gridCol w:w="109"/>
        <w:gridCol w:w="426"/>
        <w:gridCol w:w="1504"/>
        <w:gridCol w:w="335"/>
      </w:tblGrid>
      <w:tr>
        <w:trPr/>
        <w:tc>
          <w:tcPr>
            <w:tcW w:w="1011"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504"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 the period ended March 27,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04"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1,123.6 </w:t>
            </w:r>
          </w:p>
        </w:tc>
        <w:tc>
          <w:tcPr>
            <w:tcW w:w="335"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from:</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Comparable restaurant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73.3 </w:t>
            </w:r>
          </w:p>
        </w:tc>
        <w:tc>
          <w:tcPr>
            <w:tcW w:w="3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openings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3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Brazil value added tax exemptions (1)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3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foreign currency translation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3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closures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3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5" w:type="dxa"/>
            <w:gridSpan w:val="3"/>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 the period ended March 26, 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0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1,228.2 </w:t>
            </w:r>
          </w:p>
        </w:tc>
        <w:tc>
          <w:tcPr>
            <w:tcW w:w="33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5" w:type="dxa"/>
            <w:gridSpan w:val="3"/>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5" w:type="dxa"/>
            <w:gridSpan w:val="3"/>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00" w:after="283"/>
        <w:rPr>
          <w:rFonts w:ascii="Times New Roman;sans-serif" w:hAnsi="Times New Roman;sans-serif"/>
          <w:b w:val="false"/>
          <w:color w:val="000000"/>
          <w:sz w:val="22"/>
        </w:rPr>
      </w:pPr>
      <w:r>
        <w:rPr>
          <w:rFonts w:ascii="Times New Roman;sans-serif" w:hAnsi="Times New Roman;sans-serif"/>
          <w:b w:val="false"/>
          <w:color w:val="000000"/>
          <w:sz w:val="22"/>
        </w:rPr>
        <w:t>________________</w:t>
      </w:r>
    </w:p>
    <w:p>
      <w:pPr>
        <w:pStyle w:val="TextBody"/>
        <w:spacing w:lineRule="auto" w:line="288" w:before="0" w:after="0"/>
        <w:ind w:left="0" w:right="0" w:hanging="720"/>
        <w:jc w:val="both"/>
        <w:rPr/>
      </w:pPr>
      <w:r>
        <w:rPr>
          <w:rFonts w:ascii="Times New Roman;sans-serif" w:hAnsi="Times New Roman;sans-serif"/>
          <w:b w:val="false"/>
          <w:color w:val="000000"/>
          <w:sz w:val="18"/>
        </w:rPr>
        <w:t xml:space="preserve">(1)See Note 11 - </w:t>
      </w:r>
      <w:r>
        <w:rPr>
          <w:rFonts w:ascii="Times New Roman;sans-serif" w:hAnsi="Times New Roman;sans-serif"/>
          <w:b w:val="false"/>
          <w:i/>
          <w:color w:val="000000"/>
          <w:sz w:val="18"/>
        </w:rPr>
        <w:t xml:space="preserve">Income Taxes </w:t>
      </w:r>
      <w:r>
        <w:rPr>
          <w:rFonts w:ascii="Times New Roman;sans-serif" w:hAnsi="Times New Roman;sans-serif"/>
          <w:b w:val="false"/>
          <w:color w:val="000000"/>
          <w:sz w:val="18"/>
        </w:rPr>
        <w:t xml:space="preserve">of the Notes to Consolidated Financial Statements for details regarding value added tax exemptions in connection with recent Brazil tax legislation.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increase in Restaurant sales during the thirteen weeks ended March 26, 2023, was primarily due to: (i) higher comparable restaurant sales, (ii) the opening of 47 new restaurants not included in our comparable restaurant sales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754225e3f1024615994983297e2dce8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base, (iii) value added tax exemptions in Brazil as a result of recent tax legislation and (iv) the effect of foreign currency translation of the Brazilian Real relative to the U.S. dollar. The increase in Restaurant sales was partially offset by the closure of 19 restaurants since December 26, 2021.</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Average Restaurant Unit Volumes and Operating Weeks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Following is a summary of the average restaurant unit volumes and operating weeks for the periods indicated:</w:t>
      </w:r>
    </w:p>
    <w:tbl>
      <w:tblPr>
        <w:tblW w:w="9120" w:type="dxa"/>
        <w:jc w:val="left"/>
        <w:tblInd w:w="0" w:type="dxa"/>
        <w:tblCellMar>
          <w:top w:w="28" w:type="dxa"/>
          <w:left w:w="28" w:type="dxa"/>
          <w:bottom w:w="28" w:type="dxa"/>
          <w:right w:w="28" w:type="dxa"/>
        </w:tblCellMar>
      </w:tblPr>
      <w:tblGrid>
        <w:gridCol w:w="1136"/>
        <w:gridCol w:w="997"/>
        <w:gridCol w:w="1001"/>
        <w:gridCol w:w="109"/>
        <w:gridCol w:w="109"/>
        <w:gridCol w:w="739"/>
        <w:gridCol w:w="739"/>
        <w:gridCol w:w="741"/>
        <w:gridCol w:w="109"/>
        <w:gridCol w:w="268"/>
        <w:gridCol w:w="1008"/>
        <w:gridCol w:w="149"/>
        <w:gridCol w:w="109"/>
        <w:gridCol w:w="109"/>
        <w:gridCol w:w="109"/>
        <w:gridCol w:w="268"/>
        <w:gridCol w:w="1008"/>
        <w:gridCol w:w="149"/>
        <w:gridCol w:w="109"/>
        <w:gridCol w:w="154"/>
      </w:tblGrid>
      <w:tr>
        <w:trPr/>
        <w:tc>
          <w:tcPr>
            <w:tcW w:w="1136" w:type="dxa"/>
            <w:tcBorders/>
            <w:shd w:fill="auto" w:val="clear"/>
            <w:vAlign w:val="center"/>
          </w:tcPr>
          <w:p>
            <w:pPr>
              <w:pStyle w:val="TableContents"/>
              <w:spacing w:before="0" w:after="283"/>
              <w:rPr>
                <w:sz w:val="4"/>
                <w:szCs w:val="4"/>
              </w:rPr>
            </w:pPr>
            <w:r>
              <w:rPr>
                <w:sz w:val="4"/>
                <w:szCs w:val="4"/>
              </w:rPr>
            </w:r>
          </w:p>
        </w:tc>
        <w:tc>
          <w:tcPr>
            <w:tcW w:w="997"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549" w:type="dxa"/>
            <w:gridSpan w:val="12"/>
            <w:tcBorders/>
            <w:shd w:fill="auto" w:val="clear"/>
          </w:tcPr>
          <w:p>
            <w:pPr>
              <w:pStyle w:val="TableContents"/>
              <w:spacing w:before="0" w:after="283"/>
              <w:rPr>
                <w:sz w:val="4"/>
                <w:szCs w:val="4"/>
              </w:rPr>
            </w:pPr>
            <w:r>
              <w:rPr>
                <w:sz w:val="4"/>
                <w:szCs w:val="4"/>
              </w:rPr>
            </w:r>
          </w:p>
        </w:tc>
      </w:tr>
      <w:tr>
        <w:trPr/>
        <w:tc>
          <w:tcPr>
            <w:tcW w:w="31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26, 2023</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27, 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restaurant unit volumes (weekly):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5" w:type="dxa"/>
            <w:gridSpan w:val="3"/>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84,506 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80,552 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72,687 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67,889 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70,146 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66,265 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121,625 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117,382 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Brazil (1)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63,170 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53,939 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weeks: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7,358 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7,320 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2,587 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2,587 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2,248 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2,285 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Brazil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1,788 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1,581 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spacing w:lineRule="auto" w:line="288" w:before="0" w:after="0"/>
        <w:ind w:left="0" w:right="0" w:hanging="720"/>
        <w:jc w:val="both"/>
        <w:rPr/>
      </w:pPr>
      <w:r>
        <w:rPr>
          <w:rFonts w:ascii="Times New Roman;sans-serif" w:hAnsi="Times New Roman;sans-serif"/>
          <w:b w:val="false"/>
          <w:color w:val="000000"/>
          <w:sz w:val="18"/>
        </w:rPr>
        <w:t xml:space="preserve">(1)Translated at average exchange rates of 5.21 and 5.47 for the thirteen weeks ended March 26, 2023 and March 27, 2022, respectively. Excludes the benefit of the Brazil value added tax exemptions discussed in Note 11 - </w:t>
      </w:r>
      <w:r>
        <w:rPr>
          <w:rFonts w:ascii="Times New Roman;sans-serif" w:hAnsi="Times New Roman;sans-serif"/>
          <w:b w:val="false"/>
          <w:i/>
          <w:color w:val="000000"/>
          <w:sz w:val="18"/>
        </w:rPr>
        <w:t>Income Taxes</w:t>
      </w:r>
      <w:r>
        <w:rPr>
          <w:color w:val="000000"/>
        </w:rPr>
        <w:t xml:space="preserve"> </w:t>
      </w:r>
      <w:r>
        <w:rPr>
          <w:rFonts w:ascii="Times New Roman;sans-serif" w:hAnsi="Times New Roman;sans-serif"/>
          <w:b w:val="false"/>
          <w:color w:val="000000"/>
          <w:sz w:val="18"/>
        </w:rPr>
        <w:t>of the Notes to Consolidated Financial Statements.</w:t>
      </w:r>
    </w:p>
    <w:p>
      <w:pPr>
        <w:pStyle w:val="TextBody"/>
        <w:spacing w:before="0" w:after="20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754225e3f1024615994983297e2dce8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 xml:space="preserve">Comparable Restaurant Sales, Traffic and Average Check Per Person Increases (Decreases)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Following is a summary of comparable restaurant sales, traffic and average check per person increases (decreases) for the periods indicated:</w:t>
      </w:r>
    </w:p>
    <w:tbl>
      <w:tblPr>
        <w:tblW w:w="9526" w:type="dxa"/>
        <w:jc w:val="left"/>
        <w:tblInd w:w="0" w:type="dxa"/>
        <w:tblCellMar>
          <w:top w:w="28" w:type="dxa"/>
          <w:left w:w="28" w:type="dxa"/>
          <w:bottom w:w="28" w:type="dxa"/>
          <w:right w:w="28" w:type="dxa"/>
        </w:tblCellMar>
      </w:tblPr>
      <w:tblGrid>
        <w:gridCol w:w="1757"/>
        <w:gridCol w:w="1545"/>
        <w:gridCol w:w="1557"/>
        <w:gridCol w:w="109"/>
        <w:gridCol w:w="109"/>
        <w:gridCol w:w="109"/>
        <w:gridCol w:w="109"/>
        <w:gridCol w:w="109"/>
        <w:gridCol w:w="109"/>
        <w:gridCol w:w="348"/>
        <w:gridCol w:w="348"/>
        <w:gridCol w:w="348"/>
        <w:gridCol w:w="348"/>
        <w:gridCol w:w="825"/>
        <w:gridCol w:w="109"/>
        <w:gridCol w:w="109"/>
        <w:gridCol w:w="109"/>
        <w:gridCol w:w="308"/>
        <w:gridCol w:w="308"/>
        <w:gridCol w:w="853"/>
      </w:tblGrid>
      <w:tr>
        <w:trPr/>
        <w:tc>
          <w:tcPr>
            <w:tcW w:w="1757" w:type="dxa"/>
            <w:tcBorders/>
            <w:shd w:fill="auto" w:val="clear"/>
            <w:vAlign w:val="center"/>
          </w:tcPr>
          <w:p>
            <w:pPr>
              <w:pStyle w:val="TableContents"/>
              <w:spacing w:before="0" w:after="283"/>
              <w:rPr>
                <w:sz w:val="4"/>
                <w:szCs w:val="4"/>
              </w:rPr>
            </w:pPr>
            <w:r>
              <w:rPr>
                <w:sz w:val="4"/>
                <w:szCs w:val="4"/>
              </w:rPr>
            </w:r>
          </w:p>
        </w:tc>
        <w:tc>
          <w:tcPr>
            <w:tcW w:w="1545" w:type="dxa"/>
            <w:tcBorders/>
            <w:shd w:fill="auto" w:val="clear"/>
            <w:vAlign w:val="center"/>
          </w:tcPr>
          <w:p>
            <w:pPr>
              <w:pStyle w:val="TableContents"/>
              <w:spacing w:before="0" w:after="283"/>
              <w:rPr>
                <w:sz w:val="4"/>
                <w:szCs w:val="4"/>
              </w:rPr>
            </w:pPr>
            <w:r>
              <w:rPr>
                <w:sz w:val="4"/>
                <w:szCs w:val="4"/>
              </w:rPr>
            </w:r>
          </w:p>
        </w:tc>
        <w:tc>
          <w:tcPr>
            <w:tcW w:w="15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r>
      <w:tr>
        <w:trPr/>
        <w:tc>
          <w:tcPr>
            <w:tcW w:w="4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7"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1796" w:type="dxa"/>
            <w:gridSpan w:val="6"/>
            <w:tcBorders/>
            <w:shd w:fill="auto" w:val="clear"/>
          </w:tcPr>
          <w:p>
            <w:pPr>
              <w:pStyle w:val="TableContents"/>
              <w:spacing w:before="0" w:after="283"/>
              <w:rPr>
                <w:sz w:val="4"/>
                <w:szCs w:val="4"/>
              </w:rPr>
            </w:pPr>
            <w:r>
              <w:rPr>
                <w:sz w:val="4"/>
                <w:szCs w:val="4"/>
              </w:rPr>
            </w:r>
          </w:p>
        </w:tc>
      </w:tr>
      <w:tr>
        <w:trPr/>
        <w:tc>
          <w:tcPr>
            <w:tcW w:w="4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521"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26, 2023</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27, 2022</w:t>
            </w:r>
          </w:p>
        </w:tc>
      </w:tr>
      <w:tr>
        <w:trPr/>
        <w:tc>
          <w:tcPr>
            <w:tcW w:w="48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5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9" w:type="dxa"/>
            <w:gridSpan w:val="3"/>
            <w:tcBorders/>
            <w:shd w:fill="auto" w:val="clear"/>
            <w:vAlign w:val="center"/>
          </w:tcPr>
          <w:p>
            <w:pPr>
              <w:pStyle w:val="TableContents"/>
              <w:spacing w:before="0" w:after="283"/>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Year over year percentage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521"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Comparable restaurant sales (restaurants open 18 months or more):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Outback Steakhouse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8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85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8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8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8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21.3 </w:t>
            </w:r>
          </w:p>
        </w:tc>
        <w:tc>
          <w:tcPr>
            <w:tcW w:w="85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8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45.7 </w:t>
            </w:r>
          </w:p>
        </w:tc>
        <w:tc>
          <w:tcPr>
            <w:tcW w:w="8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Combined U.S.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8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85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Brazil (2)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8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35.9 </w:t>
            </w:r>
          </w:p>
        </w:tc>
        <w:tc>
          <w:tcPr>
            <w:tcW w:w="85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8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5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9" w:type="dxa"/>
            <w:gridSpan w:val="3"/>
            <w:tcBorders/>
            <w:shd w:fill="auto" w:val="clear"/>
            <w:vAlign w:val="center"/>
          </w:tcPr>
          <w:p>
            <w:pPr>
              <w:pStyle w:val="TableContents"/>
              <w:spacing w:before="0" w:after="283"/>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Traffic: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8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85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8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8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8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85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8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28.8 </w:t>
            </w:r>
          </w:p>
        </w:tc>
        <w:tc>
          <w:tcPr>
            <w:tcW w:w="8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Combined U.S.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8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85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Brazil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8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28.7 </w:t>
            </w:r>
          </w:p>
        </w:tc>
        <w:tc>
          <w:tcPr>
            <w:tcW w:w="85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8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5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9" w:type="dxa"/>
            <w:gridSpan w:val="3"/>
            <w:tcBorders/>
            <w:shd w:fill="auto" w:val="clear"/>
            <w:vAlign w:val="center"/>
          </w:tcPr>
          <w:p>
            <w:pPr>
              <w:pStyle w:val="TableContents"/>
              <w:spacing w:before="0" w:after="283"/>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check per person (3):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8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85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8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8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8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85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8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16.9 </w:t>
            </w:r>
          </w:p>
        </w:tc>
        <w:tc>
          <w:tcPr>
            <w:tcW w:w="8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Combined U.S.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8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85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Brazil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8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85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8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5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(1)Relocated restaurants closed more than 60 days are excluded from comparable restaurant sales until at least 18 months after reopening.</w:t>
      </w:r>
    </w:p>
    <w:p>
      <w:pPr>
        <w:pStyle w:val="TextBody"/>
        <w:spacing w:lineRule="auto" w:line="288" w:before="0" w:after="0"/>
        <w:ind w:left="0" w:right="0" w:hanging="720"/>
        <w:jc w:val="both"/>
        <w:rPr/>
      </w:pPr>
      <w:r>
        <w:rPr>
          <w:rFonts w:ascii="Times New Roman;sans-serif" w:hAnsi="Times New Roman;sans-serif"/>
          <w:b w:val="false"/>
          <w:color w:val="000000"/>
          <w:sz w:val="18"/>
        </w:rPr>
        <w:t xml:space="preserve">(2)Includes trading day impact from calendar period reporting. Excludes the effect of fluctuations in foreign currency rates and the benefit of the Brazil value added tax exemptions discussed in Note 11 - </w:t>
      </w:r>
      <w:r>
        <w:rPr>
          <w:rFonts w:ascii="Times New Roman;sans-serif" w:hAnsi="Times New Roman;sans-serif"/>
          <w:b w:val="false"/>
          <w:i/>
          <w:color w:val="000000"/>
          <w:sz w:val="18"/>
        </w:rPr>
        <w:t>Income Taxes</w:t>
      </w:r>
      <w:r>
        <w:rPr>
          <w:color w:val="000000"/>
        </w:rPr>
        <w:t xml:space="preserve"> </w:t>
      </w:r>
      <w:r>
        <w:rPr>
          <w:rFonts w:ascii="Times New Roman;sans-serif" w:hAnsi="Times New Roman;sans-serif"/>
          <w:b w:val="false"/>
          <w:color w:val="000000"/>
          <w:sz w:val="18"/>
        </w:rPr>
        <w:t>of the Notes to Consolidated Financial Statements.</w:t>
      </w:r>
    </w:p>
    <w:p>
      <w:pPr>
        <w:pStyle w:val="TextBody"/>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(3)Includes the impact of menu pricing changes, product mix and discounts.</w:t>
      </w:r>
    </w:p>
    <w:p>
      <w:pPr>
        <w:pStyle w:val="TextBody"/>
        <w:spacing w:before="0" w:after="0"/>
        <w:ind w:left="0" w:right="0" w:hanging="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val="false"/>
          <w:i/>
          <w:color w:val="000000"/>
          <w:sz w:val="22"/>
        </w:rPr>
        <w:t>Franchise and other revenues</w:t>
      </w:r>
      <w:r>
        <w:rPr>
          <w:color w:val="000000"/>
        </w:rPr>
        <w:t xml:space="preserve"> </w:t>
      </w:r>
    </w:p>
    <w:tbl>
      <w:tblPr>
        <w:tblW w:w="6639" w:type="dxa"/>
        <w:jc w:val="left"/>
        <w:tblInd w:w="0" w:type="dxa"/>
        <w:tblCellMar>
          <w:top w:w="28" w:type="dxa"/>
          <w:left w:w="28" w:type="dxa"/>
          <w:bottom w:w="28" w:type="dxa"/>
          <w:right w:w="28" w:type="dxa"/>
        </w:tblCellMar>
      </w:tblPr>
      <w:tblGrid>
        <w:gridCol w:w="793"/>
        <w:gridCol w:w="697"/>
        <w:gridCol w:w="699"/>
        <w:gridCol w:w="109"/>
        <w:gridCol w:w="109"/>
        <w:gridCol w:w="244"/>
        <w:gridCol w:w="244"/>
        <w:gridCol w:w="440"/>
        <w:gridCol w:w="1046"/>
        <w:gridCol w:w="244"/>
        <w:gridCol w:w="109"/>
        <w:gridCol w:w="109"/>
        <w:gridCol w:w="109"/>
        <w:gridCol w:w="362"/>
        <w:gridCol w:w="861"/>
        <w:gridCol w:w="201"/>
        <w:gridCol w:w="109"/>
        <w:gridCol w:w="154"/>
      </w:tblGrid>
      <w:tr>
        <w:trPr/>
        <w:tc>
          <w:tcPr>
            <w:tcW w:w="793"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8"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2014" w:type="dxa"/>
            <w:gridSpan w:val="8"/>
            <w:tcBorders/>
            <w:shd w:fill="auto" w:val="clear"/>
          </w:tcPr>
          <w:p>
            <w:pPr>
              <w:pStyle w:val="TableContents"/>
              <w:spacing w:before="0" w:after="283"/>
              <w:rPr>
                <w:sz w:val="4"/>
                <w:szCs w:val="4"/>
              </w:rPr>
            </w:pPr>
            <w:r>
              <w:rPr>
                <w:sz w:val="4"/>
                <w:szCs w:val="4"/>
              </w:rPr>
            </w:r>
          </w:p>
        </w:tc>
      </w:tr>
      <w:tr>
        <w:trPr/>
        <w:tc>
          <w:tcPr>
            <w:tcW w:w="21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730"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26, 2023</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27, 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440"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244"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2"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1"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201"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and other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44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24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20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754225e3f1024615994983297e2dce8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spacing w:lineRule="auto" w:line="288"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COSTS AND EXPENSES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Food and beverage costs</w:t>
      </w:r>
    </w:p>
    <w:tbl>
      <w:tblPr>
        <w:tblW w:w="7348" w:type="dxa"/>
        <w:jc w:val="left"/>
        <w:tblInd w:w="0" w:type="dxa"/>
        <w:tblCellMar>
          <w:top w:w="28" w:type="dxa"/>
          <w:left w:w="28" w:type="dxa"/>
          <w:bottom w:w="28" w:type="dxa"/>
          <w:right w:w="28" w:type="dxa"/>
        </w:tblCellMar>
      </w:tblPr>
      <w:tblGrid>
        <w:gridCol w:w="598"/>
        <w:gridCol w:w="525"/>
        <w:gridCol w:w="527"/>
        <w:gridCol w:w="109"/>
        <w:gridCol w:w="109"/>
        <w:gridCol w:w="109"/>
        <w:gridCol w:w="109"/>
        <w:gridCol w:w="197"/>
        <w:gridCol w:w="197"/>
        <w:gridCol w:w="355"/>
        <w:gridCol w:w="1007"/>
        <w:gridCol w:w="463"/>
        <w:gridCol w:w="109"/>
        <w:gridCol w:w="109"/>
        <w:gridCol w:w="109"/>
        <w:gridCol w:w="277"/>
        <w:gridCol w:w="786"/>
        <w:gridCol w:w="362"/>
        <w:gridCol w:w="109"/>
        <w:gridCol w:w="109"/>
        <w:gridCol w:w="109"/>
        <w:gridCol w:w="224"/>
        <w:gridCol w:w="226"/>
        <w:gridCol w:w="514"/>
      </w:tblGrid>
      <w:tr>
        <w:trPr/>
        <w:tc>
          <w:tcPr>
            <w:tcW w:w="598"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r>
      <w:tr>
        <w:trPr/>
        <w:tc>
          <w:tcPr>
            <w:tcW w:w="1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9"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6"/>
            <w:tcBorders/>
            <w:shd w:fill="auto" w:val="clear"/>
          </w:tcPr>
          <w:p>
            <w:pPr>
              <w:pStyle w:val="TableContents"/>
              <w:spacing w:before="0" w:after="283"/>
              <w:rPr>
                <w:sz w:val="4"/>
                <w:szCs w:val="4"/>
              </w:rPr>
            </w:pPr>
            <w:r>
              <w:rPr>
                <w:sz w:val="4"/>
                <w:szCs w:val="4"/>
              </w:rPr>
            </w:r>
          </w:p>
        </w:tc>
      </w:tr>
      <w:tr>
        <w:trPr/>
        <w:tc>
          <w:tcPr>
            <w:tcW w:w="16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82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26, 2023</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27,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355"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384.2 </w:t>
            </w:r>
          </w:p>
        </w:tc>
        <w:tc>
          <w:tcPr>
            <w:tcW w:w="463"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359.4 </w:t>
            </w:r>
          </w:p>
        </w:tc>
        <w:tc>
          <w:tcPr>
            <w:tcW w:w="362"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Restaurant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46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3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5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Food and beverage costs decreased as a percentage of Restaurant sales during the thirteen weeks ended March 26, 2023 as compared to the thirteen weeks ended March 27, 2022 primarily due to 2.1% from increases in average check per person, primarily driven by an increase in menu pricing, and 0.4% from the impact of certain cost saving initiatives. These decreases were partially offset by an increase as a percentage of Restaurant sales of 1.9% from commodity inflation.</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Labor and other related expenses</w:t>
      </w:r>
    </w:p>
    <w:tbl>
      <w:tblPr>
        <w:tblW w:w="7408" w:type="dxa"/>
        <w:jc w:val="left"/>
        <w:tblInd w:w="0" w:type="dxa"/>
        <w:tblCellMar>
          <w:top w:w="28" w:type="dxa"/>
          <w:left w:w="28" w:type="dxa"/>
          <w:bottom w:w="28" w:type="dxa"/>
          <w:right w:w="28" w:type="dxa"/>
        </w:tblCellMar>
      </w:tblPr>
      <w:tblGrid>
        <w:gridCol w:w="636"/>
        <w:gridCol w:w="558"/>
        <w:gridCol w:w="560"/>
        <w:gridCol w:w="109"/>
        <w:gridCol w:w="109"/>
        <w:gridCol w:w="109"/>
        <w:gridCol w:w="109"/>
        <w:gridCol w:w="197"/>
        <w:gridCol w:w="197"/>
        <w:gridCol w:w="355"/>
        <w:gridCol w:w="1007"/>
        <w:gridCol w:w="463"/>
        <w:gridCol w:w="109"/>
        <w:gridCol w:w="109"/>
        <w:gridCol w:w="109"/>
        <w:gridCol w:w="277"/>
        <w:gridCol w:w="786"/>
        <w:gridCol w:w="362"/>
        <w:gridCol w:w="109"/>
        <w:gridCol w:w="109"/>
        <w:gridCol w:w="109"/>
        <w:gridCol w:w="203"/>
        <w:gridCol w:w="203"/>
        <w:gridCol w:w="514"/>
      </w:tblGrid>
      <w:tr>
        <w:trPr/>
        <w:tc>
          <w:tcPr>
            <w:tcW w:w="636"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r>
      <w:tr>
        <w:trPr/>
        <w:tc>
          <w:tcPr>
            <w:tcW w:w="1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9"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6"/>
            <w:tcBorders/>
            <w:shd w:fill="auto" w:val="clear"/>
          </w:tcPr>
          <w:p>
            <w:pPr>
              <w:pStyle w:val="TableContents"/>
              <w:spacing w:before="0" w:after="283"/>
              <w:rPr>
                <w:sz w:val="4"/>
                <w:szCs w:val="4"/>
              </w:rPr>
            </w:pPr>
            <w:r>
              <w:rPr>
                <w:sz w:val="4"/>
                <w:szCs w:val="4"/>
              </w:rPr>
            </w:r>
          </w:p>
        </w:tc>
      </w:tr>
      <w:tr>
        <w:trPr/>
        <w:tc>
          <w:tcPr>
            <w:tcW w:w="17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82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26, 2023</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27,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7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 and other related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355"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341.5 </w:t>
            </w:r>
          </w:p>
        </w:tc>
        <w:tc>
          <w:tcPr>
            <w:tcW w:w="463"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312.5 </w:t>
            </w:r>
          </w:p>
        </w:tc>
        <w:tc>
          <w:tcPr>
            <w:tcW w:w="362"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Restaurant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46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3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Labor and other related expenses were flat as a percentage of Restaurant sales during the thirteen weeks ended March 26, 2023 as compared to the thirteen weeks ended March 27, 2022 primarily due to an increase of 1.6% from higher labor costs, primarily due to wage rate inflation. This increase was partially offset by a decrease as a percentage of Restaurant sales of 1.5% from leveraging increased restaurant sales due to increases in average check per person, primarily driven by an increase in menu pricing, and lapping the impact of COVID-19 in Brazil and Hong Kong.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Other restaurant operating expenses</w:t>
      </w:r>
    </w:p>
    <w:tbl>
      <w:tblPr>
        <w:tblW w:w="7663" w:type="dxa"/>
        <w:jc w:val="left"/>
        <w:tblInd w:w="0" w:type="dxa"/>
        <w:tblCellMar>
          <w:top w:w="28" w:type="dxa"/>
          <w:left w:w="28" w:type="dxa"/>
          <w:bottom w:w="28" w:type="dxa"/>
          <w:right w:w="28" w:type="dxa"/>
        </w:tblCellMar>
      </w:tblPr>
      <w:tblGrid>
        <w:gridCol w:w="712"/>
        <w:gridCol w:w="625"/>
        <w:gridCol w:w="628"/>
        <w:gridCol w:w="109"/>
        <w:gridCol w:w="109"/>
        <w:gridCol w:w="109"/>
        <w:gridCol w:w="109"/>
        <w:gridCol w:w="197"/>
        <w:gridCol w:w="197"/>
        <w:gridCol w:w="355"/>
        <w:gridCol w:w="1007"/>
        <w:gridCol w:w="463"/>
        <w:gridCol w:w="109"/>
        <w:gridCol w:w="109"/>
        <w:gridCol w:w="109"/>
        <w:gridCol w:w="277"/>
        <w:gridCol w:w="786"/>
        <w:gridCol w:w="362"/>
        <w:gridCol w:w="109"/>
        <w:gridCol w:w="109"/>
        <w:gridCol w:w="109"/>
        <w:gridCol w:w="224"/>
        <w:gridCol w:w="226"/>
        <w:gridCol w:w="514"/>
      </w:tblGrid>
      <w:tr>
        <w:trPr/>
        <w:tc>
          <w:tcPr>
            <w:tcW w:w="712"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9"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6"/>
            <w:tcBorders/>
            <w:shd w:fill="auto" w:val="clea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82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26, 2023</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27,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9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restaurant operating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355"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282.9 </w:t>
            </w:r>
          </w:p>
        </w:tc>
        <w:tc>
          <w:tcPr>
            <w:tcW w:w="463"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259.1 </w:t>
            </w:r>
          </w:p>
        </w:tc>
        <w:tc>
          <w:tcPr>
            <w:tcW w:w="362"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Restaurant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46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23.1 </w:t>
            </w:r>
          </w:p>
        </w:tc>
        <w:tc>
          <w:tcPr>
            <w:tcW w:w="3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5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Other restaurant operating expenses were flat as a percentage of Restaurant sales during the thirteen weeks ended March 26, 2023 as compared to the thirteen weeks ended March 27, 2022 primarily due to 1.6% from leveraging increased restaurant sales due to increases in average check per person, primarily driven by an increase in menu pricing, and lapping the impact of COVID-19 in Brazil and Hong Kong. This decrease was offset by an increase as a percentage of Restaurant sales of 1.6% from higher operating expenses including utilities, primarily due to inflation.</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754225e3f1024615994983297e2dce8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spacing w:lineRule="auto" w:line="288" w:before="0" w:after="0"/>
        <w:jc w:val="both"/>
        <w:rPr>
          <w:rFonts w:ascii="Times New Roman;sans-serif" w:hAnsi="Times New Roman;sans-serif"/>
          <w:b w:val="false"/>
          <w:i/>
          <w:color w:val="000000"/>
          <w:sz w:val="22"/>
          <w:highlight w:val="white"/>
        </w:rPr>
      </w:pPr>
      <w:r>
        <w:rPr>
          <w:rFonts w:ascii="Times New Roman;sans-serif" w:hAnsi="Times New Roman;sans-serif"/>
          <w:b w:val="false"/>
          <w:i/>
          <w:color w:val="000000"/>
          <w:sz w:val="22"/>
          <w:highlight w:val="white"/>
        </w:rPr>
        <w:t>Depreciation and amortization</w:t>
      </w:r>
    </w:p>
    <w:p>
      <w:pPr>
        <w:pStyle w:val="TextBody"/>
        <w:spacing w:before="0" w:after="0"/>
        <w:jc w:val="both"/>
        <w:rPr/>
      </w:pPr>
      <w:r>
        <w:rPr/>
      </w:r>
    </w:p>
    <w:tbl>
      <w:tblPr>
        <w:tblW w:w="7853" w:type="dxa"/>
        <w:jc w:val="left"/>
        <w:tblInd w:w="0" w:type="dxa"/>
        <w:tblCellMar>
          <w:top w:w="28" w:type="dxa"/>
          <w:left w:w="28" w:type="dxa"/>
          <w:bottom w:w="28" w:type="dxa"/>
          <w:right w:w="28" w:type="dxa"/>
        </w:tblCellMar>
      </w:tblPr>
      <w:tblGrid>
        <w:gridCol w:w="810"/>
        <w:gridCol w:w="711"/>
        <w:gridCol w:w="714"/>
        <w:gridCol w:w="109"/>
        <w:gridCol w:w="109"/>
        <w:gridCol w:w="109"/>
        <w:gridCol w:w="109"/>
        <w:gridCol w:w="244"/>
        <w:gridCol w:w="244"/>
        <w:gridCol w:w="440"/>
        <w:gridCol w:w="1046"/>
        <w:gridCol w:w="244"/>
        <w:gridCol w:w="109"/>
        <w:gridCol w:w="109"/>
        <w:gridCol w:w="109"/>
        <w:gridCol w:w="362"/>
        <w:gridCol w:w="861"/>
        <w:gridCol w:w="201"/>
        <w:gridCol w:w="109"/>
        <w:gridCol w:w="109"/>
        <w:gridCol w:w="109"/>
        <w:gridCol w:w="239"/>
        <w:gridCol w:w="458"/>
        <w:gridCol w:w="189"/>
      </w:tblGrid>
      <w:tr>
        <w:trPr/>
        <w:tc>
          <w:tcPr>
            <w:tcW w:w="810"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r>
      <w:tr>
        <w:trPr/>
        <w:tc>
          <w:tcPr>
            <w:tcW w:w="22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8"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6"/>
            <w:tcBorders/>
            <w:shd w:fill="auto" w:val="clear"/>
          </w:tcPr>
          <w:p>
            <w:pPr>
              <w:pStyle w:val="TableContents"/>
              <w:spacing w:before="0" w:after="283"/>
              <w:rPr>
                <w:sz w:val="4"/>
                <w:szCs w:val="4"/>
              </w:rPr>
            </w:pPr>
            <w:r>
              <w:rPr>
                <w:sz w:val="4"/>
                <w:szCs w:val="4"/>
              </w:rPr>
            </w:r>
          </w:p>
        </w:tc>
      </w:tr>
      <w:tr>
        <w:trPr/>
        <w:tc>
          <w:tcPr>
            <w:tcW w:w="22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730"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26, 2023</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27,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440"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46.3 </w:t>
            </w:r>
          </w:p>
        </w:tc>
        <w:tc>
          <w:tcPr>
            <w:tcW w:w="244"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2"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1"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41.8 </w:t>
            </w:r>
          </w:p>
        </w:tc>
        <w:tc>
          <w:tcPr>
            <w:tcW w:w="201"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8"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8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7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Depreciation and amortization increased during the thirteen weeks ended March 26, 2023 as compared to the thirteen weeks ended March 27, 2022 primarily due to additional depreciation expense related to: (i) technology projects, (ii) upgraded kitchen equipment and (iii) restaurant remodels, openings and relocations.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General and administrative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General and administrative expense includes salaries and benefits, management incentive programs, related payroll tax and benefits, other employee-related costs and professional services. Following is a summary of the change in General and administrative expense for the period indicated:</w:t>
      </w:r>
    </w:p>
    <w:tbl>
      <w:tblPr>
        <w:tblW w:w="5362" w:type="dxa"/>
        <w:jc w:val="left"/>
        <w:tblInd w:w="0" w:type="dxa"/>
        <w:tblCellMar>
          <w:top w:w="28" w:type="dxa"/>
          <w:left w:w="28" w:type="dxa"/>
          <w:bottom w:w="28" w:type="dxa"/>
          <w:right w:w="28" w:type="dxa"/>
        </w:tblCellMar>
      </w:tblPr>
      <w:tblGrid>
        <w:gridCol w:w="1043"/>
        <w:gridCol w:w="917"/>
        <w:gridCol w:w="920"/>
        <w:gridCol w:w="109"/>
        <w:gridCol w:w="109"/>
        <w:gridCol w:w="542"/>
        <w:gridCol w:w="1292"/>
        <w:gridCol w:w="430"/>
      </w:tblGrid>
      <w:tr>
        <w:trPr/>
        <w:tc>
          <w:tcPr>
            <w:tcW w:w="1043"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292"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 the period ended March 27,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2"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2"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58.7 </w:t>
            </w:r>
          </w:p>
        </w:tc>
        <w:tc>
          <w:tcPr>
            <w:tcW w:w="430"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from:</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Legal and professional fees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4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benefits and payroll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4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4" w:type="dxa"/>
            <w:gridSpan w:val="3"/>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Travel and entertainment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4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4" w:type="dxa"/>
            <w:gridSpan w:val="3"/>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4" w:type="dxa"/>
            <w:gridSpan w:val="3"/>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4" w:type="dxa"/>
            <w:gridSpan w:val="3"/>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4" w:type="dxa"/>
            <w:gridSpan w:val="3"/>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4" w:type="dxa"/>
            <w:gridSpan w:val="3"/>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4" w:type="dxa"/>
            <w:gridSpan w:val="3"/>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4" w:type="dxa"/>
            <w:gridSpan w:val="3"/>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4" w:type="dxa"/>
            <w:gridSpan w:val="3"/>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4" w:type="dxa"/>
            <w:gridSpan w:val="3"/>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4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 the period ended March 26, 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65.8 </w:t>
            </w:r>
          </w:p>
        </w:tc>
        <w:tc>
          <w:tcPr>
            <w:tcW w:w="43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4" w:type="dxa"/>
            <w:gridSpan w:val="3"/>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4" w:type="dxa"/>
            <w:gridSpan w:val="3"/>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 xml:space="preserve">Income from operations </w:t>
      </w:r>
    </w:p>
    <w:tbl>
      <w:tblPr>
        <w:tblW w:w="7512" w:type="dxa"/>
        <w:jc w:val="left"/>
        <w:tblInd w:w="0" w:type="dxa"/>
        <w:tblCellMar>
          <w:top w:w="28" w:type="dxa"/>
          <w:left w:w="28" w:type="dxa"/>
          <w:bottom w:w="28" w:type="dxa"/>
          <w:right w:w="28" w:type="dxa"/>
        </w:tblCellMar>
      </w:tblPr>
      <w:tblGrid>
        <w:gridCol w:w="658"/>
        <w:gridCol w:w="577"/>
        <w:gridCol w:w="580"/>
        <w:gridCol w:w="109"/>
        <w:gridCol w:w="109"/>
        <w:gridCol w:w="109"/>
        <w:gridCol w:w="109"/>
        <w:gridCol w:w="197"/>
        <w:gridCol w:w="197"/>
        <w:gridCol w:w="355"/>
        <w:gridCol w:w="1007"/>
        <w:gridCol w:w="463"/>
        <w:gridCol w:w="109"/>
        <w:gridCol w:w="109"/>
        <w:gridCol w:w="109"/>
        <w:gridCol w:w="277"/>
        <w:gridCol w:w="786"/>
        <w:gridCol w:w="362"/>
        <w:gridCol w:w="109"/>
        <w:gridCol w:w="109"/>
        <w:gridCol w:w="109"/>
        <w:gridCol w:w="196"/>
        <w:gridCol w:w="466"/>
        <w:gridCol w:w="301"/>
      </w:tblGrid>
      <w:tr>
        <w:trPr/>
        <w:tc>
          <w:tcPr>
            <w:tcW w:w="658"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r>
      <w:tr>
        <w:trPr/>
        <w:tc>
          <w:tcPr>
            <w:tcW w:w="18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9"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6"/>
            <w:tcBorders/>
            <w:shd w:fill="auto" w:val="clear"/>
          </w:tcPr>
          <w:p>
            <w:pPr>
              <w:pStyle w:val="TableContents"/>
              <w:spacing w:before="0" w:after="283"/>
              <w:rPr>
                <w:sz w:val="4"/>
                <w:szCs w:val="4"/>
              </w:rPr>
            </w:pPr>
            <w:r>
              <w:rPr>
                <w:sz w:val="4"/>
                <w:szCs w:val="4"/>
              </w:rPr>
            </w:r>
          </w:p>
        </w:tc>
      </w:tr>
      <w:tr>
        <w:trPr/>
        <w:tc>
          <w:tcPr>
            <w:tcW w:w="18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82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26, 2023</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27,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8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355"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120.6 </w:t>
            </w:r>
          </w:p>
        </w:tc>
        <w:tc>
          <w:tcPr>
            <w:tcW w:w="463"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107.3 </w:t>
            </w:r>
          </w:p>
        </w:tc>
        <w:tc>
          <w:tcPr>
            <w:tcW w:w="362"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301"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Total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46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3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increase in Income from operations generated during the thirteen weeks ended March 26, 2023 as compared to the thirteen weeks ended March 27, 2022 was primarily due to: (i) increases in comparable restaurant sales, primarily driven by an increase in menu pricing and lapping the impact of COVID-19 in Brazil and Hong Kong, (ii) the impact of certain cost saving initiatives and (iii) value added tax exemptions in Brazil as a result of recent tax legislation. These increases were partially offset by: (i) commodity inflation, (ii) higher labor costs, primarily due to wage rate inflation, and (iii) higher operating expenses including utilities, primarily due to inflation.</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2"/>
        </w:rPr>
        <w:t xml:space="preserve">During the thirteen weeks ended March 26, 2023, the increase in operating income margin included approximately 0.3% attributable to exemptions from Brazil federal value added taxes (PIS and COFINS) on Restaurant sales provided by recent Brazil tax legislation, partially offset by corresponding limitations on allowable value added tax credits typically recognized as reductions of cost and expense lines throughout our Consolidated Statements of Operations and Comprehensive Income. See Note 11 - </w:t>
      </w:r>
      <w:r>
        <w:rPr>
          <w:rFonts w:ascii="Times New Roman;sans-serif" w:hAnsi="Times New Roman;sans-serif"/>
          <w:b w:val="false"/>
          <w:i/>
          <w:color w:val="000000"/>
          <w:sz w:val="22"/>
        </w:rPr>
        <w:t>Income Taxes</w:t>
      </w:r>
      <w:r>
        <w:rPr>
          <w:color w:val="000000"/>
        </w:rPr>
        <w:t xml:space="preserve"> </w:t>
      </w:r>
      <w:r>
        <w:rPr>
          <w:rFonts w:ascii="Times New Roman;sans-serif" w:hAnsi="Times New Roman;sans-serif"/>
          <w:b w:val="false"/>
          <w:color w:val="000000"/>
          <w:sz w:val="22"/>
        </w:rPr>
        <w:t>of the Notes to Consolidated Financial Statements for further discussion regarding Brazil tax legislation.</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754225e3f1024615994983297e2dce8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Provision for income taxes</w:t>
      </w:r>
    </w:p>
    <w:tbl>
      <w:tblPr>
        <w:tblW w:w="8770" w:type="dxa"/>
        <w:jc w:val="left"/>
        <w:tblInd w:w="0" w:type="dxa"/>
        <w:tblCellMar>
          <w:top w:w="28" w:type="dxa"/>
          <w:left w:w="28" w:type="dxa"/>
          <w:bottom w:w="28" w:type="dxa"/>
          <w:right w:w="28" w:type="dxa"/>
        </w:tblCellMar>
      </w:tblPr>
      <w:tblGrid>
        <w:gridCol w:w="1114"/>
        <w:gridCol w:w="978"/>
        <w:gridCol w:w="982"/>
        <w:gridCol w:w="109"/>
        <w:gridCol w:w="109"/>
        <w:gridCol w:w="109"/>
        <w:gridCol w:w="109"/>
        <w:gridCol w:w="197"/>
        <w:gridCol w:w="197"/>
        <w:gridCol w:w="355"/>
        <w:gridCol w:w="1007"/>
        <w:gridCol w:w="463"/>
        <w:gridCol w:w="109"/>
        <w:gridCol w:w="109"/>
        <w:gridCol w:w="109"/>
        <w:gridCol w:w="304"/>
        <w:gridCol w:w="723"/>
        <w:gridCol w:w="397"/>
        <w:gridCol w:w="109"/>
        <w:gridCol w:w="109"/>
        <w:gridCol w:w="109"/>
        <w:gridCol w:w="196"/>
        <w:gridCol w:w="466"/>
        <w:gridCol w:w="301"/>
      </w:tblGrid>
      <w:tr>
        <w:trPr/>
        <w:tc>
          <w:tcPr>
            <w:tcW w:w="1114"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9"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6"/>
            <w:tcBorders/>
            <w:shd w:fill="auto" w:val="clear"/>
          </w:tcPr>
          <w:p>
            <w:pPr>
              <w:pStyle w:val="TableContents"/>
              <w:spacing w:before="0" w:after="283"/>
              <w:rPr>
                <w:sz w:val="4"/>
                <w:szCs w:val="4"/>
              </w:rPr>
            </w:pPr>
            <w:r>
              <w:rPr>
                <w:sz w:val="4"/>
                <w:szCs w:val="4"/>
              </w:rPr>
            </w:r>
          </w:p>
        </w:tc>
      </w:tr>
      <w:tr>
        <w:trPr/>
        <w:tc>
          <w:tcPr>
            <w:tcW w:w="30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82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26, 2023</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27,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provision for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355"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108.2 </w:t>
            </w:r>
          </w:p>
        </w:tc>
        <w:tc>
          <w:tcPr>
            <w:tcW w:w="463"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3"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93.6 </w:t>
            </w:r>
          </w:p>
        </w:tc>
        <w:tc>
          <w:tcPr>
            <w:tcW w:w="397"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301"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4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3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Effective income tax rate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46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3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3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2"/>
        </w:rPr>
        <w:t xml:space="preserve">The effective income tax rate for the thirteen weeks ended March 26, 2023 decreased by 3.4 percentage points as compared to the thirteen weeks ended March 27, 2022. The decrease was primarily due to the benefits of Brazil tax legislation that include a temporary reduction in the Brazilian income tax rate from 34% to 0% applicable to the thirteen weeks ended March 26, 2023. See Note 11 - </w:t>
      </w:r>
      <w:r>
        <w:rPr>
          <w:rFonts w:ascii="Times New Roman;sans-serif" w:hAnsi="Times New Roman;sans-serif"/>
          <w:b w:val="false"/>
          <w:i/>
          <w:color w:val="000000"/>
          <w:sz w:val="22"/>
        </w:rPr>
        <w:t>Income Taxes</w:t>
      </w:r>
      <w:r>
        <w:rPr>
          <w:color w:val="000000"/>
        </w:rPr>
        <w:t xml:space="preserve"> </w:t>
      </w:r>
      <w:r>
        <w:rPr>
          <w:rFonts w:ascii="Times New Roman;sans-serif" w:hAnsi="Times New Roman;sans-serif"/>
          <w:b w:val="false"/>
          <w:color w:val="000000"/>
          <w:sz w:val="22"/>
        </w:rPr>
        <w:t>of the Notes to Consolidated Financial Statements for further discussion regarding Brazil tax legislation.</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SEGMENT PERFORMANCE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is a summary of reporting segments:</w:t>
      </w:r>
    </w:p>
    <w:tbl>
      <w:tblPr>
        <w:tblW w:w="8317" w:type="dxa"/>
        <w:jc w:val="left"/>
        <w:tblInd w:w="0" w:type="dxa"/>
        <w:tblCellMar>
          <w:top w:w="28" w:type="dxa"/>
          <w:left w:w="28" w:type="dxa"/>
          <w:bottom w:w="28" w:type="dxa"/>
          <w:right w:w="28" w:type="dxa"/>
        </w:tblCellMar>
      </w:tblPr>
      <w:tblGrid>
        <w:gridCol w:w="852"/>
        <w:gridCol w:w="750"/>
        <w:gridCol w:w="752"/>
        <w:gridCol w:w="109"/>
        <w:gridCol w:w="109"/>
        <w:gridCol w:w="109"/>
        <w:gridCol w:w="1014"/>
        <w:gridCol w:w="1014"/>
        <w:gridCol w:w="1017"/>
        <w:gridCol w:w="109"/>
        <w:gridCol w:w="109"/>
        <w:gridCol w:w="109"/>
        <w:gridCol w:w="663"/>
        <w:gridCol w:w="663"/>
        <w:gridCol w:w="938"/>
      </w:tblGrid>
      <w:tr>
        <w:trPr/>
        <w:tc>
          <w:tcPr>
            <w:tcW w:w="852"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4" w:type="dxa"/>
            <w:tcBorders/>
            <w:shd w:fill="auto" w:val="clear"/>
            <w:vAlign w:val="center"/>
          </w:tcPr>
          <w:p>
            <w:pPr>
              <w:pStyle w:val="TableContents"/>
              <w:spacing w:before="0" w:after="283"/>
              <w:rPr>
                <w:sz w:val="4"/>
                <w:szCs w:val="4"/>
              </w:rPr>
            </w:pPr>
            <w:r>
              <w:rPr>
                <w:sz w:val="4"/>
                <w:szCs w:val="4"/>
              </w:rPr>
            </w:r>
          </w:p>
        </w:tc>
        <w:tc>
          <w:tcPr>
            <w:tcW w:w="1014"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r>
      <w:tr>
        <w:trPr/>
        <w:tc>
          <w:tcPr>
            <w:tcW w:w="23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REPORTABLE SEGMENT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CONCEPT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GEOGRAPHIC LOCATION</w:t>
            </w:r>
          </w:p>
        </w:tc>
      </w:tr>
      <w:tr>
        <w:trPr/>
        <w:tc>
          <w:tcPr>
            <w:tcW w:w="2354" w:type="dxa"/>
            <w:gridSpan w:val="3"/>
            <w:vMerge w:val="restart"/>
            <w:tcBorders>
              <w:top w:val="single" w:sz="16" w:space="0" w:color="000000"/>
              <w:left w:val="single" w:sz="8" w:space="0" w:color="000000"/>
            </w:tcBorders>
            <w:shd w:fill="CCEEFF"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3045" w:type="dxa"/>
            <w:gridSpan w:val="3"/>
            <w:tcBorders>
              <w:top w:val="single" w:sz="16" w:space="0" w:color="000000"/>
              <w:left w:val="single" w:sz="8" w:space="0" w:color="000000"/>
            </w:tcBorders>
            <w:shd w:fill="CCEEFF"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2264" w:type="dxa"/>
            <w:gridSpan w:val="3"/>
            <w:vMerge w:val="restart"/>
            <w:tcBorders>
              <w:top w:val="single" w:sz="16" w:space="0" w:color="000000"/>
              <w:left w:val="single" w:sz="8" w:space="0" w:color="000000"/>
              <w:right w:val="single" w:sz="8" w:space="0" w:color="000000"/>
            </w:tcBorders>
            <w:shd w:fill="CCEEFF"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United States of America</w:t>
            </w:r>
          </w:p>
        </w:tc>
      </w:tr>
      <w:tr>
        <w:trPr/>
        <w:tc>
          <w:tcPr>
            <w:tcW w:w="2354" w:type="dxa"/>
            <w:gridSpan w:val="3"/>
            <w:vMerge w:val="continue"/>
            <w:tcBorders>
              <w:top w:val="single" w:sz="16" w:space="0" w:color="000000"/>
              <w:left w:val="single" w:sz="8" w:space="0" w:color="000000"/>
            </w:tcBorders>
            <w:shd w:fill="CCEEFF" w:val="clear"/>
            <w:tcMar>
              <w:top w:w="30" w:type="dxa"/>
              <w:bottom w:w="0" w:type="dxa"/>
              <w:right w:w="0" w:type="dxa"/>
            </w:tcMar>
            <w:vAlign w:val="center"/>
          </w:tcPr>
          <w:p>
            <w:pPr>
              <w:pStyle w:val="Normal"/>
              <w:rPr/>
            </w:pPr>
            <w:r>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3045" w:type="dxa"/>
            <w:gridSpan w:val="3"/>
            <w:tcBorders>
              <w:left w:val="single" w:sz="8" w:space="0" w:color="000000"/>
            </w:tcBorders>
            <w:shd w:fill="CCEEFF" w:val="clear"/>
            <w:tcMar>
              <w:top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327" w:type="dxa"/>
            <w:gridSpan w:val="3"/>
            <w:tcBorders>
              <w:left w:val="single" w:sz="8" w:space="0" w:color="000000"/>
              <w:right w:val="single" w:sz="8" w:space="0" w:color="000000"/>
            </w:tcBorders>
            <w:shd w:fill="CCEEFF" w:val="clear"/>
            <w:tcMar>
              <w:top w:w="0" w:type="dxa"/>
              <w:bottom w:w="0" w:type="dxa"/>
            </w:tcMar>
            <w:vAlign w:val="center"/>
          </w:tcPr>
          <w:p>
            <w:pPr>
              <w:pStyle w:val="TableContents"/>
              <w:spacing w:before="0" w:after="283"/>
              <w:rPr>
                <w:sz w:val="4"/>
                <w:szCs w:val="4"/>
              </w:rPr>
            </w:pPr>
            <w:r>
              <w:rPr>
                <w:sz w:val="4"/>
                <w:szCs w:val="4"/>
              </w:rPr>
            </w:r>
          </w:p>
        </w:tc>
        <w:tc>
          <w:tcPr>
            <w:tcW w:w="2264" w:type="dxa"/>
            <w:gridSpan w:val="3"/>
            <w:vMerge w:val="continue"/>
            <w:tcBorders>
              <w:top w:val="single" w:sz="16" w:space="0" w:color="000000"/>
              <w:left w:val="single" w:sz="8" w:space="0" w:color="000000"/>
              <w:right w:val="single" w:sz="8" w:space="0" w:color="000000"/>
            </w:tcBorders>
            <w:shd w:fill="CCEEFF" w:val="clear"/>
            <w:tcMar>
              <w:top w:w="30" w:type="dxa"/>
              <w:bottom w:w="0" w:type="dxa"/>
            </w:tcMar>
            <w:vAlign w:val="center"/>
          </w:tcPr>
          <w:p>
            <w:pPr>
              <w:pStyle w:val="Normal"/>
              <w:rPr/>
            </w:pPr>
            <w:r>
              <w:rPr/>
            </w:r>
          </w:p>
        </w:tc>
      </w:tr>
      <w:tr>
        <w:trPr/>
        <w:tc>
          <w:tcPr>
            <w:tcW w:w="2354" w:type="dxa"/>
            <w:gridSpan w:val="3"/>
            <w:vMerge w:val="continue"/>
            <w:tcBorders>
              <w:top w:val="single" w:sz="16" w:space="0" w:color="000000"/>
              <w:left w:val="single" w:sz="8" w:space="0" w:color="000000"/>
            </w:tcBorders>
            <w:shd w:fill="CCEEFF" w:val="clear"/>
            <w:tcMar>
              <w:top w:w="30" w:type="dxa"/>
              <w:bottom w:w="0" w:type="dxa"/>
              <w:right w:w="0" w:type="dxa"/>
            </w:tcMar>
            <w:vAlign w:val="center"/>
          </w:tcPr>
          <w:p>
            <w:pPr>
              <w:pStyle w:val="Normal"/>
              <w:rPr/>
            </w:pPr>
            <w:r>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3045" w:type="dxa"/>
            <w:gridSpan w:val="3"/>
            <w:tcBorders>
              <w:left w:val="single" w:sz="8" w:space="0" w:color="000000"/>
            </w:tcBorders>
            <w:shd w:fill="CCEEFF" w:val="clear"/>
            <w:tcMar>
              <w:top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327" w:type="dxa"/>
            <w:gridSpan w:val="3"/>
            <w:tcBorders>
              <w:left w:val="single" w:sz="8" w:space="0" w:color="000000"/>
              <w:right w:val="single" w:sz="8" w:space="0" w:color="000000"/>
            </w:tcBorders>
            <w:shd w:fill="CCEEFF" w:val="clear"/>
            <w:tcMar>
              <w:top w:w="0" w:type="dxa"/>
              <w:bottom w:w="0" w:type="dxa"/>
            </w:tcMar>
            <w:vAlign w:val="center"/>
          </w:tcPr>
          <w:p>
            <w:pPr>
              <w:pStyle w:val="TableContents"/>
              <w:spacing w:before="0" w:after="283"/>
              <w:rPr>
                <w:sz w:val="4"/>
                <w:szCs w:val="4"/>
              </w:rPr>
            </w:pPr>
            <w:r>
              <w:rPr>
                <w:sz w:val="4"/>
                <w:szCs w:val="4"/>
              </w:rPr>
            </w:r>
          </w:p>
        </w:tc>
        <w:tc>
          <w:tcPr>
            <w:tcW w:w="2264" w:type="dxa"/>
            <w:gridSpan w:val="3"/>
            <w:vMerge w:val="continue"/>
            <w:tcBorders>
              <w:top w:val="single" w:sz="16" w:space="0" w:color="000000"/>
              <w:left w:val="single" w:sz="8" w:space="0" w:color="000000"/>
              <w:right w:val="single" w:sz="8" w:space="0" w:color="000000"/>
            </w:tcBorders>
            <w:shd w:fill="CCEEFF" w:val="clear"/>
            <w:tcMar>
              <w:top w:w="30" w:type="dxa"/>
              <w:bottom w:w="0" w:type="dxa"/>
            </w:tcMar>
            <w:vAlign w:val="center"/>
          </w:tcPr>
          <w:p>
            <w:pPr>
              <w:pStyle w:val="Normal"/>
              <w:rPr/>
            </w:pPr>
            <w:r>
              <w:rPr/>
            </w:r>
          </w:p>
        </w:tc>
      </w:tr>
      <w:tr>
        <w:trPr/>
        <w:tc>
          <w:tcPr>
            <w:tcW w:w="2354" w:type="dxa"/>
            <w:gridSpan w:val="3"/>
            <w:vMerge w:val="continue"/>
            <w:tcBorders>
              <w:top w:val="single" w:sz="16" w:space="0" w:color="000000"/>
              <w:left w:val="single" w:sz="8" w:space="0" w:color="000000"/>
            </w:tcBorders>
            <w:shd w:fill="CCEEFF" w:val="clear"/>
            <w:tcMar>
              <w:top w:w="30" w:type="dxa"/>
              <w:bottom w:w="0" w:type="dxa"/>
              <w:right w:w="0" w:type="dxa"/>
            </w:tcMar>
            <w:vAlign w:val="center"/>
          </w:tcPr>
          <w:p>
            <w:pPr>
              <w:pStyle w:val="Normal"/>
              <w:rPr/>
            </w:pPr>
            <w:r>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3045" w:type="dxa"/>
            <w:gridSpan w:val="3"/>
            <w:tcBorders>
              <w:left w:val="single" w:sz="8" w:space="0" w:color="000000"/>
            </w:tcBorders>
            <w:shd w:fill="CCEEFF" w:val="clear"/>
            <w:tcMar>
              <w:top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327" w:type="dxa"/>
            <w:gridSpan w:val="3"/>
            <w:tcBorders>
              <w:left w:val="single" w:sz="8" w:space="0" w:color="000000"/>
              <w:right w:val="single" w:sz="8" w:space="0" w:color="000000"/>
            </w:tcBorders>
            <w:shd w:fill="CCEEFF" w:val="clear"/>
            <w:tcMar>
              <w:top w:w="0" w:type="dxa"/>
              <w:bottom w:w="0" w:type="dxa"/>
            </w:tcMar>
            <w:vAlign w:val="center"/>
          </w:tcPr>
          <w:p>
            <w:pPr>
              <w:pStyle w:val="TableContents"/>
              <w:spacing w:before="0" w:after="283"/>
              <w:rPr>
                <w:sz w:val="4"/>
                <w:szCs w:val="4"/>
              </w:rPr>
            </w:pPr>
            <w:r>
              <w:rPr>
                <w:sz w:val="4"/>
                <w:szCs w:val="4"/>
              </w:rPr>
            </w:r>
          </w:p>
        </w:tc>
        <w:tc>
          <w:tcPr>
            <w:tcW w:w="2264" w:type="dxa"/>
            <w:gridSpan w:val="3"/>
            <w:vMerge w:val="continue"/>
            <w:tcBorders>
              <w:top w:val="single" w:sz="16" w:space="0" w:color="000000"/>
              <w:left w:val="single" w:sz="8" w:space="0" w:color="000000"/>
              <w:right w:val="single" w:sz="8" w:space="0" w:color="000000"/>
            </w:tcBorders>
            <w:shd w:fill="CCEEFF" w:val="clear"/>
            <w:tcMar>
              <w:top w:w="30" w:type="dxa"/>
              <w:bottom w:w="0" w:type="dxa"/>
            </w:tcMar>
            <w:vAlign w:val="center"/>
          </w:tcPr>
          <w:p>
            <w:pPr>
              <w:pStyle w:val="Normal"/>
              <w:rPr/>
            </w:pPr>
            <w:r>
              <w:rPr/>
            </w:r>
          </w:p>
        </w:tc>
      </w:tr>
      <w:tr>
        <w:trPr/>
        <w:tc>
          <w:tcPr>
            <w:tcW w:w="2354" w:type="dxa"/>
            <w:gridSpan w:val="3"/>
            <w:vMerge w:val="restart"/>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304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226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Brazil, Hong Kong/China</w:t>
            </w:r>
          </w:p>
        </w:tc>
      </w:tr>
      <w:tr>
        <w:trPr/>
        <w:tc>
          <w:tcPr>
            <w:tcW w:w="2354" w:type="dxa"/>
            <w:gridSpan w:val="3"/>
            <w:vMerge w:val="continue"/>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Normal"/>
              <w:rPr/>
            </w:pPr>
            <w:r>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304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 (Abbraccio)</w:t>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2264"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Brazil</w:t>
            </w:r>
          </w:p>
        </w:tc>
      </w:tr>
    </w:tbl>
    <w:p>
      <w:pPr>
        <w:pStyle w:val="TextBody"/>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w:t>
      </w:r>
    </w:p>
    <w:p>
      <w:pPr>
        <w:pStyle w:val="TextBody"/>
        <w:spacing w:lineRule="auto" w:line="288" w:before="0" w:after="0"/>
        <w:ind w:left="0" w:right="0" w:hanging="720"/>
        <w:rPr>
          <w:rFonts w:ascii="Times New Roman;sans-serif" w:hAnsi="Times New Roman;sans-serif"/>
          <w:b w:val="false"/>
          <w:color w:val="000000"/>
          <w:sz w:val="18"/>
        </w:rPr>
      </w:pPr>
      <w:r>
        <w:rPr>
          <w:rFonts w:ascii="Times New Roman;sans-serif" w:hAnsi="Times New Roman;sans-serif"/>
          <w:b w:val="false"/>
          <w:color w:val="000000"/>
          <w:sz w:val="18"/>
        </w:rPr>
        <w:t>(1)Includes franchise locations.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Revenues for both segments include only transactions with customers and exclude intersegment revenues. Excluded from Income from operations for U.S. and international are certain legal and corporate costs not directly related to the performance of the segments, most stock-based compensation expenses, certain insurance expenses and certain bonus expenses.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2"/>
        </w:rPr>
        <w:t>Refer to Note 13</w:t>
      </w:r>
      <w:r>
        <w:rPr>
          <w:color w:val="000000"/>
        </w:rPr>
        <w:t xml:space="preserve"> </w:t>
      </w:r>
      <w:r>
        <w:rPr>
          <w:rFonts w:ascii="Times New Roman;sans-serif" w:hAnsi="Times New Roman;sans-serif"/>
          <w:b w:val="false"/>
          <w:color w:val="000000"/>
          <w:sz w:val="20"/>
        </w:rPr>
        <w:t xml:space="preserve">- </w:t>
      </w:r>
      <w:r>
        <w:rPr>
          <w:rFonts w:ascii="Times New Roman;sans-serif" w:hAnsi="Times New Roman;sans-serif"/>
          <w:b w:val="false"/>
          <w:i/>
          <w:color w:val="000000"/>
          <w:sz w:val="22"/>
        </w:rPr>
        <w:t xml:space="preserve">Segment Reporting </w:t>
      </w:r>
      <w:r>
        <w:rPr>
          <w:rFonts w:ascii="Times New Roman;sans-serif" w:hAnsi="Times New Roman;sans-serif"/>
          <w:b w:val="false"/>
          <w:color w:val="000000"/>
          <w:sz w:val="22"/>
        </w:rPr>
        <w:t xml:space="preserve">of the Notes to Consolidated Financial Statements for reconciliations of segment income from operations to the consolidated operating results.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2"/>
        </w:rPr>
        <w:t xml:space="preserve">Restaurant-level operating margin is widely regarded in the industry as a useful non-GAAP measure to evaluate restaurant-level operating efficiency and performance of ongoing restaurant-level operations, and we use it for these purposes, overall and particularly within our two segments. See the </w:t>
      </w:r>
      <w:r>
        <w:rPr>
          <w:rFonts w:ascii="Times New Roman;sans-serif" w:hAnsi="Times New Roman;sans-serif"/>
          <w:b w:val="false"/>
          <w:i/>
          <w:color w:val="000000"/>
          <w:sz w:val="22"/>
        </w:rPr>
        <w:t xml:space="preserve">Overview-Key Financial Performance Indicators </w:t>
      </w:r>
      <w:r>
        <w:rPr>
          <w:rFonts w:ascii="Times New Roman;sans-serif" w:hAnsi="Times New Roman;sans-serif"/>
          <w:b w:val="false"/>
          <w:color w:val="000000"/>
          <w:sz w:val="22"/>
        </w:rPr>
        <w:t>and</w:t>
      </w:r>
      <w:r>
        <w:rPr>
          <w:color w:val="000000"/>
        </w:rPr>
        <w:t xml:space="preserve"> </w:t>
      </w:r>
      <w:r>
        <w:rPr>
          <w:rFonts w:ascii="Times New Roman;sans-serif" w:hAnsi="Times New Roman;sans-serif"/>
          <w:b w:val="false"/>
          <w:i/>
          <w:color w:val="000000"/>
          <w:sz w:val="22"/>
        </w:rPr>
        <w:t>Non-GAAP Financial Measures</w:t>
      </w:r>
      <w:r>
        <w:rPr>
          <w:color w:val="000000"/>
        </w:rPr>
        <w:t xml:space="preserve"> </w:t>
      </w:r>
      <w:r>
        <w:rPr>
          <w:rFonts w:ascii="Times New Roman;sans-serif" w:hAnsi="Times New Roman;sans-serif"/>
          <w:b w:val="false"/>
          <w:color w:val="000000"/>
          <w:sz w:val="22"/>
        </w:rPr>
        <w:t>sections of Management’s Discussion and Analysis of Financial Condition and Results of Operations for additional details regarding the calculation of restaurant-level operating margin.</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754225e3f1024615994983297e2dce8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spacing w:lineRule="auto" w:line="288" w:before="0" w:after="0"/>
        <w:rPr>
          <w:rFonts w:ascii="Times New Roman;sans-serif" w:hAnsi="Times New Roman;sans-serif"/>
          <w:b/>
          <w:color w:val="000000"/>
          <w:sz w:val="22"/>
        </w:rPr>
      </w:pPr>
      <w:r>
        <w:rPr>
          <w:rFonts w:ascii="Times New Roman;sans-serif" w:hAnsi="Times New Roman;sans-serif"/>
          <w:b/>
          <w:color w:val="000000"/>
          <w:sz w:val="22"/>
        </w:rPr>
        <w:t>U.S. Segment</w:t>
      </w:r>
    </w:p>
    <w:tbl>
      <w:tblPr>
        <w:tblW w:w="6970" w:type="dxa"/>
        <w:jc w:val="center"/>
        <w:tblInd w:w="0" w:type="dxa"/>
        <w:tblCellMar>
          <w:top w:w="28" w:type="dxa"/>
          <w:left w:w="28" w:type="dxa"/>
          <w:bottom w:w="28" w:type="dxa"/>
          <w:right w:w="28" w:type="dxa"/>
        </w:tblCellMar>
      </w:tblPr>
      <w:tblGrid>
        <w:gridCol w:w="911"/>
        <w:gridCol w:w="803"/>
        <w:gridCol w:w="805"/>
        <w:gridCol w:w="109"/>
        <w:gridCol w:w="109"/>
        <w:gridCol w:w="157"/>
        <w:gridCol w:w="157"/>
        <w:gridCol w:w="282"/>
        <w:gridCol w:w="1255"/>
        <w:gridCol w:w="368"/>
        <w:gridCol w:w="109"/>
        <w:gridCol w:w="109"/>
        <w:gridCol w:w="109"/>
        <w:gridCol w:w="211"/>
        <w:gridCol w:w="938"/>
        <w:gridCol w:w="275"/>
        <w:gridCol w:w="109"/>
        <w:gridCol w:w="154"/>
      </w:tblGrid>
      <w:tr>
        <w:trPr/>
        <w:tc>
          <w:tcPr>
            <w:tcW w:w="911"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255"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9"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90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26, 2023</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27, 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905"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1,080,569 </w:t>
            </w:r>
          </w:p>
        </w:tc>
        <w:tc>
          <w:tcPr>
            <w:tcW w:w="3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1,023,635 </w:t>
            </w:r>
          </w:p>
        </w:tc>
        <w:tc>
          <w:tcPr>
            <w:tcW w:w="2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and other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12,427 </w:t>
            </w:r>
          </w:p>
        </w:tc>
        <w:tc>
          <w:tcPr>
            <w:tcW w:w="3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12,772 </w:t>
            </w:r>
          </w:p>
        </w:tc>
        <w:tc>
          <w:tcPr>
            <w:tcW w:w="2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82"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5"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1,092,996 </w:t>
            </w:r>
          </w:p>
        </w:tc>
        <w:tc>
          <w:tcPr>
            <w:tcW w:w="368"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1,036,407 </w:t>
            </w:r>
          </w:p>
        </w:tc>
        <w:tc>
          <w:tcPr>
            <w:tcW w:w="275"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9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9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9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9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9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9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9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9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82"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5"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133,243 </w:t>
            </w:r>
          </w:p>
        </w:tc>
        <w:tc>
          <w:tcPr>
            <w:tcW w:w="368"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132,226 </w:t>
            </w:r>
          </w:p>
        </w:tc>
        <w:tc>
          <w:tcPr>
            <w:tcW w:w="275"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margin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3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2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Restaurant-level 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187,808 </w:t>
            </w:r>
          </w:p>
        </w:tc>
        <w:tc>
          <w:tcPr>
            <w:tcW w:w="3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177,715 </w:t>
            </w:r>
          </w:p>
        </w:tc>
        <w:tc>
          <w:tcPr>
            <w:tcW w:w="2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Restaurant-level operating margin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3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2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9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9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9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Restaurant sales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Following is a summary of the change in U.S. segment Restaurant sales for the period indicated:</w:t>
      </w:r>
    </w:p>
    <w:tbl>
      <w:tblPr>
        <w:tblW w:w="5257" w:type="dxa"/>
        <w:jc w:val="left"/>
        <w:tblInd w:w="0" w:type="dxa"/>
        <w:tblCellMar>
          <w:top w:w="28" w:type="dxa"/>
          <w:left w:w="28" w:type="dxa"/>
          <w:bottom w:w="28" w:type="dxa"/>
          <w:right w:w="28" w:type="dxa"/>
        </w:tblCellMar>
      </w:tblPr>
      <w:tblGrid>
        <w:gridCol w:w="1005"/>
        <w:gridCol w:w="883"/>
        <w:gridCol w:w="886"/>
        <w:gridCol w:w="109"/>
        <w:gridCol w:w="109"/>
        <w:gridCol w:w="426"/>
        <w:gridCol w:w="1504"/>
        <w:gridCol w:w="335"/>
      </w:tblGrid>
      <w:tr>
        <w:trPr/>
        <w:tc>
          <w:tcPr>
            <w:tcW w:w="1005"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504"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 the period ended March 27,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04"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1,023.7 </w:t>
            </w:r>
          </w:p>
        </w:tc>
        <w:tc>
          <w:tcPr>
            <w:tcW w:w="335"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from:</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Comparable restaurant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50.4 </w:t>
            </w:r>
          </w:p>
        </w:tc>
        <w:tc>
          <w:tcPr>
            <w:tcW w:w="3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openings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3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closures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3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5" w:type="dxa"/>
            <w:gridSpan w:val="3"/>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 the period ended March 26, 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0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1,080.6 </w:t>
            </w:r>
          </w:p>
        </w:tc>
        <w:tc>
          <w:tcPr>
            <w:tcW w:w="33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5" w:type="dxa"/>
            <w:gridSpan w:val="3"/>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5" w:type="dxa"/>
            <w:gridSpan w:val="3"/>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36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increase in U.S. Restaurant sales during the thirteen weeks ended March 26, 2023 was primarily due to higher comparable restaurant sales and the opening of 17 new restaurants not included in our comparable restaurant sales base. The increase in Restaurant sales was partially offset by the closure of 18 restaurants since December 26, 2021.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Income from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increase in U.S. Income from operations generated during the thirteen weeks ended March 26, 2023 as compared to the thirteen weeks ended March 27, 2022 was primarily due to increases in comparable restaurant sales, primarily driven by an increase in menu pricing, and the impact of certain cost saving initiatives. These increases were partially offset by decreases primarily due to: (i) commodity inflation, (ii) higher labor costs, primarily due to wage rate inflation, (iii) higher operating expenses including utilities, primarily due to inflation and (iv) an increase in asset impairment charges.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decrease in U.S. operating income margin during the thirteen weeks ended March 26, 2023 as compared to the thirteen weeks ended March 27, 2022 was primarily due to an increase in asset impairment charges.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754225e3f1024615994983297e2dce8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spacing w:lineRule="auto" w:line="288" w:before="0" w:after="0"/>
        <w:rPr>
          <w:rFonts w:ascii="Times New Roman;sans-serif" w:hAnsi="Times New Roman;sans-serif"/>
          <w:b/>
          <w:color w:val="000000"/>
          <w:sz w:val="22"/>
        </w:rPr>
      </w:pPr>
      <w:r>
        <w:rPr>
          <w:rFonts w:ascii="Times New Roman;sans-serif" w:hAnsi="Times New Roman;sans-serif"/>
          <w:b/>
          <w:color w:val="000000"/>
          <w:sz w:val="22"/>
        </w:rPr>
        <w:t>International Segment</w:t>
      </w:r>
    </w:p>
    <w:tbl>
      <w:tblPr>
        <w:tblW w:w="6753" w:type="dxa"/>
        <w:jc w:val="center"/>
        <w:tblInd w:w="0" w:type="dxa"/>
        <w:tblCellMar>
          <w:top w:w="28" w:type="dxa"/>
          <w:left w:w="28" w:type="dxa"/>
          <w:bottom w:w="28" w:type="dxa"/>
          <w:right w:w="28" w:type="dxa"/>
        </w:tblCellMar>
      </w:tblPr>
      <w:tblGrid>
        <w:gridCol w:w="911"/>
        <w:gridCol w:w="803"/>
        <w:gridCol w:w="805"/>
        <w:gridCol w:w="109"/>
        <w:gridCol w:w="109"/>
        <w:gridCol w:w="172"/>
        <w:gridCol w:w="172"/>
        <w:gridCol w:w="309"/>
        <w:gridCol w:w="1162"/>
        <w:gridCol w:w="404"/>
        <w:gridCol w:w="109"/>
        <w:gridCol w:w="109"/>
        <w:gridCol w:w="109"/>
        <w:gridCol w:w="233"/>
        <w:gridCol w:w="878"/>
        <w:gridCol w:w="359"/>
      </w:tblGrid>
      <w:tr>
        <w:trPr/>
        <w:tc>
          <w:tcPr>
            <w:tcW w:w="911"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162"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9"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1797" w:type="dxa"/>
            <w:gridSpan w:val="6"/>
            <w:tcBorders/>
            <w:shd w:fill="auto" w:val="clear"/>
          </w:tcPr>
          <w:p>
            <w:pPr>
              <w:pStyle w:val="TableContents"/>
              <w:spacing w:before="0" w:after="283"/>
              <w:rPr>
                <w:sz w:val="4"/>
                <w:szCs w:val="4"/>
              </w:rPr>
            </w:pPr>
            <w:r>
              <w:rPr>
                <w:sz w:val="4"/>
                <w:szCs w:val="4"/>
              </w:rPr>
            </w:r>
          </w:p>
        </w:tc>
      </w:tr>
      <w:tr>
        <w:trPr/>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87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26, 2023</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27, 2022</w:t>
            </w:r>
          </w:p>
        </w:tc>
      </w:tr>
      <w:tr>
        <w:trPr/>
        <w:tc>
          <w:tcPr>
            <w:tcW w:w="25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875"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147,665 </w:t>
            </w:r>
          </w:p>
        </w:tc>
        <w:tc>
          <w:tcPr>
            <w:tcW w:w="4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99,940 </w:t>
            </w:r>
          </w:p>
        </w:tc>
        <w:tc>
          <w:tcPr>
            <w:tcW w:w="3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and other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4,085 </w:t>
            </w:r>
          </w:p>
        </w:tc>
        <w:tc>
          <w:tcPr>
            <w:tcW w:w="4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4,188 </w:t>
            </w:r>
          </w:p>
        </w:tc>
        <w:tc>
          <w:tcPr>
            <w:tcW w:w="3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309"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2"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151,750 </w:t>
            </w:r>
          </w:p>
        </w:tc>
        <w:tc>
          <w:tcPr>
            <w:tcW w:w="404"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104,128 </w:t>
            </w:r>
          </w:p>
        </w:tc>
        <w:tc>
          <w:tcPr>
            <w:tcW w:w="359"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8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8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8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8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8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8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8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8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309"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2"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24,508 </w:t>
            </w:r>
          </w:p>
        </w:tc>
        <w:tc>
          <w:tcPr>
            <w:tcW w:w="404"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8,884 </w:t>
            </w:r>
          </w:p>
        </w:tc>
        <w:tc>
          <w:tcPr>
            <w:tcW w:w="35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margin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16.2 </w:t>
            </w:r>
          </w:p>
        </w:tc>
        <w:tc>
          <w:tcPr>
            <w:tcW w:w="4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3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Restaurant-level 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34,015 </w:t>
            </w:r>
          </w:p>
        </w:tc>
        <w:tc>
          <w:tcPr>
            <w:tcW w:w="4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16,935 </w:t>
            </w:r>
          </w:p>
        </w:tc>
        <w:tc>
          <w:tcPr>
            <w:tcW w:w="3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Restaurant-level operating margin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4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16.9 </w:t>
            </w:r>
          </w:p>
        </w:tc>
        <w:tc>
          <w:tcPr>
            <w:tcW w:w="3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8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8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8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Restaurant sales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Following is a summary of the change in international segment Restaurant sales for the period indicated:</w:t>
      </w:r>
    </w:p>
    <w:tbl>
      <w:tblPr>
        <w:tblW w:w="5272" w:type="dxa"/>
        <w:jc w:val="left"/>
        <w:tblInd w:w="0" w:type="dxa"/>
        <w:tblCellMar>
          <w:top w:w="28" w:type="dxa"/>
          <w:left w:w="28" w:type="dxa"/>
          <w:bottom w:w="28" w:type="dxa"/>
          <w:right w:w="28" w:type="dxa"/>
        </w:tblCellMar>
      </w:tblPr>
      <w:tblGrid>
        <w:gridCol w:w="1011"/>
        <w:gridCol w:w="888"/>
        <w:gridCol w:w="891"/>
        <w:gridCol w:w="109"/>
        <w:gridCol w:w="109"/>
        <w:gridCol w:w="488"/>
        <w:gridCol w:w="1389"/>
        <w:gridCol w:w="387"/>
      </w:tblGrid>
      <w:tr>
        <w:trPr/>
        <w:tc>
          <w:tcPr>
            <w:tcW w:w="1011"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389"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 the period ended March 27,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9"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99.9 </w:t>
            </w:r>
          </w:p>
        </w:tc>
        <w:tc>
          <w:tcPr>
            <w:tcW w:w="387"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from:</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Comparable restaurant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22.9 </w:t>
            </w:r>
          </w:p>
        </w:tc>
        <w:tc>
          <w:tcPr>
            <w:tcW w:w="3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openings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3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Brazil value added tax exemptions (1)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3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foreign currency translation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3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 the period ended March 26, 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147.6 </w:t>
            </w:r>
          </w:p>
        </w:tc>
        <w:tc>
          <w:tcPr>
            <w:tcW w:w="38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4" w:type="dxa"/>
            <w:gridSpan w:val="3"/>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4" w:type="dxa"/>
            <w:gridSpan w:val="3"/>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4" w:type="dxa"/>
            <w:gridSpan w:val="3"/>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4" w:type="dxa"/>
            <w:gridSpan w:val="3"/>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4" w:type="dxa"/>
            <w:gridSpan w:val="3"/>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spacing w:lineRule="auto" w:line="288" w:before="0" w:after="0"/>
        <w:ind w:left="0" w:right="0" w:hanging="720"/>
        <w:jc w:val="both"/>
        <w:rPr/>
      </w:pPr>
      <w:r>
        <w:rPr>
          <w:rFonts w:ascii="Times New Roman;sans-serif" w:hAnsi="Times New Roman;sans-serif"/>
          <w:b w:val="false"/>
          <w:color w:val="000000"/>
          <w:sz w:val="18"/>
        </w:rPr>
        <w:t xml:space="preserve">(1)See Note 11 - </w:t>
      </w:r>
      <w:r>
        <w:rPr>
          <w:rFonts w:ascii="Times New Roman;sans-serif" w:hAnsi="Times New Roman;sans-serif"/>
          <w:b w:val="false"/>
          <w:i/>
          <w:color w:val="000000"/>
          <w:sz w:val="18"/>
        </w:rPr>
        <w:t>Income Taxes</w:t>
      </w:r>
      <w:r>
        <w:rPr>
          <w:color w:val="000000"/>
        </w:rPr>
        <w:t xml:space="preserve"> </w:t>
      </w:r>
      <w:r>
        <w:rPr>
          <w:rFonts w:ascii="Times New Roman;sans-serif" w:hAnsi="Times New Roman;sans-serif"/>
          <w:b w:val="false"/>
          <w:color w:val="000000"/>
          <w:sz w:val="18"/>
        </w:rPr>
        <w:t xml:space="preserve">of the Notes to Consolidated Financial Statements for details regarding value added tax exemptions in connection with recent Brazil tax legislation.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increase in international Restaurant sales during the thirteen weeks ended March 26, 2023 was primarily due to: (i) higher comparable restaurant sales in Brazil and Hong Kong, (ii) the opening of 30 new restaurants not included in our comparable restaurant sales base, (iii) value added tax exemptions in Brazil as a result of recent tax legislation and (iv) the effect of foreign currency translation of the Brazilian Real relative to the U.S. dollar.</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 xml:space="preserve">Income from operations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increase in international Income from operations generated during the thirteen weeks ended March 26, 2023 as compared to the thirteen weeks ended March 27, 2022 was primarily due to: (i) the recovery of in-restaurant dining, (ii) value added tax exemptions in Brazil as a result of recent tax legislation and (iii) increases in comparable restaurant sales, primarily driven by an increase in menu pricing. These increases were partially offset by decreases primarily due to: (i) higher labor costs, primarily due to wage rate inflation, (ii) commodity inflation and (iii) higher advertising expense.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754225e3f1024615994983297e2dce8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Non-GAAP Financial Measures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val="false"/>
          <w:i/>
          <w:color w:val="000000"/>
          <w:sz w:val="22"/>
        </w:rPr>
        <w:t>Consolidated restaurant-level operating income and corresponding margin non-GAAP reconciliations</w:t>
      </w:r>
      <w:r>
        <w:rPr>
          <w:color w:val="000000"/>
        </w:rPr>
        <w:t xml:space="preserve"> </w:t>
      </w:r>
      <w:r>
        <w:rPr>
          <w:rFonts w:ascii="Times New Roman;sans-serif" w:hAnsi="Times New Roman;sans-serif"/>
          <w:b w:val="false"/>
          <w:color w:val="000000"/>
          <w:sz w:val="22"/>
        </w:rPr>
        <w:t>- The following table reconciles consolidated Income from operations and the corresponding margin to restaurant-level operating income and the corresponding margin for the periods indicated:</w:t>
      </w:r>
    </w:p>
    <w:tbl>
      <w:tblPr>
        <w:tblW w:w="8088" w:type="dxa"/>
        <w:jc w:val="left"/>
        <w:tblInd w:w="0" w:type="dxa"/>
        <w:tblCellMar>
          <w:top w:w="28" w:type="dxa"/>
          <w:left w:w="28" w:type="dxa"/>
          <w:bottom w:w="28" w:type="dxa"/>
          <w:right w:w="28" w:type="dxa"/>
        </w:tblCellMar>
      </w:tblPr>
      <w:tblGrid>
        <w:gridCol w:w="1399"/>
        <w:gridCol w:w="1227"/>
        <w:gridCol w:w="1228"/>
        <w:gridCol w:w="109"/>
        <w:gridCol w:w="109"/>
        <w:gridCol w:w="172"/>
        <w:gridCol w:w="172"/>
        <w:gridCol w:w="309"/>
        <w:gridCol w:w="1162"/>
        <w:gridCol w:w="404"/>
        <w:gridCol w:w="109"/>
        <w:gridCol w:w="109"/>
        <w:gridCol w:w="109"/>
        <w:gridCol w:w="233"/>
        <w:gridCol w:w="878"/>
        <w:gridCol w:w="359"/>
      </w:tblGrid>
      <w:tr>
        <w:trPr/>
        <w:tc>
          <w:tcPr>
            <w:tcW w:w="1399" w:type="dxa"/>
            <w:tcBorders/>
            <w:shd w:fill="auto" w:val="clear"/>
            <w:vAlign w:val="center"/>
          </w:tcPr>
          <w:p>
            <w:pPr>
              <w:pStyle w:val="TableContents"/>
              <w:spacing w:before="0" w:after="283"/>
              <w:rPr>
                <w:sz w:val="4"/>
                <w:szCs w:val="4"/>
              </w:rPr>
            </w:pPr>
            <w:r>
              <w:rPr>
                <w:sz w:val="4"/>
                <w:szCs w:val="4"/>
              </w:rPr>
            </w:r>
          </w:p>
        </w:tc>
        <w:tc>
          <w:tcPr>
            <w:tcW w:w="1227"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162"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r>
      <w:tr>
        <w:trPr/>
        <w:tc>
          <w:tcPr>
            <w:tcW w:w="38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Consolidated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9"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1797" w:type="dxa"/>
            <w:gridSpan w:val="6"/>
            <w:tcBorders/>
            <w:shd w:fill="auto" w:val="clear"/>
          </w:tcPr>
          <w:p>
            <w:pPr>
              <w:pStyle w:val="TableContents"/>
              <w:spacing w:before="0" w:after="283"/>
              <w:rPr>
                <w:sz w:val="4"/>
                <w:szCs w:val="4"/>
              </w:rPr>
            </w:pPr>
            <w:r>
              <w:rPr>
                <w:sz w:val="4"/>
                <w:szCs w:val="4"/>
              </w:rPr>
            </w:r>
          </w:p>
        </w:tc>
      </w:tr>
      <w:tr>
        <w:trPr/>
        <w:tc>
          <w:tcPr>
            <w:tcW w:w="38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87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26, 2023</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27, 2022</w:t>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309"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2"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120,633 </w:t>
            </w:r>
          </w:p>
        </w:tc>
        <w:tc>
          <w:tcPr>
            <w:tcW w:w="404"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107,256 </w:t>
            </w:r>
          </w:p>
        </w:tc>
        <w:tc>
          <w:tcPr>
            <w:tcW w:w="35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Operating income margin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4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3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8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and other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16,512 </w:t>
            </w:r>
          </w:p>
        </w:tc>
        <w:tc>
          <w:tcPr>
            <w:tcW w:w="4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16,960 </w:t>
            </w:r>
          </w:p>
        </w:tc>
        <w:tc>
          <w:tcPr>
            <w:tcW w:w="3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Plus: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8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46,302 </w:t>
            </w:r>
          </w:p>
        </w:tc>
        <w:tc>
          <w:tcPr>
            <w:tcW w:w="4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41,775 </w:t>
            </w:r>
          </w:p>
        </w:tc>
        <w:tc>
          <w:tcPr>
            <w:tcW w:w="3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65,804 </w:t>
            </w:r>
          </w:p>
        </w:tc>
        <w:tc>
          <w:tcPr>
            <w:tcW w:w="4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58,674 </w:t>
            </w:r>
          </w:p>
        </w:tc>
        <w:tc>
          <w:tcPr>
            <w:tcW w:w="3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impaired assets and restaurant closings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3,324 </w:t>
            </w:r>
          </w:p>
        </w:tc>
        <w:tc>
          <w:tcPr>
            <w:tcW w:w="4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1,839 </w:t>
            </w:r>
          </w:p>
        </w:tc>
        <w:tc>
          <w:tcPr>
            <w:tcW w:w="3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Restaurant-level 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309"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2"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219,551 </w:t>
            </w:r>
          </w:p>
        </w:tc>
        <w:tc>
          <w:tcPr>
            <w:tcW w:w="404"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192,584 </w:t>
            </w:r>
          </w:p>
        </w:tc>
        <w:tc>
          <w:tcPr>
            <w:tcW w:w="35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Restaurant-level operating margin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471"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404"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359"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8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38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8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38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8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38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8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38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8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38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8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val="false"/>
          <w:i/>
          <w:color w:val="000000"/>
          <w:sz w:val="22"/>
        </w:rPr>
        <w:t>Segment restaurant-level and operating margin non-GAAP reconciliations</w:t>
      </w:r>
      <w:r>
        <w:rPr>
          <w:color w:val="000000"/>
        </w:rPr>
        <w:t xml:space="preserve"> </w:t>
      </w:r>
      <w:r>
        <w:rPr>
          <w:rFonts w:ascii="Times New Roman;sans-serif" w:hAnsi="Times New Roman;sans-serif"/>
          <w:b w:val="false"/>
          <w:color w:val="000000"/>
          <w:sz w:val="22"/>
        </w:rPr>
        <w:t>- The following tables reconcile segment Income from operations and the corresponding margin to segment restaurant-level operating income and the corresponding margin for the periods indicated:</w:t>
      </w:r>
    </w:p>
    <w:tbl>
      <w:tblPr>
        <w:tblW w:w="8089" w:type="dxa"/>
        <w:jc w:val="left"/>
        <w:tblInd w:w="0" w:type="dxa"/>
        <w:tblCellMar>
          <w:top w:w="28" w:type="dxa"/>
          <w:left w:w="28" w:type="dxa"/>
          <w:bottom w:w="28" w:type="dxa"/>
          <w:right w:w="28" w:type="dxa"/>
        </w:tblCellMar>
      </w:tblPr>
      <w:tblGrid>
        <w:gridCol w:w="1389"/>
        <w:gridCol w:w="1220"/>
        <w:gridCol w:w="1246"/>
        <w:gridCol w:w="109"/>
        <w:gridCol w:w="109"/>
        <w:gridCol w:w="172"/>
        <w:gridCol w:w="172"/>
        <w:gridCol w:w="309"/>
        <w:gridCol w:w="1162"/>
        <w:gridCol w:w="404"/>
        <w:gridCol w:w="109"/>
        <w:gridCol w:w="109"/>
        <w:gridCol w:w="109"/>
        <w:gridCol w:w="233"/>
        <w:gridCol w:w="878"/>
        <w:gridCol w:w="359"/>
      </w:tblGrid>
      <w:tr>
        <w:trPr/>
        <w:tc>
          <w:tcPr>
            <w:tcW w:w="1389"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162"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r>
      <w:tr>
        <w:trPr/>
        <w:tc>
          <w:tcPr>
            <w:tcW w:w="38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U.S.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9"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1797" w:type="dxa"/>
            <w:gridSpan w:val="6"/>
            <w:tcBorders/>
            <w:shd w:fill="auto" w:val="clear"/>
          </w:tcPr>
          <w:p>
            <w:pPr>
              <w:pStyle w:val="TableContents"/>
              <w:spacing w:before="0" w:after="283"/>
              <w:rPr>
                <w:sz w:val="4"/>
                <w:szCs w:val="4"/>
              </w:rPr>
            </w:pPr>
            <w:r>
              <w:rPr>
                <w:sz w:val="4"/>
                <w:szCs w:val="4"/>
              </w:rPr>
            </w:r>
          </w:p>
        </w:tc>
      </w:tr>
      <w:tr>
        <w:trPr/>
        <w:tc>
          <w:tcPr>
            <w:tcW w:w="38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87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26, 2023</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27, 2022</w:t>
            </w:r>
          </w:p>
        </w:tc>
      </w:tr>
      <w:tr>
        <w:trPr/>
        <w:tc>
          <w:tcPr>
            <w:tcW w:w="38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309"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2"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133,243 </w:t>
            </w:r>
          </w:p>
        </w:tc>
        <w:tc>
          <w:tcPr>
            <w:tcW w:w="404"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132,226 </w:t>
            </w:r>
          </w:p>
        </w:tc>
        <w:tc>
          <w:tcPr>
            <w:tcW w:w="35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Operating income margin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4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3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8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and other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12,427 </w:t>
            </w:r>
          </w:p>
        </w:tc>
        <w:tc>
          <w:tcPr>
            <w:tcW w:w="4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12,772 </w:t>
            </w:r>
          </w:p>
        </w:tc>
        <w:tc>
          <w:tcPr>
            <w:tcW w:w="3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Plus: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8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38,163 </w:t>
            </w:r>
          </w:p>
        </w:tc>
        <w:tc>
          <w:tcPr>
            <w:tcW w:w="4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34,758 </w:t>
            </w:r>
          </w:p>
        </w:tc>
        <w:tc>
          <w:tcPr>
            <w:tcW w:w="3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25,505 </w:t>
            </w:r>
          </w:p>
        </w:tc>
        <w:tc>
          <w:tcPr>
            <w:tcW w:w="4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23,445 </w:t>
            </w:r>
          </w:p>
        </w:tc>
        <w:tc>
          <w:tcPr>
            <w:tcW w:w="3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impaired assets and restaurant closings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3,324 </w:t>
            </w:r>
          </w:p>
        </w:tc>
        <w:tc>
          <w:tcPr>
            <w:tcW w:w="4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3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Restaurant-level 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309"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2"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187,808 </w:t>
            </w:r>
          </w:p>
        </w:tc>
        <w:tc>
          <w:tcPr>
            <w:tcW w:w="404"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177,715 </w:t>
            </w:r>
          </w:p>
        </w:tc>
        <w:tc>
          <w:tcPr>
            <w:tcW w:w="35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Restaurant-level operating margin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471"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404"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359"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8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38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8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38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8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38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8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38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8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180"/>
        <w:jc w:val="both"/>
        <w:rPr/>
      </w:pPr>
      <w:r>
        <w:rPr/>
      </w:r>
    </w:p>
    <w:tbl>
      <w:tblPr>
        <w:tblW w:w="8087" w:type="dxa"/>
        <w:jc w:val="left"/>
        <w:tblInd w:w="0" w:type="dxa"/>
        <w:tblCellMar>
          <w:top w:w="28" w:type="dxa"/>
          <w:left w:w="28" w:type="dxa"/>
          <w:bottom w:w="28" w:type="dxa"/>
          <w:right w:w="28" w:type="dxa"/>
        </w:tblCellMar>
      </w:tblPr>
      <w:tblGrid>
        <w:gridCol w:w="1399"/>
        <w:gridCol w:w="1227"/>
        <w:gridCol w:w="1228"/>
        <w:gridCol w:w="109"/>
        <w:gridCol w:w="109"/>
        <w:gridCol w:w="183"/>
        <w:gridCol w:w="183"/>
        <w:gridCol w:w="330"/>
        <w:gridCol w:w="1090"/>
        <w:gridCol w:w="432"/>
        <w:gridCol w:w="109"/>
        <w:gridCol w:w="109"/>
        <w:gridCol w:w="109"/>
        <w:gridCol w:w="252"/>
        <w:gridCol w:w="831"/>
        <w:gridCol w:w="387"/>
      </w:tblGrid>
      <w:tr>
        <w:trPr/>
        <w:tc>
          <w:tcPr>
            <w:tcW w:w="1399" w:type="dxa"/>
            <w:tcBorders/>
            <w:shd w:fill="auto" w:val="clear"/>
            <w:vAlign w:val="center"/>
          </w:tcPr>
          <w:p>
            <w:pPr>
              <w:pStyle w:val="TableContents"/>
              <w:spacing w:before="0" w:after="283"/>
              <w:rPr>
                <w:sz w:val="4"/>
                <w:szCs w:val="4"/>
              </w:rPr>
            </w:pPr>
            <w:r>
              <w:rPr>
                <w:sz w:val="4"/>
                <w:szCs w:val="4"/>
              </w:rPr>
            </w:r>
          </w:p>
        </w:tc>
        <w:tc>
          <w:tcPr>
            <w:tcW w:w="1227"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r>
      <w:tr>
        <w:trPr/>
        <w:tc>
          <w:tcPr>
            <w:tcW w:w="38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International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8"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1797" w:type="dxa"/>
            <w:gridSpan w:val="6"/>
            <w:tcBorders/>
            <w:shd w:fill="auto" w:val="clear"/>
          </w:tcPr>
          <w:p>
            <w:pPr>
              <w:pStyle w:val="TableContents"/>
              <w:spacing w:before="0" w:after="283"/>
              <w:rPr>
                <w:sz w:val="4"/>
                <w:szCs w:val="4"/>
              </w:rPr>
            </w:pPr>
            <w:r>
              <w:rPr>
                <w:sz w:val="4"/>
                <w:szCs w:val="4"/>
              </w:rPr>
            </w:r>
          </w:p>
        </w:tc>
      </w:tr>
      <w:tr>
        <w:trPr/>
        <w:tc>
          <w:tcPr>
            <w:tcW w:w="38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52"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26, 2023</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27, 2022</w:t>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330"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0"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24,508 </w:t>
            </w:r>
          </w:p>
        </w:tc>
        <w:tc>
          <w:tcPr>
            <w:tcW w:w="432"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1"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8,884 </w:t>
            </w:r>
          </w:p>
        </w:tc>
        <w:tc>
          <w:tcPr>
            <w:tcW w:w="387"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Operating income margin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16.2 </w:t>
            </w:r>
          </w:p>
        </w:tc>
        <w:tc>
          <w:tcPr>
            <w:tcW w:w="4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3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and other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4,085 </w:t>
            </w:r>
          </w:p>
        </w:tc>
        <w:tc>
          <w:tcPr>
            <w:tcW w:w="4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4,188 </w:t>
            </w:r>
          </w:p>
        </w:tc>
        <w:tc>
          <w:tcPr>
            <w:tcW w:w="3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Plus: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5,919 </w:t>
            </w:r>
          </w:p>
        </w:tc>
        <w:tc>
          <w:tcPr>
            <w:tcW w:w="4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5,536 </w:t>
            </w:r>
          </w:p>
        </w:tc>
        <w:tc>
          <w:tcPr>
            <w:tcW w:w="3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7,673 </w:t>
            </w:r>
          </w:p>
        </w:tc>
        <w:tc>
          <w:tcPr>
            <w:tcW w:w="4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4,928 </w:t>
            </w:r>
          </w:p>
        </w:tc>
        <w:tc>
          <w:tcPr>
            <w:tcW w:w="3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impaired assets and restaurant closings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1,775 </w:t>
            </w:r>
          </w:p>
        </w:tc>
        <w:tc>
          <w:tcPr>
            <w:tcW w:w="3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Restaurant-level 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330"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0"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34,015 </w:t>
            </w:r>
          </w:p>
        </w:tc>
        <w:tc>
          <w:tcPr>
            <w:tcW w:w="432"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1"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16,935 </w:t>
            </w:r>
          </w:p>
        </w:tc>
        <w:tc>
          <w:tcPr>
            <w:tcW w:w="387"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Restaurant-level operating margin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420"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432"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16.9 </w:t>
            </w:r>
          </w:p>
        </w:tc>
        <w:tc>
          <w:tcPr>
            <w:tcW w:w="387"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38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38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38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38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754225e3f1024615994983297e2dce8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spacing w:lineRule="auto" w:line="288" w:before="0" w:after="0"/>
        <w:jc w:val="both"/>
        <w:rPr/>
      </w:pPr>
      <w:r>
        <w:rPr>
          <w:rFonts w:ascii="Times New Roman;sans-serif" w:hAnsi="Times New Roman;sans-serif"/>
          <w:b w:val="false"/>
          <w:i/>
          <w:color w:val="000000"/>
          <w:sz w:val="22"/>
        </w:rPr>
        <w:t xml:space="preserve">Restaurant-level operating margin non-GAAP reconciliations (continued) - </w:t>
      </w:r>
      <w:r>
        <w:rPr>
          <w:rFonts w:ascii="Times New Roman;sans-serif" w:hAnsi="Times New Roman;sans-serif"/>
          <w:b w:val="false"/>
          <w:color w:val="000000"/>
          <w:sz w:val="22"/>
        </w:rPr>
        <w:t>The following table presents the percentages of certain operating cost financial statement line items in relation to Restaurant sales for the periods indicated:</w:t>
      </w:r>
    </w:p>
    <w:tbl>
      <w:tblPr>
        <w:tblW w:w="6787" w:type="dxa"/>
        <w:jc w:val="left"/>
        <w:tblInd w:w="0" w:type="dxa"/>
        <w:tblCellMar>
          <w:top w:w="28" w:type="dxa"/>
          <w:left w:w="28" w:type="dxa"/>
          <w:bottom w:w="28" w:type="dxa"/>
          <w:right w:w="28" w:type="dxa"/>
        </w:tblCellMar>
      </w:tblPr>
      <w:tblGrid>
        <w:gridCol w:w="906"/>
        <w:gridCol w:w="798"/>
        <w:gridCol w:w="800"/>
        <w:gridCol w:w="327"/>
        <w:gridCol w:w="327"/>
        <w:gridCol w:w="771"/>
        <w:gridCol w:w="265"/>
        <w:gridCol w:w="265"/>
        <w:gridCol w:w="265"/>
        <w:gridCol w:w="267"/>
        <w:gridCol w:w="109"/>
        <w:gridCol w:w="326"/>
        <w:gridCol w:w="326"/>
        <w:gridCol w:w="772"/>
        <w:gridCol w:w="109"/>
        <w:gridCol w:w="154"/>
      </w:tblGrid>
      <w:tr>
        <w:trPr/>
        <w:tc>
          <w:tcPr>
            <w:tcW w:w="906"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7" w:type="dxa"/>
            <w:gridSpan w:val="7"/>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1796" w:type="dxa"/>
            <w:gridSpan w:val="6"/>
            <w:tcBorders/>
            <w:shd w:fill="auto" w:val="clear"/>
          </w:tcPr>
          <w:p>
            <w:pPr>
              <w:pStyle w:val="TableContents"/>
              <w:spacing w:before="0" w:after="283"/>
              <w:rPr>
                <w:sz w:val="4"/>
                <w:szCs w:val="4"/>
              </w:rPr>
            </w:pPr>
            <w:r>
              <w:rPr>
                <w:sz w:val="4"/>
                <w:szCs w:val="4"/>
              </w:rPr>
            </w:r>
          </w:p>
        </w:tc>
      </w:tr>
      <w:tr>
        <w:trPr/>
        <w:tc>
          <w:tcPr>
            <w:tcW w:w="2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26, 2023</w:t>
            </w:r>
          </w:p>
        </w:tc>
        <w:tc>
          <w:tcPr>
            <w:tcW w:w="795"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4"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27, 2022</w:t>
            </w:r>
          </w:p>
        </w:tc>
        <w:tc>
          <w:tcPr>
            <w:tcW w:w="263" w:type="dxa"/>
            <w:gridSpan w:val="2"/>
            <w:tcBorders/>
            <w:shd w:fill="auto" w:val="clear"/>
          </w:tcPr>
          <w:p>
            <w:pPr>
              <w:pStyle w:val="TableContents"/>
              <w:spacing w:before="0" w:after="283"/>
              <w:rPr>
                <w:sz w:val="4"/>
                <w:szCs w:val="4"/>
              </w:rPr>
            </w:pPr>
            <w:r>
              <w:rPr>
                <w:sz w:val="4"/>
                <w:szCs w:val="4"/>
              </w:rPr>
            </w:r>
          </w:p>
        </w:tc>
      </w:tr>
      <w:tr>
        <w:trPr/>
        <w:tc>
          <w:tcPr>
            <w:tcW w:w="2504" w:type="dxa"/>
            <w:gridSpan w:val="3"/>
            <w:tcBorders/>
            <w:shd w:fill="auto" w:val="clear"/>
            <w:vAlign w:val="center"/>
          </w:tcPr>
          <w:p>
            <w:pPr>
              <w:pStyle w:val="TableContents"/>
              <w:spacing w:before="0" w:after="283"/>
              <w:rPr>
                <w:sz w:val="4"/>
                <w:szCs w:val="4"/>
              </w:rPr>
            </w:pPr>
            <w:r>
              <w:rPr>
                <w:sz w:val="4"/>
                <w:szCs w:val="4"/>
              </w:rPr>
            </w:r>
          </w:p>
        </w:tc>
        <w:tc>
          <w:tcPr>
            <w:tcW w:w="1425" w:type="dxa"/>
            <w:gridSpan w:val="3"/>
            <w:tcBorders/>
            <w:shd w:fill="auto" w:val="clear"/>
            <w:vAlign w:val="center"/>
          </w:tcPr>
          <w:p>
            <w:pPr>
              <w:pStyle w:val="TableContents"/>
              <w:spacing w:before="0" w:after="283"/>
              <w:rPr>
                <w:sz w:val="4"/>
                <w:szCs w:val="4"/>
              </w:rPr>
            </w:pPr>
            <w:r>
              <w:rPr>
                <w:sz w:val="4"/>
                <w:szCs w:val="4"/>
              </w:rPr>
            </w:r>
          </w:p>
        </w:tc>
        <w:tc>
          <w:tcPr>
            <w:tcW w:w="795" w:type="dxa"/>
            <w:gridSpan w:val="3"/>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sales</w:t>
            </w:r>
          </w:p>
        </w:tc>
        <w:tc>
          <w:tcPr>
            <w:tcW w:w="654"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771"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2"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772"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6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7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7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 and other related</w:t>
            </w:r>
          </w:p>
        </w:tc>
        <w:tc>
          <w:tcPr>
            <w:tcW w:w="6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7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7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restaurant operating</w:t>
            </w:r>
          </w:p>
        </w:tc>
        <w:tc>
          <w:tcPr>
            <w:tcW w:w="6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7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23.1 </w:t>
            </w:r>
          </w:p>
        </w:tc>
        <w:tc>
          <w:tcPr>
            <w:tcW w:w="7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Restaurant-level operating margin</w:t>
            </w:r>
          </w:p>
        </w:tc>
        <w:tc>
          <w:tcPr>
            <w:tcW w:w="6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7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7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auto" w:val="clear"/>
            <w:vAlign w:val="center"/>
          </w:tcPr>
          <w:p>
            <w:pPr>
              <w:pStyle w:val="TableContents"/>
              <w:spacing w:before="0" w:after="283"/>
              <w:rPr>
                <w:sz w:val="4"/>
                <w:szCs w:val="4"/>
              </w:rPr>
            </w:pPr>
            <w:r>
              <w:rPr>
                <w:sz w:val="4"/>
                <w:szCs w:val="4"/>
              </w:rPr>
            </w:r>
          </w:p>
        </w:tc>
        <w:tc>
          <w:tcPr>
            <w:tcW w:w="1425" w:type="dxa"/>
            <w:gridSpan w:val="3"/>
            <w:tcBorders/>
            <w:shd w:fill="auto" w:val="clear"/>
            <w:vAlign w:val="center"/>
          </w:tcPr>
          <w:p>
            <w:pPr>
              <w:pStyle w:val="TableContents"/>
              <w:spacing w:before="0" w:after="283"/>
              <w:rPr>
                <w:sz w:val="4"/>
                <w:szCs w:val="4"/>
              </w:rPr>
            </w:pPr>
            <w:r>
              <w:rPr>
                <w:sz w:val="4"/>
                <w:szCs w:val="4"/>
              </w:rPr>
            </w:r>
          </w:p>
        </w:tc>
        <w:tc>
          <w:tcPr>
            <w:tcW w:w="795" w:type="dxa"/>
            <w:gridSpan w:val="3"/>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auto" w:val="clear"/>
            <w:vAlign w:val="center"/>
          </w:tcPr>
          <w:p>
            <w:pPr>
              <w:pStyle w:val="TableContents"/>
              <w:spacing w:before="0" w:after="283"/>
              <w:rPr>
                <w:sz w:val="4"/>
                <w:szCs w:val="4"/>
              </w:rPr>
            </w:pPr>
            <w:r>
              <w:rPr>
                <w:sz w:val="4"/>
                <w:szCs w:val="4"/>
              </w:rPr>
            </w:r>
          </w:p>
        </w:tc>
        <w:tc>
          <w:tcPr>
            <w:tcW w:w="1425" w:type="dxa"/>
            <w:gridSpan w:val="3"/>
            <w:tcBorders/>
            <w:shd w:fill="auto" w:val="clear"/>
            <w:vAlign w:val="center"/>
          </w:tcPr>
          <w:p>
            <w:pPr>
              <w:pStyle w:val="TableContents"/>
              <w:spacing w:before="0" w:after="283"/>
              <w:rPr>
                <w:sz w:val="4"/>
                <w:szCs w:val="4"/>
              </w:rPr>
            </w:pPr>
            <w:r>
              <w:rPr>
                <w:sz w:val="4"/>
                <w:szCs w:val="4"/>
              </w:rPr>
            </w:r>
          </w:p>
        </w:tc>
        <w:tc>
          <w:tcPr>
            <w:tcW w:w="2858" w:type="dxa"/>
            <w:gridSpan w:val="10"/>
            <w:tcBorders/>
            <w:shd w:fill="auto" w:val="clear"/>
          </w:tcPr>
          <w:p>
            <w:pPr>
              <w:pStyle w:val="TableContents"/>
              <w:spacing w:before="0" w:after="283"/>
              <w:rPr>
                <w:sz w:val="4"/>
                <w:szCs w:val="4"/>
              </w:rPr>
            </w:pPr>
            <w:r>
              <w:rPr>
                <w:sz w:val="4"/>
                <w:szCs w:val="4"/>
              </w:rPr>
            </w:r>
          </w:p>
        </w:tc>
      </w:tr>
      <w:tr>
        <w:trPr/>
        <w:tc>
          <w:tcPr>
            <w:tcW w:w="2504" w:type="dxa"/>
            <w:gridSpan w:val="3"/>
            <w:tcBorders/>
            <w:shd w:fill="auto" w:val="clear"/>
            <w:vAlign w:val="center"/>
          </w:tcPr>
          <w:p>
            <w:pPr>
              <w:pStyle w:val="TableContents"/>
              <w:spacing w:before="0" w:after="283"/>
              <w:rPr>
                <w:sz w:val="4"/>
                <w:szCs w:val="4"/>
              </w:rPr>
            </w:pPr>
            <w:r>
              <w:rPr>
                <w:sz w:val="4"/>
                <w:szCs w:val="4"/>
              </w:rPr>
            </w:r>
          </w:p>
        </w:tc>
        <w:tc>
          <w:tcPr>
            <w:tcW w:w="1425" w:type="dxa"/>
            <w:gridSpan w:val="3"/>
            <w:tcBorders/>
            <w:shd w:fill="auto" w:val="clear"/>
            <w:vAlign w:val="center"/>
          </w:tcPr>
          <w:p>
            <w:pPr>
              <w:pStyle w:val="TableContents"/>
              <w:spacing w:before="0" w:after="283"/>
              <w:rPr>
                <w:sz w:val="4"/>
                <w:szCs w:val="4"/>
              </w:rPr>
            </w:pPr>
            <w:r>
              <w:rPr>
                <w:sz w:val="4"/>
                <w:szCs w:val="4"/>
              </w:rPr>
            </w:r>
          </w:p>
        </w:tc>
        <w:tc>
          <w:tcPr>
            <w:tcW w:w="795" w:type="dxa"/>
            <w:gridSpan w:val="3"/>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796" w:type="dxa"/>
            <w:gridSpan w:val="6"/>
            <w:tcBorders/>
            <w:shd w:fill="auto" w:val="clear"/>
          </w:tcPr>
          <w:p>
            <w:pPr>
              <w:pStyle w:val="TableContents"/>
              <w:spacing w:before="0" w:after="283"/>
              <w:rPr>
                <w:sz w:val="4"/>
                <w:szCs w:val="4"/>
              </w:rPr>
            </w:pPr>
            <w:r>
              <w:rPr>
                <w:sz w:val="4"/>
                <w:szCs w:val="4"/>
              </w:rPr>
            </w:r>
          </w:p>
        </w:tc>
      </w:tr>
      <w:tr>
        <w:trPr/>
        <w:tc>
          <w:tcPr>
            <w:tcW w:w="2504" w:type="dxa"/>
            <w:gridSpan w:val="3"/>
            <w:tcBorders/>
            <w:shd w:fill="auto" w:val="clear"/>
            <w:vAlign w:val="center"/>
          </w:tcPr>
          <w:p>
            <w:pPr>
              <w:pStyle w:val="TableContents"/>
              <w:spacing w:before="0" w:after="283"/>
              <w:rPr>
                <w:sz w:val="4"/>
                <w:szCs w:val="4"/>
              </w:rPr>
            </w:pPr>
            <w:r>
              <w:rPr>
                <w:sz w:val="4"/>
                <w:szCs w:val="4"/>
              </w:rPr>
            </w:r>
          </w:p>
        </w:tc>
        <w:tc>
          <w:tcPr>
            <w:tcW w:w="1425" w:type="dxa"/>
            <w:gridSpan w:val="3"/>
            <w:tcBorders/>
            <w:shd w:fill="auto" w:val="clear"/>
            <w:vAlign w:val="center"/>
          </w:tcPr>
          <w:p>
            <w:pPr>
              <w:pStyle w:val="TableContents"/>
              <w:spacing w:before="0" w:after="283"/>
              <w:rPr>
                <w:sz w:val="4"/>
                <w:szCs w:val="4"/>
              </w:rPr>
            </w:pPr>
            <w:r>
              <w:rPr>
                <w:sz w:val="4"/>
                <w:szCs w:val="4"/>
              </w:rPr>
            </w:r>
          </w:p>
        </w:tc>
        <w:tc>
          <w:tcPr>
            <w:tcW w:w="795" w:type="dxa"/>
            <w:gridSpan w:val="3"/>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auto" w:val="clear"/>
            <w:vAlign w:val="center"/>
          </w:tcPr>
          <w:p>
            <w:pPr>
              <w:pStyle w:val="TableContents"/>
              <w:spacing w:before="0" w:after="283"/>
              <w:rPr>
                <w:sz w:val="4"/>
                <w:szCs w:val="4"/>
              </w:rPr>
            </w:pPr>
            <w:r>
              <w:rPr>
                <w:sz w:val="4"/>
                <w:szCs w:val="4"/>
              </w:rPr>
            </w:r>
          </w:p>
        </w:tc>
        <w:tc>
          <w:tcPr>
            <w:tcW w:w="1425" w:type="dxa"/>
            <w:gridSpan w:val="3"/>
            <w:tcBorders/>
            <w:shd w:fill="auto" w:val="clear"/>
            <w:vAlign w:val="center"/>
          </w:tcPr>
          <w:p>
            <w:pPr>
              <w:pStyle w:val="TableContents"/>
              <w:spacing w:before="0" w:after="283"/>
              <w:rPr>
                <w:sz w:val="4"/>
                <w:szCs w:val="4"/>
              </w:rPr>
            </w:pPr>
            <w:r>
              <w:rPr>
                <w:sz w:val="4"/>
                <w:szCs w:val="4"/>
              </w:rPr>
            </w:r>
          </w:p>
        </w:tc>
        <w:tc>
          <w:tcPr>
            <w:tcW w:w="795" w:type="dxa"/>
            <w:gridSpan w:val="3"/>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auto" w:val="clear"/>
            <w:vAlign w:val="center"/>
          </w:tcPr>
          <w:p>
            <w:pPr>
              <w:pStyle w:val="TableContents"/>
              <w:spacing w:before="0" w:after="283"/>
              <w:rPr>
                <w:sz w:val="4"/>
                <w:szCs w:val="4"/>
              </w:rPr>
            </w:pPr>
            <w:r>
              <w:rPr>
                <w:sz w:val="4"/>
                <w:szCs w:val="4"/>
              </w:rPr>
            </w:r>
          </w:p>
        </w:tc>
        <w:tc>
          <w:tcPr>
            <w:tcW w:w="1425" w:type="dxa"/>
            <w:gridSpan w:val="3"/>
            <w:tcBorders/>
            <w:shd w:fill="auto" w:val="clear"/>
            <w:vAlign w:val="center"/>
          </w:tcPr>
          <w:p>
            <w:pPr>
              <w:pStyle w:val="TableContents"/>
              <w:spacing w:before="0" w:after="283"/>
              <w:rPr>
                <w:sz w:val="4"/>
                <w:szCs w:val="4"/>
              </w:rPr>
            </w:pPr>
            <w:r>
              <w:rPr>
                <w:sz w:val="4"/>
                <w:szCs w:val="4"/>
              </w:rPr>
            </w:r>
          </w:p>
        </w:tc>
        <w:tc>
          <w:tcPr>
            <w:tcW w:w="795" w:type="dxa"/>
            <w:gridSpan w:val="3"/>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auto" w:val="clear"/>
            <w:vAlign w:val="center"/>
          </w:tcPr>
          <w:p>
            <w:pPr>
              <w:pStyle w:val="TableContents"/>
              <w:spacing w:before="0" w:after="283"/>
              <w:rPr>
                <w:sz w:val="4"/>
                <w:szCs w:val="4"/>
              </w:rPr>
            </w:pPr>
            <w:r>
              <w:rPr>
                <w:sz w:val="4"/>
                <w:szCs w:val="4"/>
              </w:rPr>
            </w:r>
          </w:p>
        </w:tc>
        <w:tc>
          <w:tcPr>
            <w:tcW w:w="1425" w:type="dxa"/>
            <w:gridSpan w:val="3"/>
            <w:tcBorders/>
            <w:shd w:fill="auto" w:val="clear"/>
            <w:vAlign w:val="center"/>
          </w:tcPr>
          <w:p>
            <w:pPr>
              <w:pStyle w:val="TableContents"/>
              <w:spacing w:before="0" w:after="283"/>
              <w:rPr>
                <w:sz w:val="4"/>
                <w:szCs w:val="4"/>
              </w:rPr>
            </w:pPr>
            <w:r>
              <w:rPr>
                <w:sz w:val="4"/>
                <w:szCs w:val="4"/>
              </w:rPr>
            </w:r>
          </w:p>
        </w:tc>
        <w:tc>
          <w:tcPr>
            <w:tcW w:w="795" w:type="dxa"/>
            <w:gridSpan w:val="3"/>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auto" w:val="clear"/>
            <w:vAlign w:val="center"/>
          </w:tcPr>
          <w:p>
            <w:pPr>
              <w:pStyle w:val="TableContents"/>
              <w:spacing w:before="0" w:after="283"/>
              <w:rPr>
                <w:sz w:val="4"/>
                <w:szCs w:val="4"/>
              </w:rPr>
            </w:pPr>
            <w:r>
              <w:rPr>
                <w:sz w:val="4"/>
                <w:szCs w:val="4"/>
              </w:rPr>
            </w:r>
          </w:p>
        </w:tc>
        <w:tc>
          <w:tcPr>
            <w:tcW w:w="1425" w:type="dxa"/>
            <w:gridSpan w:val="3"/>
            <w:tcBorders/>
            <w:shd w:fill="auto" w:val="clear"/>
            <w:vAlign w:val="center"/>
          </w:tcPr>
          <w:p>
            <w:pPr>
              <w:pStyle w:val="TableContents"/>
              <w:spacing w:before="0" w:after="283"/>
              <w:rPr>
                <w:sz w:val="4"/>
                <w:szCs w:val="4"/>
              </w:rPr>
            </w:pPr>
            <w:r>
              <w:rPr>
                <w:sz w:val="4"/>
                <w:szCs w:val="4"/>
              </w:rPr>
            </w:r>
          </w:p>
        </w:tc>
        <w:tc>
          <w:tcPr>
            <w:tcW w:w="795" w:type="dxa"/>
            <w:gridSpan w:val="3"/>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auto" w:val="clear"/>
            <w:vAlign w:val="center"/>
          </w:tcPr>
          <w:p>
            <w:pPr>
              <w:pStyle w:val="TableContents"/>
              <w:spacing w:before="0" w:after="283"/>
              <w:rPr>
                <w:sz w:val="4"/>
                <w:szCs w:val="4"/>
              </w:rPr>
            </w:pPr>
            <w:r>
              <w:rPr>
                <w:sz w:val="4"/>
                <w:szCs w:val="4"/>
              </w:rPr>
            </w:r>
          </w:p>
        </w:tc>
        <w:tc>
          <w:tcPr>
            <w:tcW w:w="1425" w:type="dxa"/>
            <w:gridSpan w:val="3"/>
            <w:tcBorders/>
            <w:shd w:fill="auto" w:val="clear"/>
            <w:vAlign w:val="center"/>
          </w:tcPr>
          <w:p>
            <w:pPr>
              <w:pStyle w:val="TableContents"/>
              <w:spacing w:before="0" w:after="283"/>
              <w:rPr>
                <w:sz w:val="4"/>
                <w:szCs w:val="4"/>
              </w:rPr>
            </w:pPr>
            <w:r>
              <w:rPr>
                <w:sz w:val="4"/>
                <w:szCs w:val="4"/>
              </w:rPr>
            </w:r>
          </w:p>
        </w:tc>
        <w:tc>
          <w:tcPr>
            <w:tcW w:w="795" w:type="dxa"/>
            <w:gridSpan w:val="3"/>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auto" w:val="clear"/>
            <w:vAlign w:val="center"/>
          </w:tcPr>
          <w:p>
            <w:pPr>
              <w:pStyle w:val="TableContents"/>
              <w:spacing w:before="0" w:after="283"/>
              <w:rPr>
                <w:sz w:val="4"/>
                <w:szCs w:val="4"/>
              </w:rPr>
            </w:pPr>
            <w:r>
              <w:rPr>
                <w:sz w:val="4"/>
                <w:szCs w:val="4"/>
              </w:rPr>
            </w:r>
          </w:p>
        </w:tc>
        <w:tc>
          <w:tcPr>
            <w:tcW w:w="1425" w:type="dxa"/>
            <w:gridSpan w:val="3"/>
            <w:tcBorders/>
            <w:shd w:fill="auto" w:val="clear"/>
            <w:vAlign w:val="center"/>
          </w:tcPr>
          <w:p>
            <w:pPr>
              <w:pStyle w:val="TableContents"/>
              <w:spacing w:before="0" w:after="283"/>
              <w:rPr>
                <w:sz w:val="4"/>
                <w:szCs w:val="4"/>
              </w:rPr>
            </w:pPr>
            <w:r>
              <w:rPr>
                <w:sz w:val="4"/>
                <w:szCs w:val="4"/>
              </w:rPr>
            </w:r>
          </w:p>
        </w:tc>
        <w:tc>
          <w:tcPr>
            <w:tcW w:w="795" w:type="dxa"/>
            <w:gridSpan w:val="3"/>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auto" w:val="clear"/>
            <w:vAlign w:val="center"/>
          </w:tcPr>
          <w:p>
            <w:pPr>
              <w:pStyle w:val="TableContents"/>
              <w:spacing w:before="0" w:after="283"/>
              <w:rPr>
                <w:sz w:val="4"/>
                <w:szCs w:val="4"/>
              </w:rPr>
            </w:pPr>
            <w:r>
              <w:rPr>
                <w:sz w:val="4"/>
                <w:szCs w:val="4"/>
              </w:rPr>
            </w:r>
          </w:p>
        </w:tc>
        <w:tc>
          <w:tcPr>
            <w:tcW w:w="1425" w:type="dxa"/>
            <w:gridSpan w:val="3"/>
            <w:tcBorders/>
            <w:shd w:fill="auto" w:val="clear"/>
            <w:vAlign w:val="center"/>
          </w:tcPr>
          <w:p>
            <w:pPr>
              <w:pStyle w:val="TableContents"/>
              <w:spacing w:before="0" w:after="283"/>
              <w:rPr>
                <w:sz w:val="4"/>
                <w:szCs w:val="4"/>
              </w:rPr>
            </w:pPr>
            <w:r>
              <w:rPr>
                <w:sz w:val="4"/>
                <w:szCs w:val="4"/>
              </w:rPr>
            </w:r>
          </w:p>
        </w:tc>
        <w:tc>
          <w:tcPr>
            <w:tcW w:w="795" w:type="dxa"/>
            <w:gridSpan w:val="3"/>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val="false"/>
          <w:i/>
          <w:color w:val="000000"/>
          <w:sz w:val="22"/>
        </w:rPr>
        <w:t xml:space="preserve">Adjusted diluted earnings per share non-GAAP reconciliations </w:t>
      </w:r>
      <w:r>
        <w:rPr>
          <w:rFonts w:ascii="Times New Roman;sans-serif" w:hAnsi="Times New Roman;sans-serif"/>
          <w:b w:val="false"/>
          <w:color w:val="000000"/>
          <w:sz w:val="22"/>
        </w:rPr>
        <w:t>- The following table reconciles Net income attributable to Bloomin’ Brands to adjusted diluted earnings per share for the periods indicated:</w:t>
      </w:r>
    </w:p>
    <w:tbl>
      <w:tblPr>
        <w:tblW w:w="9079" w:type="dxa"/>
        <w:jc w:val="left"/>
        <w:tblInd w:w="0" w:type="dxa"/>
        <w:tblCellMar>
          <w:top w:w="28" w:type="dxa"/>
          <w:left w:w="28" w:type="dxa"/>
          <w:bottom w:w="28" w:type="dxa"/>
          <w:right w:w="28" w:type="dxa"/>
        </w:tblCellMar>
      </w:tblPr>
      <w:tblGrid>
        <w:gridCol w:w="1755"/>
        <w:gridCol w:w="1542"/>
        <w:gridCol w:w="1547"/>
        <w:gridCol w:w="109"/>
        <w:gridCol w:w="109"/>
        <w:gridCol w:w="207"/>
        <w:gridCol w:w="207"/>
        <w:gridCol w:w="372"/>
        <w:gridCol w:w="1227"/>
        <w:gridCol w:w="207"/>
        <w:gridCol w:w="109"/>
        <w:gridCol w:w="109"/>
        <w:gridCol w:w="109"/>
        <w:gridCol w:w="289"/>
        <w:gridCol w:w="954"/>
        <w:gridCol w:w="227"/>
      </w:tblGrid>
      <w:tr>
        <w:trPr/>
        <w:tc>
          <w:tcPr>
            <w:tcW w:w="1755" w:type="dxa"/>
            <w:tcBorders/>
            <w:shd w:fill="auto" w:val="clear"/>
            <w:vAlign w:val="center"/>
          </w:tcPr>
          <w:p>
            <w:pPr>
              <w:pStyle w:val="TableContents"/>
              <w:spacing w:before="0" w:after="283"/>
              <w:rPr>
                <w:sz w:val="4"/>
                <w:szCs w:val="4"/>
              </w:rPr>
            </w:pPr>
            <w:r>
              <w:rPr>
                <w:sz w:val="4"/>
                <w:szCs w:val="4"/>
              </w:rPr>
            </w:r>
          </w:p>
        </w:tc>
        <w:tc>
          <w:tcPr>
            <w:tcW w:w="1542" w:type="dxa"/>
            <w:tcBorders/>
            <w:shd w:fill="auto" w:val="clear"/>
            <w:vAlign w:val="center"/>
          </w:tcPr>
          <w:p>
            <w:pPr>
              <w:pStyle w:val="TableContents"/>
              <w:spacing w:before="0" w:after="283"/>
              <w:rPr>
                <w:sz w:val="4"/>
                <w:szCs w:val="4"/>
              </w:rPr>
            </w:pPr>
            <w:r>
              <w:rPr>
                <w:sz w:val="4"/>
                <w:szCs w:val="4"/>
              </w:rPr>
            </w:r>
          </w:p>
        </w:tc>
        <w:tc>
          <w:tcPr>
            <w:tcW w:w="15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122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r>
      <w:tr>
        <w:trPr/>
        <w:tc>
          <w:tcPr>
            <w:tcW w:w="4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0"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1797" w:type="dxa"/>
            <w:gridSpan w:val="6"/>
            <w:tcBorders/>
            <w:shd w:fill="auto" w:val="clear"/>
          </w:tcPr>
          <w:p>
            <w:pPr>
              <w:pStyle w:val="TableContents"/>
              <w:spacing w:before="0" w:after="283"/>
              <w:rPr>
                <w:sz w:val="4"/>
                <w:szCs w:val="4"/>
              </w:rPr>
            </w:pPr>
            <w:r>
              <w:rPr>
                <w:sz w:val="4"/>
                <w:szCs w:val="4"/>
              </w:rPr>
            </w:r>
          </w:p>
        </w:tc>
      </w:tr>
      <w:tr>
        <w:trPr/>
        <w:tc>
          <w:tcPr>
            <w:tcW w:w="48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share and per share data)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806"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26, 2023</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27, 2022</w:t>
            </w:r>
          </w:p>
        </w:tc>
      </w:tr>
      <w:tr>
        <w:trPr/>
        <w:tc>
          <w:tcPr>
            <w:tcW w:w="48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48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Bloomin’ Brands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372"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7"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91,311 </w:t>
            </w:r>
          </w:p>
        </w:tc>
        <w:tc>
          <w:tcPr>
            <w:tcW w:w="207"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4"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75,511 </w:t>
            </w:r>
          </w:p>
        </w:tc>
        <w:tc>
          <w:tcPr>
            <w:tcW w:w="227"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48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48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48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48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48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48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48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8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earnings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0.93 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0.73 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diluted earnings per share (1)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37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7"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0.98 </w:t>
            </w:r>
          </w:p>
        </w:tc>
        <w:tc>
          <w:tcPr>
            <w:tcW w:w="207"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4"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0.80 </w:t>
            </w:r>
          </w:p>
        </w:tc>
        <w:tc>
          <w:tcPr>
            <w:tcW w:w="227"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80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8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48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48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48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48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48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weighted average common shares outstanding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98,011 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103,454 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diluted weighted average common shares outstanding (1)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599"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93,180 </w:t>
            </w:r>
          </w:p>
        </w:tc>
        <w:tc>
          <w:tcPr>
            <w:tcW w:w="20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94,722 </w:t>
            </w:r>
          </w:p>
        </w:tc>
        <w:tc>
          <w:tcPr>
            <w:tcW w:w="22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48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48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48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48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48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48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48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48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_________________</w:t>
      </w:r>
    </w:p>
    <w:p>
      <w:pPr>
        <w:pStyle w:val="TextBody"/>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(1)Adjusted diluted weighted average common shares outstanding was calculated excluding the dilutive effect of 4,831 and 8,732 shares for the thirteen weeks ended March 26, 2023 and March 27, 2022, respectively, to be issued upon conversion of the 2025 Notes to satisfy the amount in excess of the principal since our convertible note hedge offsets the dilutive impact of the shares underlying the 2025 Notes.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val="false"/>
          <w:i/>
          <w:color w:val="000000"/>
          <w:sz w:val="22"/>
        </w:rPr>
        <w:t xml:space="preserve">System-Wide Sales - </w:t>
      </w:r>
      <w:r>
        <w:rPr>
          <w:rFonts w:ascii="Times New Roman;sans-serif" w:hAnsi="Times New Roman;sans-serif"/>
          <w:b w:val="false"/>
          <w:color w:val="000000"/>
          <w:sz w:val="22"/>
        </w:rPr>
        <w:t>System-wide sales is a non-GAAP financial measure that includes sales of all restaurants operating under our brand names, whether we own them or not. Management uses this information to make decisions about future plans for the development of additional restaurants and new concepts, as well as evaluation of current operations. System-wide sales comprise sales of Company-owned and franchised restaurants. For a summary of sales of Company-owned restaurants, refer to Note 2</w:t>
      </w:r>
      <w:r>
        <w:rPr>
          <w:color w:val="000000"/>
        </w:rPr>
        <w:t xml:space="preserve"> </w:t>
      </w:r>
      <w:r>
        <w:rPr>
          <w:rFonts w:ascii="Times New Roman;sans-serif" w:hAnsi="Times New Roman;sans-serif"/>
          <w:b w:val="false"/>
          <w:color w:val="000000"/>
          <w:sz w:val="20"/>
        </w:rPr>
        <w:t xml:space="preserve">- </w:t>
      </w:r>
      <w:r>
        <w:rPr>
          <w:rFonts w:ascii="Times New Roman;sans-serif" w:hAnsi="Times New Roman;sans-serif"/>
          <w:b w:val="false"/>
          <w:i/>
          <w:color w:val="000000"/>
          <w:sz w:val="22"/>
        </w:rPr>
        <w:t xml:space="preserve">Revenue Recognition </w:t>
      </w:r>
      <w:r>
        <w:rPr>
          <w:rFonts w:ascii="Times New Roman;sans-serif" w:hAnsi="Times New Roman;sans-serif"/>
          <w:b w:val="false"/>
          <w:color w:val="000000"/>
          <w:sz w:val="22"/>
        </w:rPr>
        <w:t>of the Notes to Consolidated Financial Statements.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following table provides a summary of sales of franchised restaurants for the periods indicated, which are not included in our consolidated financial results. Franchise sales within this table do not represent our sales and are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754225e3f1024615994983297e2dce8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presented only as an indicator of changes in the restaurant system, which management believes is important information regarding the health of our restaurant concepts and in determining our royalties and/or service fees.</w:t>
      </w:r>
    </w:p>
    <w:tbl>
      <w:tblPr>
        <w:tblW w:w="7076" w:type="dxa"/>
        <w:jc w:val="left"/>
        <w:tblInd w:w="0" w:type="dxa"/>
        <w:tblCellMar>
          <w:top w:w="28" w:type="dxa"/>
          <w:left w:w="28" w:type="dxa"/>
          <w:bottom w:w="28" w:type="dxa"/>
          <w:right w:w="28" w:type="dxa"/>
        </w:tblCellMar>
      </w:tblPr>
      <w:tblGrid>
        <w:gridCol w:w="952"/>
        <w:gridCol w:w="835"/>
        <w:gridCol w:w="838"/>
        <w:gridCol w:w="109"/>
        <w:gridCol w:w="109"/>
        <w:gridCol w:w="254"/>
        <w:gridCol w:w="254"/>
        <w:gridCol w:w="459"/>
        <w:gridCol w:w="989"/>
        <w:gridCol w:w="263"/>
        <w:gridCol w:w="109"/>
        <w:gridCol w:w="109"/>
        <w:gridCol w:w="109"/>
        <w:gridCol w:w="383"/>
        <w:gridCol w:w="825"/>
        <w:gridCol w:w="216"/>
        <w:gridCol w:w="109"/>
        <w:gridCol w:w="154"/>
      </w:tblGrid>
      <w:tr>
        <w:trPr/>
        <w:tc>
          <w:tcPr>
            <w:tcW w:w="952"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9"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6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1711"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26, 2023</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27, 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1711"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45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1448"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263"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216"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17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South Korea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2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 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1448"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263"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216"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franchise sales (2)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45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273 </w:t>
            </w:r>
          </w:p>
        </w:tc>
        <w:tc>
          <w:tcPr>
            <w:tcW w:w="26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21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1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1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1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1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1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1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_____________________</w:t>
      </w:r>
    </w:p>
    <w:p>
      <w:pPr>
        <w:pStyle w:val="TextBody"/>
        <w:spacing w:lineRule="auto" w:line="288" w:before="0" w:after="0"/>
        <w:ind w:left="0" w:right="0" w:hanging="720"/>
        <w:rPr>
          <w:rFonts w:ascii="Times New Roman;sans-serif" w:hAnsi="Times New Roman;sans-serif"/>
          <w:b w:val="false"/>
          <w:color w:val="000000"/>
          <w:sz w:val="18"/>
        </w:rPr>
      </w:pPr>
      <w:r>
        <w:rPr>
          <w:rFonts w:ascii="Times New Roman;sans-serif" w:hAnsi="Times New Roman;sans-serif"/>
          <w:b w:val="false"/>
          <w:color w:val="000000"/>
          <w:sz w:val="18"/>
        </w:rPr>
        <w:t>(1)Includes franchise sales for off-premises only kitchens in South Korea.</w:t>
      </w:r>
    </w:p>
    <w:p>
      <w:pPr>
        <w:pStyle w:val="TextBody"/>
        <w:spacing w:lineRule="auto" w:line="288" w:before="0" w:after="0"/>
        <w:ind w:left="0" w:right="0" w:hanging="720"/>
        <w:rPr>
          <w:rFonts w:ascii="Times New Roman;sans-serif" w:hAnsi="Times New Roman;sans-serif"/>
          <w:b w:val="false"/>
          <w:color w:val="000000"/>
          <w:sz w:val="18"/>
        </w:rPr>
      </w:pPr>
      <w:r>
        <w:rPr>
          <w:rFonts w:ascii="Times New Roman;sans-serif" w:hAnsi="Times New Roman;sans-serif"/>
          <w:b w:val="false"/>
          <w:color w:val="000000"/>
          <w:sz w:val="18"/>
        </w:rPr>
        <w:t>(2)Franchise sales are not included in Total revenues in the Consolidated Statements of Operations and Comprehensive Income.</w:t>
      </w:r>
    </w:p>
    <w:p>
      <w:pPr>
        <w:pStyle w:val="TextBody"/>
        <w:spacing w:before="0" w:after="0"/>
        <w:ind w:left="0" w:right="0" w:hanging="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 xml:space="preserve">Liquidity and Capital Resources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Cash and Cash Equivalents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of March 26, 2023, we had $94.4 million in cash and cash equivalents, of which $27.1 million was held by foreign affiliates. The international jurisdictions in which we have significant cash do not have any known restrictions that would prohibit repatriation.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of March 26, 2023, we had aggregate undistributed foreign earnings of approximately $25.8 million. This amount consisted primarily of historical earnings from 2017 and prior that were previously taxed in the U.S. under the 2017 Tax Cuts and Jobs Act and post-2017 foreign earnings, which we may repatriate to the U.S. without additional material U.S. federal income tax. These amounts are not considered indefinitely reinvested in our foreign subsidiaries.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Borrowing Capacity and Debt Service</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2"/>
        </w:rPr>
        <w:t>Credit Facilities</w:t>
      </w:r>
      <w:r>
        <w:rPr>
          <w:color w:val="000000"/>
        </w:rPr>
        <w:t xml:space="preserve"> </w:t>
      </w:r>
      <w:r>
        <w:rPr>
          <w:rFonts w:ascii="Times New Roman;sans-serif" w:hAnsi="Times New Roman;sans-serif"/>
          <w:b w:val="false"/>
          <w:color w:val="000000"/>
          <w:sz w:val="22"/>
        </w:rPr>
        <w:t>- Following is a summary of our outstanding credit facilities as of the dates indicated and principal payments and debt issuance during the period indicated:</w:t>
      </w:r>
    </w:p>
    <w:tbl>
      <w:tblPr>
        <w:tblW w:w="10205" w:type="dxa"/>
        <w:jc w:val="left"/>
        <w:tblInd w:w="0" w:type="dxa"/>
        <w:tblCellMar>
          <w:top w:w="28" w:type="dxa"/>
          <w:left w:w="28" w:type="dxa"/>
          <w:bottom w:w="28" w:type="dxa"/>
          <w:right w:w="28" w:type="dxa"/>
        </w:tblCellMar>
      </w:tblPr>
      <w:tblGrid>
        <w:gridCol w:w="675"/>
        <w:gridCol w:w="595"/>
        <w:gridCol w:w="598"/>
        <w:gridCol w:w="109"/>
        <w:gridCol w:w="109"/>
        <w:gridCol w:w="351"/>
        <w:gridCol w:w="1321"/>
        <w:gridCol w:w="459"/>
        <w:gridCol w:w="109"/>
        <w:gridCol w:w="109"/>
        <w:gridCol w:w="109"/>
        <w:gridCol w:w="109"/>
        <w:gridCol w:w="109"/>
        <w:gridCol w:w="109"/>
        <w:gridCol w:w="109"/>
        <w:gridCol w:w="196"/>
        <w:gridCol w:w="736"/>
        <w:gridCol w:w="256"/>
        <w:gridCol w:w="109"/>
        <w:gridCol w:w="109"/>
        <w:gridCol w:w="109"/>
        <w:gridCol w:w="289"/>
        <w:gridCol w:w="1089"/>
        <w:gridCol w:w="378"/>
        <w:gridCol w:w="287"/>
        <w:gridCol w:w="287"/>
        <w:gridCol w:w="288"/>
        <w:gridCol w:w="196"/>
        <w:gridCol w:w="736"/>
        <w:gridCol w:w="160"/>
      </w:tblGrid>
      <w:tr>
        <w:trPr/>
        <w:tc>
          <w:tcPr>
            <w:tcW w:w="675"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321"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1089"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18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SENIOR SECURED CREDIT FACILITY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CREDIT FACILITIES</w:t>
            </w:r>
          </w:p>
        </w:tc>
        <w:tc>
          <w:tcPr>
            <w:tcW w:w="1954" w:type="dxa"/>
            <w:gridSpan w:val="6"/>
            <w:tcBorders/>
            <w:shd w:fill="auto" w:val="clear"/>
          </w:tcPr>
          <w:p>
            <w:pPr>
              <w:pStyle w:val="TableContents"/>
              <w:spacing w:before="0" w:after="283"/>
              <w:rPr>
                <w:sz w:val="4"/>
                <w:szCs w:val="4"/>
              </w:rPr>
            </w:pPr>
            <w:r>
              <w:rPr>
                <w:sz w:val="4"/>
                <w:szCs w:val="4"/>
              </w:rPr>
            </w:r>
          </w:p>
        </w:tc>
      </w:tr>
      <w:tr>
        <w:trPr/>
        <w:tc>
          <w:tcPr>
            <w:tcW w:w="18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1"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REVOLVING CREDIT FACILITY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 NOTES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vMerge w:val="continue"/>
            <w:tcBorders/>
            <w:shd w:fill="auto" w:val="clear"/>
            <w:tcMar>
              <w:top w:w="0" w:type="dxa"/>
              <w:left w:w="0" w:type="dxa"/>
              <w:bottom w:w="0" w:type="dxa"/>
              <w:right w:w="0" w:type="dxa"/>
            </w:tcMar>
            <w:vAlign w:val="center"/>
          </w:tcPr>
          <w:p>
            <w:pPr>
              <w:pStyle w:val="Normal"/>
              <w:rPr/>
            </w:pPr>
            <w:r>
              <w:rPr/>
            </w:r>
          </w:p>
        </w:tc>
        <w:tc>
          <w:tcPr>
            <w:tcW w:w="8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2029 NOTES</w:t>
            </w:r>
          </w:p>
        </w:tc>
        <w:tc>
          <w:tcPr>
            <w:tcW w:w="10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25,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1"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1"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430,000 </w:t>
            </w:r>
          </w:p>
        </w:tc>
        <w:tc>
          <w:tcPr>
            <w:tcW w:w="45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105,000 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9"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300,000 </w:t>
            </w:r>
          </w:p>
        </w:tc>
        <w:tc>
          <w:tcPr>
            <w:tcW w:w="378"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835,000 </w:t>
            </w:r>
          </w:p>
        </w:tc>
        <w:tc>
          <w:tcPr>
            <w:tcW w:w="160"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 new debt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190,000 </w:t>
            </w:r>
          </w:p>
        </w:tc>
        <w:tc>
          <w:tcPr>
            <w:tcW w:w="4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190,000 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 payments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(260,000)</w:t>
            </w:r>
          </w:p>
        </w:tc>
        <w:tc>
          <w:tcPr>
            <w:tcW w:w="4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(260,000)</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March 26, 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1"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1"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360,000 </w:t>
            </w:r>
          </w:p>
        </w:tc>
        <w:tc>
          <w:tcPr>
            <w:tcW w:w="459"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105,000 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9"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300,000 </w:t>
            </w:r>
          </w:p>
        </w:tc>
        <w:tc>
          <w:tcPr>
            <w:tcW w:w="378"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765,000 </w:t>
            </w:r>
          </w:p>
        </w:tc>
        <w:tc>
          <w:tcPr>
            <w:tcW w:w="160"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rates, as of March 26, 2023 (1)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6.28 </w:t>
            </w:r>
          </w:p>
        </w:tc>
        <w:tc>
          <w:tcPr>
            <w:tcW w:w="4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5.13 </w:t>
            </w:r>
          </w:p>
        </w:tc>
        <w:tc>
          <w:tcPr>
            <w:tcW w:w="3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maturity date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April 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May 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April 2029</w:t>
            </w:r>
          </w:p>
        </w:tc>
        <w:tc>
          <w:tcPr>
            <w:tcW w:w="8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(1)Interest rate for revolving credit facility represents the weighted average interest rate as of March 26, 2023.</w:t>
      </w:r>
    </w:p>
    <w:p>
      <w:pPr>
        <w:pStyle w:val="TextBody"/>
        <w:spacing w:before="0" w:after="0"/>
        <w:ind w:left="0" w:right="0" w:hanging="360"/>
        <w:jc w:val="both"/>
        <w:rPr/>
      </w:pPr>
      <w:r>
        <w:rPr/>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754225e3f1024615994983297e2dce8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of March 26, 2023, we had $620.2 million in available unused borrowing capacity under our revolving credit facility, net of letters of credit of $19.8 million.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2"/>
        </w:rPr>
        <w:t xml:space="preserve">Our credit agreement, as amended, contains various financial and non-financial covenants. A violation of these covenants could negatively impact our liquidity by restricting our ability to borrow under the revolving credit facility and cause an acceleration of the amounts due under the credit facilities. See Note 13 - </w:t>
      </w:r>
      <w:r>
        <w:rPr>
          <w:rFonts w:ascii="Times New Roman;sans-serif" w:hAnsi="Times New Roman;sans-serif"/>
          <w:b w:val="false"/>
          <w:i/>
          <w:color w:val="000000"/>
          <w:sz w:val="22"/>
        </w:rPr>
        <w:t>Long-term Debt, Net</w:t>
      </w:r>
      <w:r>
        <w:rPr>
          <w:color w:val="000000"/>
        </w:rPr>
        <w:t xml:space="preserve"> </w:t>
      </w:r>
      <w:r>
        <w:rPr>
          <w:rFonts w:ascii="Times New Roman;sans-serif" w:hAnsi="Times New Roman;sans-serif"/>
          <w:b w:val="false"/>
          <w:color w:val="000000"/>
          <w:sz w:val="22"/>
        </w:rPr>
        <w:t>in our Annual Report on Form 10-K for the year ended December 25, 2022 for further information.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of March 26, 2023 and December 25, 2022, we were in compliance with our debt covenants. We believe that we will remain in compliance with our debt covenants during the next 12 months and beyond.</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Use of Cash</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Cash flows generated from operating activities and availability under our revolving credit facility are our principal sources of liquidity, which we use for operating expenses, debt payments, share repurchases, dividend payments, development of new restaurants, remodeling or relocating older restaurants and investment in technology.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believe that our expected liquidity sources are adequate to fund debt service requirements, lease obligations, capital expenditures and working capital obligations during the 12 months following this filing. However, our ability to continue to meet these requirements and obligations will depend on, among other things, our ability to achieve anticipated levels of revenue and cash flow and our ability to manage costs and working capital successfully.</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2"/>
        </w:rPr>
        <w:t xml:space="preserve">Capital Expenditures </w:t>
      </w:r>
      <w:r>
        <w:rPr>
          <w:rFonts w:ascii="Times New Roman;sans-serif" w:hAnsi="Times New Roman;sans-serif"/>
          <w:b w:val="false"/>
          <w:color w:val="000000"/>
          <w:sz w:val="22"/>
        </w:rPr>
        <w:t xml:space="preserve">- We estimate that our capital expenditures will total approximately $240 million to $260 million in 2023. The amount of actual capital expenditures may be affected by general economic, financial, competitive, legislative and regulatory factors, among other things, including raw material constraints.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2"/>
        </w:rPr>
        <w:t>Dividends and Share Repurchases</w:t>
      </w:r>
      <w:r>
        <w:rPr>
          <w:color w:val="000000"/>
        </w:rPr>
        <w:t xml:space="preserve"> </w:t>
      </w:r>
      <w:r>
        <w:rPr>
          <w:rFonts w:ascii="Times New Roman;sans-serif" w:hAnsi="Times New Roman;sans-serif"/>
          <w:b w:val="false"/>
          <w:color w:val="000000"/>
          <w:sz w:val="22"/>
        </w:rPr>
        <w:t>- In April 2023, our Board declared a quarterly cash dividend of $0.24 per share, payable on May 24, 2023. Future dividend payments are dependent on our earnings, financial condition, capital expenditure requirements, surplus and other factors that our Board considers relevant, as well as continued compliance with the financial covenants in our debt agreements.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During the thirteen weeks ended March 26, 2023, we fully utilized the remaining share repurchase authorization under the 2022 Share Repurchase Program. On February 7, 2023, our Board approved the 2023 Share Repurchase Program under which we are authorized to repurchase up to $125.0 million of our outstanding common stock. The 2023 Share Repurchase Program will expire on August 7, 2024. As of March 26, 2023, we had $119.4 million remaining available for repurchase under the 2023 Share Repurchase Program.</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Following is a summary of dividends and share repurchases from fiscal year 2015 through March 26, 2023:</w:t>
      </w:r>
    </w:p>
    <w:tbl>
      <w:tblPr>
        <w:tblW w:w="7170" w:type="dxa"/>
        <w:jc w:val="center"/>
        <w:tblInd w:w="0" w:type="dxa"/>
        <w:tblCellMar>
          <w:top w:w="28" w:type="dxa"/>
          <w:left w:w="28" w:type="dxa"/>
          <w:bottom w:w="28" w:type="dxa"/>
          <w:right w:w="28" w:type="dxa"/>
        </w:tblCellMar>
      </w:tblPr>
      <w:tblGrid>
        <w:gridCol w:w="678"/>
        <w:gridCol w:w="597"/>
        <w:gridCol w:w="600"/>
        <w:gridCol w:w="276"/>
        <w:gridCol w:w="1040"/>
        <w:gridCol w:w="154"/>
        <w:gridCol w:w="109"/>
        <w:gridCol w:w="109"/>
        <w:gridCol w:w="109"/>
        <w:gridCol w:w="324"/>
        <w:gridCol w:w="1444"/>
        <w:gridCol w:w="182"/>
        <w:gridCol w:w="109"/>
        <w:gridCol w:w="109"/>
        <w:gridCol w:w="109"/>
        <w:gridCol w:w="196"/>
        <w:gridCol w:w="871"/>
        <w:gridCol w:w="154"/>
      </w:tblGrid>
      <w:tr>
        <w:trPr/>
        <w:tc>
          <w:tcPr>
            <w:tcW w:w="678"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1444"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4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DIVIDENDS PAID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 REPURCHASES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Fiscal years 2015 - 2022</w:t>
            </w:r>
          </w:p>
        </w:tc>
        <w:tc>
          <w:tcPr>
            <w:tcW w:w="27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0"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227,961 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44"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1,083,580 </w:t>
            </w:r>
          </w:p>
        </w:tc>
        <w:tc>
          <w:tcPr>
            <w:tcW w:w="182"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1,311,541 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First fiscal quarter 2023</w:t>
            </w:r>
          </w:p>
        </w:tc>
        <w:tc>
          <w:tcPr>
            <w:tcW w:w="13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20,645 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41,659 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5"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875"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(1)</w:t>
            </w:r>
          </w:p>
        </w:tc>
        <w:tc>
          <w:tcPr>
            <w:tcW w:w="27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248,975 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4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1,104,225 </w:t>
            </w:r>
          </w:p>
        </w:tc>
        <w:tc>
          <w:tcPr>
            <w:tcW w:w="18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1,353,200 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875"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875"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875"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875"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875"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875"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875"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(1)Subsequent to March 26, 2023, we repurchased $7.2 million of our common stock under a Rule 10b5-1 plan.</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754225e3f1024615994983297e2dce8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spacing w:lineRule="auto" w:line="288"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Summary of Cash Flows and Financial Condition</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val="false"/>
          <w:i/>
          <w:color w:val="000000"/>
          <w:sz w:val="22"/>
        </w:rPr>
        <w:t>Cash Flows</w:t>
      </w:r>
      <w:r>
        <w:rPr>
          <w:color w:val="000000"/>
        </w:rPr>
        <w:t xml:space="preserve"> </w:t>
      </w:r>
      <w:r>
        <w:rPr>
          <w:rFonts w:ascii="Times New Roman;sans-serif" w:hAnsi="Times New Roman;sans-serif"/>
          <w:b w:val="false"/>
          <w:color w:val="000000"/>
          <w:sz w:val="22"/>
        </w:rPr>
        <w:t>- The following table presents a summary of our cash flows provided by (used in) operating, investing and financing activities for the periods indicated:</w:t>
      </w:r>
    </w:p>
    <w:tbl>
      <w:tblPr>
        <w:tblW w:w="7661" w:type="dxa"/>
        <w:jc w:val="left"/>
        <w:tblInd w:w="0" w:type="dxa"/>
        <w:tblCellMar>
          <w:top w:w="28" w:type="dxa"/>
          <w:left w:w="28" w:type="dxa"/>
          <w:bottom w:w="28" w:type="dxa"/>
          <w:right w:w="28" w:type="dxa"/>
        </w:tblCellMar>
      </w:tblPr>
      <w:tblGrid>
        <w:gridCol w:w="1605"/>
        <w:gridCol w:w="1415"/>
        <w:gridCol w:w="1420"/>
        <w:gridCol w:w="268"/>
        <w:gridCol w:w="1008"/>
        <w:gridCol w:w="149"/>
        <w:gridCol w:w="109"/>
        <w:gridCol w:w="109"/>
        <w:gridCol w:w="109"/>
        <w:gridCol w:w="265"/>
        <w:gridCol w:w="996"/>
        <w:gridCol w:w="208"/>
      </w:tblGrid>
      <w:tr>
        <w:trPr/>
        <w:tc>
          <w:tcPr>
            <w:tcW w:w="1605" w:type="dxa"/>
            <w:tcBorders/>
            <w:shd w:fill="auto" w:val="clear"/>
            <w:vAlign w:val="center"/>
          </w:tcPr>
          <w:p>
            <w:pPr>
              <w:pStyle w:val="TableContents"/>
              <w:spacing w:before="0" w:after="283"/>
              <w:rPr>
                <w:sz w:val="4"/>
                <w:szCs w:val="4"/>
              </w:rPr>
            </w:pPr>
            <w:r>
              <w:rPr>
                <w:sz w:val="4"/>
                <w:szCs w:val="4"/>
              </w:rPr>
            </w:r>
          </w:p>
        </w:tc>
        <w:tc>
          <w:tcPr>
            <w:tcW w:w="1415" w:type="dxa"/>
            <w:tcBorders/>
            <w:shd w:fill="auto" w:val="clear"/>
            <w:vAlign w:val="center"/>
          </w:tcPr>
          <w:p>
            <w:pPr>
              <w:pStyle w:val="TableContents"/>
              <w:spacing w:before="0" w:after="283"/>
              <w:rPr>
                <w:sz w:val="4"/>
                <w:szCs w:val="4"/>
              </w:rPr>
            </w:pPr>
            <w:r>
              <w:rPr>
                <w:sz w:val="4"/>
                <w:szCs w:val="4"/>
              </w:rPr>
            </w:r>
          </w:p>
        </w:tc>
        <w:tc>
          <w:tcPr>
            <w:tcW w:w="1420"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r>
      <w:tr>
        <w:trPr/>
        <w:tc>
          <w:tcPr>
            <w:tcW w:w="4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r>
      <w:tr>
        <w:trPr/>
        <w:tc>
          <w:tcPr>
            <w:tcW w:w="4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42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26, 2023</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27, 2022</w:t>
            </w:r>
          </w:p>
        </w:tc>
      </w:tr>
      <w:tr>
        <w:trPr/>
        <w:tc>
          <w:tcPr>
            <w:tcW w:w="4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268"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189,668 </w:t>
            </w:r>
          </w:p>
        </w:tc>
        <w:tc>
          <w:tcPr>
            <w:tcW w:w="14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147,135 </w:t>
            </w:r>
          </w:p>
        </w:tc>
        <w:tc>
          <w:tcPr>
            <w:tcW w:w="208"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(62,945)</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(39,150)</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(116,987)</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(101,111)</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and cash equivalents</w:t>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1,965 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40" w:type="dxa"/>
            <w:gridSpan w:val="3"/>
            <w:tcBorders/>
            <w:shd w:fill="auto" w:val="clear"/>
            <w:vAlign w:val="center"/>
          </w:tcPr>
          <w:p>
            <w:pPr>
              <w:pStyle w:val="TableContents"/>
              <w:spacing w:before="0" w:after="283"/>
              <w:rPr>
                <w:sz w:val="4"/>
                <w:szCs w:val="4"/>
              </w:rPr>
            </w:pPr>
            <w:r>
              <w:rPr>
                <w:sz w:val="4"/>
                <w:szCs w:val="4"/>
              </w:rPr>
            </w:r>
          </w:p>
        </w:tc>
        <w:tc>
          <w:tcPr>
            <w:tcW w:w="14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9" w:type="dxa"/>
            <w:gridSpan w:val="3"/>
            <w:tcBorders/>
            <w:shd w:fill="auto" w:val="clear"/>
            <w:vAlign w:val="center"/>
          </w:tcPr>
          <w:p>
            <w:pPr>
              <w:pStyle w:val="TableContents"/>
              <w:spacing w:before="0" w:after="283"/>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in cash, cash equivalents and restricted cash</w:t>
            </w:r>
          </w:p>
        </w:tc>
        <w:tc>
          <w:tcPr>
            <w:tcW w:w="26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9,706 </w:t>
            </w:r>
          </w:p>
        </w:tc>
        <w:tc>
          <w:tcPr>
            <w:tcW w:w="14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8,839 </w:t>
            </w:r>
          </w:p>
        </w:tc>
        <w:tc>
          <w:tcPr>
            <w:tcW w:w="20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4440" w:type="dxa"/>
            <w:gridSpan w:val="3"/>
            <w:tcBorders/>
            <w:shd w:fill="auto" w:val="clear"/>
            <w:vAlign w:val="center"/>
          </w:tcPr>
          <w:p>
            <w:pPr>
              <w:pStyle w:val="TableContents"/>
              <w:spacing w:before="0" w:after="283"/>
              <w:rPr>
                <w:sz w:val="4"/>
                <w:szCs w:val="4"/>
              </w:rPr>
            </w:pPr>
            <w:r>
              <w:rPr>
                <w:sz w:val="4"/>
                <w:szCs w:val="4"/>
              </w:rPr>
            </w:r>
          </w:p>
        </w:tc>
        <w:tc>
          <w:tcPr>
            <w:tcW w:w="14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9" w:type="dxa"/>
            <w:gridSpan w:val="3"/>
            <w:tcBorders/>
            <w:shd w:fill="auto" w:val="clear"/>
            <w:vAlign w:val="center"/>
          </w:tcPr>
          <w:p>
            <w:pPr>
              <w:pStyle w:val="TableContents"/>
              <w:spacing w:before="0" w:after="283"/>
              <w:rPr>
                <w:sz w:val="4"/>
                <w:szCs w:val="4"/>
              </w:rPr>
            </w:pPr>
            <w:r>
              <w:rPr>
                <w:sz w:val="4"/>
                <w:szCs w:val="4"/>
              </w:rPr>
            </w:r>
          </w:p>
        </w:tc>
      </w:tr>
      <w:tr>
        <w:trPr/>
        <w:tc>
          <w:tcPr>
            <w:tcW w:w="4440" w:type="dxa"/>
            <w:gridSpan w:val="3"/>
            <w:tcBorders/>
            <w:shd w:fill="auto" w:val="clear"/>
            <w:vAlign w:val="center"/>
          </w:tcPr>
          <w:p>
            <w:pPr>
              <w:pStyle w:val="TableContents"/>
              <w:spacing w:before="0" w:after="283"/>
              <w:rPr>
                <w:sz w:val="4"/>
                <w:szCs w:val="4"/>
              </w:rPr>
            </w:pPr>
            <w:r>
              <w:rPr>
                <w:sz w:val="4"/>
                <w:szCs w:val="4"/>
              </w:rPr>
            </w:r>
          </w:p>
        </w:tc>
        <w:tc>
          <w:tcPr>
            <w:tcW w:w="14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9" w:type="dxa"/>
            <w:gridSpan w:val="3"/>
            <w:tcBorders/>
            <w:shd w:fill="auto" w:val="clear"/>
            <w:vAlign w:val="center"/>
          </w:tcPr>
          <w:p>
            <w:pPr>
              <w:pStyle w:val="TableContents"/>
              <w:spacing w:before="0" w:after="283"/>
              <w:rPr>
                <w:sz w:val="4"/>
                <w:szCs w:val="4"/>
              </w:rPr>
            </w:pPr>
            <w:r>
              <w:rPr>
                <w:sz w:val="4"/>
                <w:szCs w:val="4"/>
              </w:rPr>
            </w:r>
          </w:p>
        </w:tc>
      </w:tr>
      <w:tr>
        <w:trPr/>
        <w:tc>
          <w:tcPr>
            <w:tcW w:w="4440" w:type="dxa"/>
            <w:gridSpan w:val="3"/>
            <w:tcBorders/>
            <w:shd w:fill="auto" w:val="clear"/>
            <w:vAlign w:val="center"/>
          </w:tcPr>
          <w:p>
            <w:pPr>
              <w:pStyle w:val="TableContents"/>
              <w:spacing w:before="0" w:after="283"/>
              <w:rPr>
                <w:sz w:val="4"/>
                <w:szCs w:val="4"/>
              </w:rPr>
            </w:pPr>
            <w:r>
              <w:rPr>
                <w:sz w:val="4"/>
                <w:szCs w:val="4"/>
              </w:rPr>
            </w:r>
          </w:p>
        </w:tc>
        <w:tc>
          <w:tcPr>
            <w:tcW w:w="14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2"/>
        </w:rPr>
        <w:t>Operating activities</w:t>
      </w:r>
      <w:r>
        <w:rPr>
          <w:color w:val="000000"/>
        </w:rPr>
        <w:t xml:space="preserve"> </w:t>
      </w:r>
      <w:r>
        <w:rPr>
          <w:rFonts w:ascii="Times New Roman;sans-serif" w:hAnsi="Times New Roman;sans-serif"/>
          <w:b w:val="false"/>
          <w:color w:val="000000"/>
          <w:sz w:val="22"/>
        </w:rPr>
        <w:t>- The increase in net cash provided by operating activities during the thirteen weeks ended March 26, 2023 as compared to the thirteen weeks ended March 27, 2022 was primarily due to higher operational receipts net of payments and decreased employee compensation payments.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2"/>
        </w:rPr>
        <w:t xml:space="preserve">Investing activities - </w:t>
      </w:r>
      <w:r>
        <w:rPr>
          <w:rFonts w:ascii="Times New Roman;sans-serif" w:hAnsi="Times New Roman;sans-serif"/>
          <w:b w:val="false"/>
          <w:color w:val="000000"/>
          <w:sz w:val="22"/>
        </w:rPr>
        <w:t>The increase in net cash used in investing activities during the thirteen weeks ended March 26, 2023 as compared to the thirteen weeks ended March 27, 2022 was primarily due to higher capital expenditures.</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i/>
          <w:color w:val="000000"/>
          <w:sz w:val="22"/>
        </w:rPr>
        <w:t xml:space="preserve">Financing activities - </w:t>
      </w:r>
      <w:r>
        <w:rPr>
          <w:rFonts w:ascii="Times New Roman;sans-serif" w:hAnsi="Times New Roman;sans-serif"/>
          <w:b w:val="false"/>
          <w:color w:val="000000"/>
          <w:sz w:val="22"/>
        </w:rPr>
        <w:t>The increase in net cash used in financing activities during the thirteen weeks ended March 26, 2023 as compared the thirteen weeks ended March 27, 2022 was primarily due to increases in the repurchase of common stock and payment of cash dividends on our common stock.</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val="false"/>
          <w:i/>
          <w:color w:val="000000"/>
          <w:sz w:val="22"/>
        </w:rPr>
        <w:t>Financial Condition</w:t>
      </w:r>
      <w:r>
        <w:rPr>
          <w:color w:val="000000"/>
        </w:rPr>
        <w:t xml:space="preserve"> </w:t>
      </w:r>
      <w:r>
        <w:rPr>
          <w:rFonts w:ascii="Times New Roman;sans-serif" w:hAnsi="Times New Roman;sans-serif"/>
          <w:b w:val="false"/>
          <w:color w:val="000000"/>
          <w:sz w:val="22"/>
        </w:rPr>
        <w:t>- Following is a summary of our current assets, current liabilities and working capital (deficit) as of the periods indicated:</w:t>
      </w:r>
    </w:p>
    <w:tbl>
      <w:tblPr>
        <w:tblW w:w="5351" w:type="dxa"/>
        <w:jc w:val="left"/>
        <w:tblInd w:w="0" w:type="dxa"/>
        <w:tblCellMar>
          <w:top w:w="28" w:type="dxa"/>
          <w:left w:w="28" w:type="dxa"/>
          <w:bottom w:w="28" w:type="dxa"/>
          <w:right w:w="28" w:type="dxa"/>
        </w:tblCellMar>
      </w:tblPr>
      <w:tblGrid>
        <w:gridCol w:w="667"/>
        <w:gridCol w:w="588"/>
        <w:gridCol w:w="590"/>
        <w:gridCol w:w="250"/>
        <w:gridCol w:w="1036"/>
        <w:gridCol w:w="139"/>
        <w:gridCol w:w="109"/>
        <w:gridCol w:w="109"/>
        <w:gridCol w:w="109"/>
        <w:gridCol w:w="296"/>
        <w:gridCol w:w="1226"/>
        <w:gridCol w:w="232"/>
      </w:tblGrid>
      <w:tr>
        <w:trPr/>
        <w:tc>
          <w:tcPr>
            <w:tcW w:w="667"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226"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r>
      <w:tr>
        <w:trPr/>
        <w:tc>
          <w:tcPr>
            <w:tcW w:w="18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26,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25, 2022</w:t>
            </w:r>
          </w:p>
        </w:tc>
      </w:tr>
      <w:tr>
        <w:trPr/>
        <w:tc>
          <w:tcPr>
            <w:tcW w:w="1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250"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247,846 </w:t>
            </w:r>
          </w:p>
        </w:tc>
        <w:tc>
          <w:tcPr>
            <w:tcW w:w="13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346,577 </w:t>
            </w:r>
          </w:p>
        </w:tc>
        <w:tc>
          <w:tcPr>
            <w:tcW w:w="232"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2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920,433 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978,867 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Working capital (deficit)</w:t>
            </w:r>
          </w:p>
        </w:tc>
        <w:tc>
          <w:tcPr>
            <w:tcW w:w="25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(672,587)</w:t>
            </w:r>
          </w:p>
        </w:tc>
        <w:tc>
          <w:tcPr>
            <w:tcW w:w="13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(632,290)</w:t>
            </w:r>
          </w:p>
        </w:tc>
        <w:tc>
          <w:tcPr>
            <w:tcW w:w="23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auto" w:val="clear"/>
            <w:vAlign w:val="center"/>
          </w:tcPr>
          <w:p>
            <w:pPr>
              <w:pStyle w:val="TableContents"/>
              <w:spacing w:before="0" w:after="283"/>
              <w:rPr>
                <w:sz w:val="4"/>
                <w:szCs w:val="4"/>
              </w:rPr>
            </w:pPr>
            <w:r>
              <w:rPr>
                <w:sz w:val="4"/>
                <w:szCs w:val="4"/>
              </w:rPr>
            </w:r>
          </w:p>
        </w:tc>
        <w:tc>
          <w:tcPr>
            <w:tcW w:w="14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54" w:type="dxa"/>
            <w:gridSpan w:val="3"/>
            <w:tcBorders/>
            <w:shd w:fill="auto" w:val="clear"/>
            <w:vAlign w:val="center"/>
          </w:tcPr>
          <w:p>
            <w:pPr>
              <w:pStyle w:val="TableContents"/>
              <w:spacing w:before="0" w:after="283"/>
              <w:rPr>
                <w:sz w:val="4"/>
                <w:szCs w:val="4"/>
              </w:rPr>
            </w:pPr>
            <w:r>
              <w:rPr>
                <w:sz w:val="4"/>
                <w:szCs w:val="4"/>
              </w:rPr>
            </w:r>
          </w:p>
        </w:tc>
      </w:tr>
      <w:tr>
        <w:trPr/>
        <w:tc>
          <w:tcPr>
            <w:tcW w:w="1845" w:type="dxa"/>
            <w:gridSpan w:val="3"/>
            <w:tcBorders/>
            <w:shd w:fill="auto" w:val="clear"/>
            <w:vAlign w:val="center"/>
          </w:tcPr>
          <w:p>
            <w:pPr>
              <w:pStyle w:val="TableContents"/>
              <w:spacing w:before="0" w:after="283"/>
              <w:rPr>
                <w:sz w:val="4"/>
                <w:szCs w:val="4"/>
              </w:rPr>
            </w:pPr>
            <w:r>
              <w:rPr>
                <w:sz w:val="4"/>
                <w:szCs w:val="4"/>
              </w:rPr>
            </w:r>
          </w:p>
        </w:tc>
        <w:tc>
          <w:tcPr>
            <w:tcW w:w="14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54" w:type="dxa"/>
            <w:gridSpan w:val="3"/>
            <w:tcBorders/>
            <w:shd w:fill="auto" w:val="clear"/>
            <w:vAlign w:val="center"/>
          </w:tcPr>
          <w:p>
            <w:pPr>
              <w:pStyle w:val="TableContents"/>
              <w:spacing w:before="0" w:after="283"/>
              <w:rPr>
                <w:sz w:val="4"/>
                <w:szCs w:val="4"/>
              </w:rPr>
            </w:pPr>
            <w:r>
              <w:rPr>
                <w:sz w:val="4"/>
                <w:szCs w:val="4"/>
              </w:rPr>
            </w:r>
          </w:p>
        </w:tc>
      </w:tr>
      <w:tr>
        <w:trPr/>
        <w:tc>
          <w:tcPr>
            <w:tcW w:w="1845" w:type="dxa"/>
            <w:gridSpan w:val="3"/>
            <w:tcBorders/>
            <w:shd w:fill="auto" w:val="clear"/>
            <w:vAlign w:val="center"/>
          </w:tcPr>
          <w:p>
            <w:pPr>
              <w:pStyle w:val="TableContents"/>
              <w:spacing w:before="0" w:after="283"/>
              <w:rPr>
                <w:sz w:val="4"/>
                <w:szCs w:val="4"/>
              </w:rPr>
            </w:pPr>
            <w:r>
              <w:rPr>
                <w:sz w:val="4"/>
                <w:szCs w:val="4"/>
              </w:rPr>
            </w:r>
          </w:p>
        </w:tc>
        <w:tc>
          <w:tcPr>
            <w:tcW w:w="14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5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Working capital (deficit) includes: (i) Unearned revenue primarily from unredeemed gift cards of $322.6 million and $394.2 million as of March 26, 2023 and December 25, 2022, respectively, and (ii) current operating lease liabilities of $182.8 million and $183.5 million as of March 26, 2023 and December 25, 2022, respectively, with the corresponding operating right-of-use assets recorded as non-current on our Consolidated Balance Sheets. We have, and in the future may continue to have, negative working capital balances (as is common for many restaurant companies). We operate successfully with negative working capital because cash collected on restaurant sales is typically received before payment is due on our current liabilities, and our inventory turnover rates require relatively low investment in inventories. Additionally, ongoing cash flows from restaurant operations and gift card sales are typically used to service debt obligations and to make capital expenditures.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Recently Issued Financial Accounting Standards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2"/>
        </w:rPr>
        <w:t xml:space="preserve">For a description of recently issued Financial Accounting Standards that we adopted during the thirteen weeks ended March 26, 2023 and, that are applicable to us and likely to have material effect on our consolidated financial statements, but have not yet been adopted, see Note 1 - </w:t>
      </w:r>
      <w:r>
        <w:rPr>
          <w:rFonts w:ascii="Times New Roman;sans-serif" w:hAnsi="Times New Roman;sans-serif"/>
          <w:b w:val="false"/>
          <w:i/>
          <w:color w:val="000000"/>
          <w:sz w:val="22"/>
        </w:rPr>
        <w:t>Description of the Business and Basis of Presentation</w:t>
      </w:r>
      <w:r>
        <w:rPr>
          <w:color w:val="000000"/>
        </w:rPr>
        <w:t xml:space="preserve"> </w:t>
      </w:r>
      <w:r>
        <w:rPr>
          <w:rFonts w:ascii="Times New Roman;sans-serif" w:hAnsi="Times New Roman;sans-serif"/>
          <w:b w:val="false"/>
          <w:color w:val="000000"/>
          <w:sz w:val="22"/>
        </w:rPr>
        <w:t>of the Notes to Consolidated Financial Statements of this Quarterly Report on Form 10-Q.</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754225e3f1024615994983297e2dce8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2"/>
        </w:rPr>
      </w:pPr>
      <w:r>
        <w:rPr>
          <w:rFonts w:ascii="Times New Roman;sans-serif" w:hAnsi="Times New Roman;sans-serif"/>
          <w:b/>
          <w:color w:val="000000"/>
          <w:sz w:val="22"/>
        </w:rPr>
        <w:t>Item 3. Quantitative and Qualitative Disclosures about Market Risk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are exposed to market risk from changes in commodity prices, labor inflation and foreign currency exchange rates and interest rates. We believe that there have been no material changes in our market risk since December 25, 2022. See Part II, Item 7A., “Quantitative and Qualitative Disclosures about Market Risk,” in our Annual Report on Form 10-K for the year ended December 25, 2022 for further information regarding market risk.</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2"/>
        </w:rPr>
      </w:pPr>
      <w:r>
        <w:rPr>
          <w:rFonts w:ascii="Times New Roman;sans-serif" w:hAnsi="Times New Roman;sans-serif"/>
          <w:b/>
          <w:color w:val="000000"/>
          <w:sz w:val="22"/>
        </w:rPr>
        <w:t>Item 4. Controls and Procedures</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Evaluation of Disclosure Controls and Procedures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have established and maintain disclosure controls and procedures that are designed to ensure that information required to be disclosed by us in the reports that we file or submit under the Securities Exchange Act of 1934, as amended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 We carried out an evaluation, under the supervision and with the participation of our management, including our Chief Executive Officer and Chief Financial Officer, of the effectiveness of our disclosure controls and procedures (as defined in Rule 13a-15(e) under the Exchange Act) as of the end of the period covered by this report. Based on that evaluation, the Chief Executive Officer and Chief Financial Officer concluded that our disclosure controls and procedures were effective as of March 26, 2023.</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Changes in Internal Control over Financial Reporting</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There have been no changes in our internal control over financial reporting (as defined in Rule 13a-15(f) under the Exchange Act) during the thirteen weeks ended March 26, 2023 that have materially affected, or are reasonably likely to materially affect, our internal control over financial reporting.</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754225e3f1024615994983297e2dce8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PART II: OTHER INFORMATION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Item 1.    Legal Proceedings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2"/>
        </w:rPr>
        <w:t xml:space="preserve">For a description of our legal proceedings, see Note 12 - </w:t>
      </w:r>
      <w:r>
        <w:rPr>
          <w:rFonts w:ascii="Times New Roman;sans-serif" w:hAnsi="Times New Roman;sans-serif"/>
          <w:b w:val="false"/>
          <w:i/>
          <w:color w:val="000000"/>
          <w:sz w:val="22"/>
        </w:rPr>
        <w:t>Commitments and Contingencies</w:t>
      </w:r>
      <w:r>
        <w:rPr>
          <w:color w:val="000000"/>
        </w:rPr>
        <w:t xml:space="preserve"> </w:t>
      </w:r>
      <w:r>
        <w:rPr>
          <w:rFonts w:ascii="Times New Roman;sans-serif" w:hAnsi="Times New Roman;sans-serif"/>
          <w:b w:val="false"/>
          <w:color w:val="000000"/>
          <w:sz w:val="22"/>
        </w:rPr>
        <w:t>of the Notes to Consolidated Financial Statements of this Quarterly Report on Form 10-Q.</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2"/>
        </w:rPr>
      </w:pPr>
      <w:r>
        <w:rPr>
          <w:rFonts w:ascii="Times New Roman;sans-serif" w:hAnsi="Times New Roman;sans-serif"/>
          <w:b/>
          <w:color w:val="000000"/>
          <w:sz w:val="22"/>
        </w:rPr>
        <w:t>Item 1A. Risk Factors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to the other information discussed in this report, please consider the factors described in Part I, Item 1A., “Risk Factors,” in our 2022 Form 10-K which could materially affect our business, financial condition or future results. There have not been any material changes to the risk factors described in our 2022 Form 10-K, but these are not the only risks facing our Company. Additional risks and uncertainties not currently known to us or that we currently deem to be immaterial also may adversely affect our business, financial condition or operating results.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2"/>
        </w:rPr>
      </w:pPr>
      <w:r>
        <w:rPr>
          <w:rFonts w:ascii="Times New Roman;sans-serif" w:hAnsi="Times New Roman;sans-serif"/>
          <w:b/>
          <w:color w:val="000000"/>
          <w:sz w:val="22"/>
        </w:rPr>
        <w:t>Item 2. Unregistered Sales of Equity Securities and Use of Proceeds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There were no sales of equity securities during the thirteen weeks ended March 26, 2023 that were not registered under the Securities Act.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provides information regarding our purchases of common stock during the thirteen weeks ended March 26, 2023:</w:t>
      </w:r>
    </w:p>
    <w:tbl>
      <w:tblPr>
        <w:tblW w:w="10205" w:type="dxa"/>
        <w:jc w:val="left"/>
        <w:tblInd w:w="0" w:type="dxa"/>
        <w:tblCellMar>
          <w:top w:w="28" w:type="dxa"/>
          <w:left w:w="28" w:type="dxa"/>
          <w:bottom w:w="28" w:type="dxa"/>
          <w:right w:w="28" w:type="dxa"/>
        </w:tblCellMar>
      </w:tblPr>
      <w:tblGrid>
        <w:gridCol w:w="519"/>
        <w:gridCol w:w="455"/>
        <w:gridCol w:w="458"/>
        <w:gridCol w:w="109"/>
        <w:gridCol w:w="109"/>
        <w:gridCol w:w="109"/>
        <w:gridCol w:w="487"/>
        <w:gridCol w:w="487"/>
        <w:gridCol w:w="488"/>
        <w:gridCol w:w="109"/>
        <w:gridCol w:w="109"/>
        <w:gridCol w:w="109"/>
        <w:gridCol w:w="272"/>
        <w:gridCol w:w="776"/>
        <w:gridCol w:w="153"/>
        <w:gridCol w:w="109"/>
        <w:gridCol w:w="109"/>
        <w:gridCol w:w="109"/>
        <w:gridCol w:w="724"/>
        <w:gridCol w:w="724"/>
        <w:gridCol w:w="726"/>
        <w:gridCol w:w="109"/>
        <w:gridCol w:w="109"/>
        <w:gridCol w:w="109"/>
        <w:gridCol w:w="109"/>
        <w:gridCol w:w="351"/>
        <w:gridCol w:w="1885"/>
        <w:gridCol w:w="283"/>
      </w:tblGrid>
      <w:tr>
        <w:trPr/>
        <w:tc>
          <w:tcPr>
            <w:tcW w:w="519"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885"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r>
      <w:tr>
        <w:trPr/>
        <w:tc>
          <w:tcPr>
            <w:tcW w:w="14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REPORTING 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PLANS OR PROGRAMS</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 VALUE OF SHARES THAT MAY YET BE PURCHASED UNDER THE PLANS OR PROGRAMS (1)</w:t>
            </w:r>
          </w:p>
        </w:tc>
      </w:tr>
      <w:tr>
        <w:trPr/>
        <w:tc>
          <w:tcPr>
            <w:tcW w:w="1432" w:type="dxa"/>
            <w:gridSpan w:val="3"/>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26, 2022 through January 22,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314,175 </w:t>
            </w:r>
          </w:p>
        </w:tc>
        <w:tc>
          <w:tcPr>
            <w:tcW w:w="488"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21.97 </w:t>
            </w:r>
          </w:p>
        </w:tc>
        <w:tc>
          <w:tcPr>
            <w:tcW w:w="153"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314,175 </w:t>
            </w:r>
          </w:p>
        </w:tc>
        <w:tc>
          <w:tcPr>
            <w:tcW w:w="726"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85"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8,099,645 </w:t>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January 23, 2023 through February 19,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330,114 </w:t>
            </w:r>
          </w:p>
        </w:tc>
        <w:tc>
          <w:tcPr>
            <w:tcW w:w="4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24.53 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330,114 </w:t>
            </w:r>
          </w:p>
        </w:tc>
        <w:tc>
          <w:tcPr>
            <w:tcW w:w="7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125,000,664 </w:t>
            </w:r>
          </w:p>
        </w:tc>
        <w:tc>
          <w:tcPr>
            <w:tcW w:w="2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20, 2023 through March 26,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218,688 </w:t>
            </w:r>
          </w:p>
        </w:tc>
        <w:tc>
          <w:tcPr>
            <w:tcW w:w="4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25.81 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218,688 </w:t>
            </w:r>
          </w:p>
        </w:tc>
        <w:tc>
          <w:tcPr>
            <w:tcW w:w="7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119,355,724 </w:t>
            </w:r>
          </w:p>
        </w:tc>
        <w:tc>
          <w:tcPr>
            <w:tcW w:w="2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862,977 </w:t>
            </w:r>
          </w:p>
        </w:tc>
        <w:tc>
          <w:tcPr>
            <w:tcW w:w="48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2"/>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862,977 </w:t>
            </w:r>
          </w:p>
        </w:tc>
        <w:tc>
          <w:tcPr>
            <w:tcW w:w="7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7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19" w:type="dxa"/>
            <w:gridSpan w:val="3"/>
            <w:tcBorders/>
            <w:shd w:fill="auto" w:val="clear"/>
            <w:vAlign w:val="center"/>
          </w:tcPr>
          <w:p>
            <w:pPr>
              <w:pStyle w:val="TableContents"/>
              <w:spacing w:before="0" w:after="283"/>
              <w:rPr>
                <w:sz w:val="4"/>
                <w:szCs w:val="4"/>
              </w:rPr>
            </w:pPr>
            <w:r>
              <w:rPr>
                <w:sz w:val="4"/>
                <w:szCs w:val="4"/>
              </w:rPr>
            </w:r>
          </w:p>
        </w:tc>
      </w:tr>
      <w:tr>
        <w:trPr/>
        <w:tc>
          <w:tcPr>
            <w:tcW w:w="14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7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19" w:type="dxa"/>
            <w:gridSpan w:val="3"/>
            <w:tcBorders/>
            <w:shd w:fill="auto" w:val="clear"/>
            <w:vAlign w:val="center"/>
          </w:tcPr>
          <w:p>
            <w:pPr>
              <w:pStyle w:val="TableContents"/>
              <w:spacing w:before="0" w:after="283"/>
              <w:rPr>
                <w:sz w:val="4"/>
                <w:szCs w:val="4"/>
              </w:rPr>
            </w:pPr>
            <w:r>
              <w:rPr>
                <w:sz w:val="4"/>
                <w:szCs w:val="4"/>
              </w:rPr>
            </w:r>
          </w:p>
        </w:tc>
      </w:tr>
      <w:tr>
        <w:trPr/>
        <w:tc>
          <w:tcPr>
            <w:tcW w:w="14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7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1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00" w:after="283"/>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spacing w:lineRule="auto" w:line="288" w:before="0" w:after="0"/>
        <w:ind w:left="0" w:right="0" w:hanging="720"/>
        <w:jc w:val="both"/>
        <w:rPr/>
      </w:pPr>
      <w:r>
        <w:rPr>
          <w:rFonts w:ascii="Times New Roman;sans-serif" w:hAnsi="Times New Roman;sans-serif"/>
          <w:b w:val="false"/>
          <w:color w:val="252525"/>
          <w:sz w:val="18"/>
        </w:rPr>
        <w:t>(1)</w:t>
      </w:r>
      <w:r>
        <w:rPr>
          <w:rFonts w:ascii="Times New Roman;sans-serif" w:hAnsi="Times New Roman;sans-serif"/>
          <w:b w:val="false"/>
          <w:color w:val="000000"/>
          <w:sz w:val="18"/>
        </w:rPr>
        <w:t>On February 8, 2022, our Board of Directors authorized the repurchase of up to $125.0 million of our outstanding common stock as announced in our press release issued on February 18, 2022 (the “2022 Share Repurchase Program”). The 2022 Share Repurchase Program was set to expire on August 9, 2023. During the thirteen weeks ended March 26, 2023, we fully utilized the remaining share repurchase authorization under the 2022 Share Repurchase Program. On February 7, 2023, our Board approved a new share repurchase authorization of up to $125.0 million of our outstanding common stock as announced in our press release issued February 16, 2023 (the “2023 Share Repurchase Program”). The 2023 Share Repurchase Program will expire on August 7, 2024.</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754225e3f1024615994983297e2dce8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2"/>
        </w:rPr>
      </w:pPr>
      <w:r>
        <w:rPr>
          <w:rFonts w:ascii="Times New Roman;sans-serif" w:hAnsi="Times New Roman;sans-serif"/>
          <w:b/>
          <w:color w:val="000000"/>
          <w:sz w:val="22"/>
        </w:rPr>
        <w:t>Item 6. Exhibits</w:t>
      </w:r>
    </w:p>
    <w:tbl>
      <w:tblPr>
        <w:tblW w:w="10205" w:type="dxa"/>
        <w:jc w:val="left"/>
        <w:tblInd w:w="0" w:type="dxa"/>
        <w:tblCellMar>
          <w:top w:w="28" w:type="dxa"/>
          <w:left w:w="28" w:type="dxa"/>
          <w:bottom w:w="28" w:type="dxa"/>
          <w:right w:w="28" w:type="dxa"/>
        </w:tblCellMar>
      </w:tblPr>
      <w:tblGrid>
        <w:gridCol w:w="386"/>
        <w:gridCol w:w="339"/>
        <w:gridCol w:w="341"/>
        <w:gridCol w:w="122"/>
        <w:gridCol w:w="122"/>
        <w:gridCol w:w="122"/>
        <w:gridCol w:w="2282"/>
        <w:gridCol w:w="1783"/>
        <w:gridCol w:w="1787"/>
        <w:gridCol w:w="122"/>
        <w:gridCol w:w="122"/>
        <w:gridCol w:w="122"/>
        <w:gridCol w:w="746"/>
        <w:gridCol w:w="746"/>
        <w:gridCol w:w="1063"/>
      </w:tblGrid>
      <w:tr>
        <w:trPr/>
        <w:tc>
          <w:tcPr>
            <w:tcW w:w="386"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282" w:type="dxa"/>
            <w:tcBorders/>
            <w:shd w:fill="auto" w:val="clear"/>
            <w:vAlign w:val="center"/>
          </w:tcPr>
          <w:p>
            <w:pPr>
              <w:pStyle w:val="TableContents"/>
              <w:spacing w:before="0" w:after="283"/>
              <w:rPr>
                <w:sz w:val="4"/>
                <w:szCs w:val="4"/>
              </w:rPr>
            </w:pPr>
            <w:r>
              <w:rPr>
                <w:sz w:val="4"/>
                <w:szCs w:val="4"/>
              </w:rPr>
            </w:r>
          </w:p>
        </w:tc>
        <w:tc>
          <w:tcPr>
            <w:tcW w:w="1783" w:type="dxa"/>
            <w:tcBorders/>
            <w:shd w:fill="auto" w:val="clear"/>
            <w:vAlign w:val="center"/>
          </w:tcPr>
          <w:p>
            <w:pPr>
              <w:pStyle w:val="TableContents"/>
              <w:spacing w:before="0" w:after="283"/>
              <w:rPr>
                <w:sz w:val="4"/>
                <w:szCs w:val="4"/>
              </w:rPr>
            </w:pPr>
            <w:r>
              <w:rPr>
                <w:sz w:val="4"/>
                <w:szCs w:val="4"/>
              </w:rPr>
            </w:r>
          </w:p>
        </w:tc>
        <w:tc>
          <w:tcPr>
            <w:tcW w:w="1787"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r>
      <w:tr>
        <w:trPr/>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br/>
              <w:t>NUMBER</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 OF EXHIBITS</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FILINGS REFERENCED FOR</w:t>
              <w:br/>
              <w:t xml:space="preserve">INCORPORATION BY REFERENCE </w:t>
            </w:r>
          </w:p>
        </w:tc>
      </w:tr>
      <w:tr>
        <w:trPr/>
        <w:tc>
          <w:tcPr>
            <w:tcW w:w="1066"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2"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5"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2"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3">
              <w:r>
                <w:rPr>
                  <w:rStyle w:val="InternetLink"/>
                  <w:rFonts w:ascii="Times New Roman;sans-serif" w:hAnsi="Times New Roman;sans-serif"/>
                  <w:b w:val="false"/>
                  <w:color w:val="0000FF"/>
                  <w:sz w:val="22"/>
                  <w:u w:val="single"/>
                </w:rPr>
                <w:t>Fifth Amended and Restated Certificate of Incorporation of Bloomin’ Brands, Inc.</w:t>
              </w:r>
            </w:hyperlink>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April 19, 2023, Form 8-K, Exhibit 3.1</w:t>
            </w:r>
          </w:p>
        </w:tc>
      </w:tr>
      <w:tr>
        <w:trPr/>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2"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4">
              <w:r>
                <w:rPr>
                  <w:rStyle w:val="InternetLink"/>
                  <w:rFonts w:ascii="Times New Roman;sans-serif" w:hAnsi="Times New Roman;sans-serif"/>
                  <w:b w:val="false"/>
                  <w:color w:val="0000FF"/>
                  <w:sz w:val="22"/>
                  <w:u w:val="single"/>
                </w:rPr>
                <w:t>Fourth Amended and Restated Bylaws of Bloomin’ Brands, Inc.</w:t>
              </w:r>
            </w:hyperlink>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April 19, 2023, Form 8-K, Exhibit 3.2</w:t>
            </w:r>
          </w:p>
        </w:tc>
      </w:tr>
      <w:tr>
        <w:trPr/>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4.1</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2"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blmn-032623_ex41.htm">
              <w:r>
                <w:rPr>
                  <w:rStyle w:val="InternetLink"/>
                  <w:rFonts w:ascii="Times New Roman;sans-serif" w:hAnsi="Times New Roman;sans-serif"/>
                  <w:b w:val="false"/>
                  <w:color w:val="0000FF"/>
                  <w:sz w:val="22"/>
                  <w:u w:val="single"/>
                </w:rPr>
                <w:t>Description of Common Stock</w:t>
              </w:r>
            </w:hyperlink>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31.1</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2"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blmn-032623_ex311.htm">
              <w:r>
                <w:rPr>
                  <w:rStyle w:val="InternetLink"/>
                  <w:rFonts w:ascii="Times New Roman;sans-serif" w:hAnsi="Times New Roman;sans-serif"/>
                  <w:b w:val="false"/>
                  <w:color w:val="0000FF"/>
                  <w:sz w:val="22"/>
                  <w:u w:val="single"/>
                </w:rPr>
                <w:t>Certification of Chief Executive Officer pursuant to Section 302 of the Sarbanes-Oxley Act of 2002</w:t>
              </w:r>
            </w:hyperlink>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31.2</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2"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blmn-032623_ex312.htm">
              <w:r>
                <w:rPr>
                  <w:rStyle w:val="InternetLink"/>
                  <w:rFonts w:ascii="Times New Roman;sans-serif" w:hAnsi="Times New Roman;sans-serif"/>
                  <w:b w:val="false"/>
                  <w:color w:val="0000FF"/>
                  <w:sz w:val="22"/>
                  <w:u w:val="single"/>
                </w:rPr>
                <w:t>Certification of Chief Financial Officer pursuant to Section 302 of the Sarbanes-Oxley Act of 2002</w:t>
              </w:r>
            </w:hyperlink>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32.1</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2"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blmn-032623_ex321.htm">
              <w:r>
                <w:rPr>
                  <w:rStyle w:val="InternetLink"/>
                  <w:rFonts w:ascii="Times New Roman;sans-serif" w:hAnsi="Times New Roman;sans-serif"/>
                  <w:b w:val="false"/>
                  <w:color w:val="0000FF"/>
                  <w:sz w:val="22"/>
                  <w:u w:val="single"/>
                </w:rPr>
                <w:t>Certification of Chief Executive Officer pursuant to 18 U.S.C. Section 1350, as adopted pursuant to Section 906 of the Sarbanes-Oxley Act of 2002 (1)</w:t>
              </w:r>
            </w:hyperlink>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Furnished herewith</w:t>
            </w:r>
          </w:p>
        </w:tc>
      </w:tr>
      <w:tr>
        <w:trPr/>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32.2</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2"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blmn-032623_ex322.htm">
              <w:r>
                <w:rPr>
                  <w:rStyle w:val="InternetLink"/>
                  <w:rFonts w:ascii="Times New Roman;sans-serif" w:hAnsi="Times New Roman;sans-serif"/>
                  <w:b w:val="false"/>
                  <w:color w:val="0000FF"/>
                  <w:sz w:val="22"/>
                  <w:u w:val="single"/>
                </w:rPr>
                <w:t>Certification of Chief Financial Officer pursuant to 18 U.S.C. Section 1350, as adopted pursuant to Section 906 of the Sarbanes-Oxley Act of 2002 (1)</w:t>
              </w:r>
            </w:hyperlink>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Furnished herewith</w:t>
            </w:r>
          </w:p>
        </w:tc>
      </w:tr>
      <w:tr>
        <w:trPr/>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101.INS</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Inline XBRL Instance Document</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101.SCH</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Inline XBRL Taxonomy Extension Schema Document</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101.CAL</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Inline XBRL Taxonomy Extension Calculation Linkbase Document</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101.DEF</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Inline XBRL Taxonomy Extension Definition Linkbase Document</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101.LAB</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Inline XBRL Taxonomy Extension Label Linkbase Document</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101.PRE</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Inline XBRL Taxonomy Extension Presentation Linkbase Document</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104</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Cover Page Interactive Data File (formatted as inline XBRL and contained in Exhibit 101)</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auto" w:val="clear"/>
            <w:vAlign w:val="center"/>
          </w:tcPr>
          <w:p>
            <w:pPr>
              <w:pStyle w:val="TableContents"/>
              <w:spacing w:before="0" w:after="283"/>
              <w:rPr>
                <w:sz w:val="4"/>
                <w:szCs w:val="4"/>
              </w:rPr>
            </w:pPr>
            <w:r>
              <w:rPr>
                <w:sz w:val="4"/>
                <w:szCs w:val="4"/>
              </w:rPr>
            </w:r>
          </w:p>
        </w:tc>
        <w:tc>
          <w:tcPr>
            <w:tcW w:w="9139" w:type="dxa"/>
            <w:gridSpan w:val="12"/>
            <w:tcBorders/>
            <w:shd w:fill="auto" w:val="clear"/>
          </w:tcPr>
          <w:p>
            <w:pPr>
              <w:pStyle w:val="TableContents"/>
              <w:spacing w:before="0" w:after="283"/>
              <w:rPr>
                <w:sz w:val="4"/>
                <w:szCs w:val="4"/>
              </w:rPr>
            </w:pPr>
            <w:r>
              <w:rPr>
                <w:sz w:val="4"/>
                <w:szCs w:val="4"/>
              </w:rPr>
            </w:r>
          </w:p>
        </w:tc>
      </w:tr>
      <w:tr>
        <w:trPr/>
        <w:tc>
          <w:tcPr>
            <w:tcW w:w="1066"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5852"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2555" w:type="dxa"/>
            <w:gridSpan w:val="3"/>
            <w:tcBorders/>
            <w:shd w:fill="auto" w:val="clear"/>
            <w:vAlign w:val="center"/>
          </w:tcPr>
          <w:p>
            <w:pPr>
              <w:pStyle w:val="TableContents"/>
              <w:spacing w:before="0" w:after="283"/>
              <w:rPr>
                <w:sz w:val="4"/>
                <w:szCs w:val="4"/>
              </w:rPr>
            </w:pPr>
            <w:r>
              <w:rPr>
                <w:sz w:val="4"/>
                <w:szCs w:val="4"/>
              </w:rPr>
            </w:r>
          </w:p>
        </w:tc>
      </w:tr>
      <w:tr>
        <w:trPr/>
        <w:tc>
          <w:tcPr>
            <w:tcW w:w="10205" w:type="dxa"/>
            <w:gridSpan w:val="15"/>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(1) These certifications are not deemed to be “filed” for purposes of Section 18 of the Exchange Act, or otherwise subject to the liability of that section. These certifications will not be deemed to be incorporated by reference into any filing under the Securities Act or the Exchange Act, except to the extent that the registrant specifically incorporates them by reference.</w:t>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rPr/>
      </w:pPr>
      <w:hyperlink w:anchor="i754225e3f1024615994983297e2dce8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SIGNATURE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Pursuant to the requirements of the Securities Exchange Act of 1934, the registrant has duly caused this report to be signed on its behalf by the undersigned, thereunto duly authorized.</w:t>
      </w:r>
    </w:p>
    <w:p>
      <w:pPr>
        <w:pStyle w:val="TextBody"/>
        <w:spacing w:before="0" w:after="0"/>
        <w:rPr/>
      </w:pPr>
      <w:r>
        <w:rPr/>
      </w:r>
    </w:p>
    <w:tbl>
      <w:tblPr>
        <w:tblW w:w="7270" w:type="dxa"/>
        <w:jc w:val="left"/>
        <w:tblInd w:w="0" w:type="dxa"/>
        <w:tblCellMar>
          <w:top w:w="28" w:type="dxa"/>
          <w:left w:w="28" w:type="dxa"/>
          <w:bottom w:w="28" w:type="dxa"/>
          <w:right w:w="28" w:type="dxa"/>
        </w:tblCellMar>
      </w:tblPr>
      <w:tblGrid>
        <w:gridCol w:w="222"/>
        <w:gridCol w:w="196"/>
        <w:gridCol w:w="197"/>
        <w:gridCol w:w="434"/>
        <w:gridCol w:w="434"/>
        <w:gridCol w:w="436"/>
        <w:gridCol w:w="208"/>
        <w:gridCol w:w="208"/>
        <w:gridCol w:w="210"/>
        <w:gridCol w:w="1381"/>
        <w:gridCol w:w="1381"/>
        <w:gridCol w:w="1963"/>
      </w:tblGrid>
      <w:tr>
        <w:trPr/>
        <w:tc>
          <w:tcPr>
            <w:tcW w:w="22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381" w:type="dxa"/>
            <w:tcBorders/>
            <w:shd w:fill="auto" w:val="clear"/>
            <w:vAlign w:val="center"/>
          </w:tcPr>
          <w:p>
            <w:pPr>
              <w:pStyle w:val="TableContents"/>
              <w:spacing w:before="0" w:after="283"/>
              <w:rPr>
                <w:sz w:val="4"/>
                <w:szCs w:val="4"/>
              </w:rPr>
            </w:pPr>
            <w:r>
              <w:rPr>
                <w:sz w:val="4"/>
                <w:szCs w:val="4"/>
              </w:rPr>
            </w:r>
          </w:p>
        </w:tc>
        <w:tc>
          <w:tcPr>
            <w:tcW w:w="1381" w:type="dxa"/>
            <w:tcBorders/>
            <w:shd w:fill="auto" w:val="clear"/>
            <w:vAlign w:val="center"/>
          </w:tcPr>
          <w:p>
            <w:pPr>
              <w:pStyle w:val="TableContents"/>
              <w:spacing w:before="0" w:after="283"/>
              <w:rPr>
                <w:sz w:val="4"/>
                <w:szCs w:val="4"/>
              </w:rPr>
            </w:pPr>
            <w:r>
              <w:rPr>
                <w:sz w:val="4"/>
                <w:szCs w:val="4"/>
              </w:rPr>
            </w:r>
          </w:p>
        </w:tc>
        <w:tc>
          <w:tcPr>
            <w:tcW w:w="1963" w:type="dxa"/>
            <w:tcBorders/>
            <w:shd w:fill="auto" w:val="clear"/>
            <w:vAlign w:val="center"/>
          </w:tcPr>
          <w:p>
            <w:pPr>
              <w:pStyle w:val="TableContents"/>
              <w:spacing w:before="0" w:after="283"/>
              <w:rPr>
                <w:sz w:val="4"/>
                <w:szCs w:val="4"/>
              </w:rPr>
            </w:pPr>
            <w:r>
              <w:rPr>
                <w:sz w:val="4"/>
                <w:szCs w:val="4"/>
              </w:rPr>
            </w:r>
          </w:p>
        </w:tc>
      </w:tr>
      <w:tr>
        <w:trPr/>
        <w:tc>
          <w:tcPr>
            <w:tcW w:w="6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May 2, 2023</w:t>
            </w:r>
          </w:p>
        </w:tc>
        <w:tc>
          <w:tcPr>
            <w:tcW w:w="6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BLOOMIN’ BRANDS, INC.</w:t>
            </w:r>
          </w:p>
        </w:tc>
      </w:tr>
      <w:tr>
        <w:trPr/>
        <w:tc>
          <w:tcPr>
            <w:tcW w:w="6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2"/>
              </w:rPr>
              <w:t>(Registrant)</w:t>
            </w:r>
          </w:p>
        </w:tc>
      </w:tr>
      <w:tr>
        <w:trPr/>
        <w:tc>
          <w:tcPr>
            <w:tcW w:w="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/s/ Philip Pace</w:t>
            </w:r>
          </w:p>
        </w:tc>
      </w:tr>
      <w:tr>
        <w:trPr/>
        <w:tc>
          <w:tcPr>
            <w:tcW w:w="6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6" w:type="dxa"/>
            <w:gridSpan w:val="3"/>
            <w:tcBorders/>
            <w:shd w:fill="auto" w:val="clear"/>
            <w:tcMar>
              <w:top w:w="0" w:type="dxa"/>
              <w:left w:w="0" w:type="dxa"/>
              <w:bottom w:w="0" w:type="dxa"/>
              <w:right w:w="0" w:type="dxa"/>
            </w:tcMar>
            <w:vAlign w:val="center"/>
          </w:tcPr>
          <w:p>
            <w:pPr>
              <w:pStyle w:val="TableContents"/>
              <w:spacing w:before="0" w:after="283"/>
              <w:ind w:left="0" w:right="0" w:firstLine="540"/>
              <w:rPr>
                <w:sz w:val="4"/>
                <w:szCs w:val="4"/>
              </w:rPr>
            </w:pPr>
            <w:r>
              <w:rPr>
                <w:sz w:val="4"/>
                <w:szCs w:val="4"/>
              </w:rPr>
            </w:r>
          </w:p>
        </w:tc>
        <w:tc>
          <w:tcPr>
            <w:tcW w:w="472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Philip Pace</w:t>
            </w:r>
          </w:p>
          <w:p>
            <w:pPr>
              <w:pStyle w:val="TableContents"/>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Senior Vice President, Chief Accounting Officer </w:t>
            </w:r>
          </w:p>
          <w:p>
            <w:pPr>
              <w:pStyle w:val="TableContents"/>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(Principal Accounting Officer)</w:t>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[Remainder of page intentionally left blank]</w:t>
      </w:r>
    </w:p>
    <w:p>
      <w:pPr>
        <w:pStyle w:val="TextBody"/>
        <w:jc w:val="center"/>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4.1</w:t>
      </w:r>
    </w:p>
    <w:p>
      <w:pPr>
        <w:pStyle w:val="TextBody"/>
        <w:spacing w:before="0" w:after="0"/>
        <w:jc w:val="both"/>
        <w:rPr/>
      </w:pPr>
      <w:r>
        <w:rPr/>
      </w:r>
    </w:p>
    <w:p>
      <w:pPr>
        <w:pStyle w:val="TextBody"/>
        <w:spacing w:lineRule="auto" w:line="288" w:before="100" w:after="10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spacing w:lineRule="auto" w:line="288" w:before="100" w:after="100"/>
        <w:jc w:val="center"/>
        <w:rPr>
          <w:rFonts w:ascii="Times New Roman;sans-serif" w:hAnsi="Times New Roman;sans-serif"/>
          <w:b/>
          <w:color w:val="000000"/>
          <w:sz w:val="22"/>
        </w:rPr>
      </w:pPr>
      <w:r>
        <w:rPr>
          <w:rFonts w:ascii="Times New Roman;sans-serif" w:hAnsi="Times New Roman;sans-serif"/>
          <w:b/>
          <w:color w:val="000000"/>
          <w:sz w:val="22"/>
        </w:rPr>
        <w:t xml:space="preserve">DESCRIPTION OF COMMON STOCK </w:t>
      </w:r>
    </w:p>
    <w:p>
      <w:pPr>
        <w:pStyle w:val="TextBody"/>
        <w:spacing w:lineRule="auto" w:line="288" w:before="180" w:after="283"/>
        <w:ind w:left="0" w:right="0" w:firstLine="855"/>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summary does not purport to be complete and is subject to, and qualified in its entirety by reference to, our fifth amended and restated certificate of incorporation (“certificate of incorporation”) and our fourth amended and restated bylaws (“bylaws”), which have been filed as exhibits to our Current Report on Form 8-K on April 19, 2023. The information in this Exhibit 4.1 is provided as of May 2, 2023.</w:t>
      </w: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General </w:t>
      </w:r>
    </w:p>
    <w:p>
      <w:pPr>
        <w:pStyle w:val="TextBody"/>
        <w:spacing w:lineRule="auto" w:line="288" w:before="180" w:after="283"/>
        <w:ind w:left="0" w:right="0" w:firstLine="85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certificate of incorporation provides for authorized capital stock of 475,000,000 shares of common stock, par value $0.01 per share, and 25,000,000 shares of undesignated preferred stock. </w:t>
      </w: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Common Stock </w:t>
      </w:r>
    </w:p>
    <w:p>
      <w:pPr>
        <w:pStyle w:val="TextBody"/>
        <w:spacing w:lineRule="auto" w:line="288" w:before="180" w:after="283"/>
        <w:ind w:left="0" w:right="0" w:firstLine="855"/>
        <w:jc w:val="both"/>
        <w:rPr/>
      </w:pPr>
      <w:r>
        <w:rPr>
          <w:rFonts w:ascii="Times New Roman;sans-serif" w:hAnsi="Times New Roman;sans-serif"/>
          <w:b w:val="false"/>
          <w:i/>
          <w:color w:val="000000"/>
          <w:sz w:val="20"/>
        </w:rPr>
        <w:t>Dividend Rights</w:t>
      </w:r>
      <w:r>
        <w:rPr>
          <w:rFonts w:ascii="Times New Roman;sans-serif" w:hAnsi="Times New Roman;sans-serif"/>
          <w:b w:val="false"/>
          <w:color w:val="000000"/>
          <w:sz w:val="20"/>
        </w:rPr>
        <w:t xml:space="preserve">. Subject to preferences that may apply to shares of preferred stock outstanding at the time, holders of outstanding shares of common stock are entitled to receive dividends out of assets legally available at the times and in the amounts as the Board of Directors may from time to time determine. </w:t>
      </w:r>
    </w:p>
    <w:p>
      <w:pPr>
        <w:pStyle w:val="TextBody"/>
        <w:spacing w:lineRule="auto" w:line="288" w:before="180" w:after="283"/>
        <w:ind w:left="0" w:right="0" w:firstLine="855"/>
        <w:jc w:val="both"/>
        <w:rPr/>
      </w:pPr>
      <w:r>
        <w:rPr>
          <w:rFonts w:ascii="Times New Roman;sans-serif" w:hAnsi="Times New Roman;sans-serif"/>
          <w:b w:val="false"/>
          <w:i/>
          <w:color w:val="000000"/>
          <w:sz w:val="20"/>
        </w:rPr>
        <w:t>Voting Rights</w:t>
      </w:r>
      <w:r>
        <w:rPr>
          <w:rFonts w:ascii="Times New Roman;sans-serif" w:hAnsi="Times New Roman;sans-serif"/>
          <w:b w:val="false"/>
          <w:color w:val="000000"/>
          <w:sz w:val="20"/>
        </w:rPr>
        <w:t xml:space="preserve">. Each outstanding share of common stock is entitled to one vote on all matters submitted to a vote of stockholders. Holders of shares of our common stock do not have cumulative voting rights. </w:t>
      </w:r>
    </w:p>
    <w:p>
      <w:pPr>
        <w:pStyle w:val="TextBody"/>
        <w:spacing w:lineRule="auto" w:line="288" w:before="180" w:after="283"/>
        <w:ind w:left="0" w:right="0" w:firstLine="855"/>
        <w:jc w:val="both"/>
        <w:rPr/>
      </w:pPr>
      <w:r>
        <w:rPr>
          <w:rFonts w:ascii="Times New Roman;sans-serif" w:hAnsi="Times New Roman;sans-serif"/>
          <w:b w:val="false"/>
          <w:i/>
          <w:color w:val="000000"/>
          <w:sz w:val="20"/>
        </w:rPr>
        <w:t>Preemptive Rights</w:t>
      </w:r>
      <w:r>
        <w:rPr>
          <w:rFonts w:ascii="Times New Roman;sans-serif" w:hAnsi="Times New Roman;sans-serif"/>
          <w:b w:val="false"/>
          <w:color w:val="000000"/>
          <w:sz w:val="20"/>
        </w:rPr>
        <w:t xml:space="preserve">. Our common stock is not entitled to preemptive or other similar subscription rights to purchase any of our securities. </w:t>
      </w:r>
    </w:p>
    <w:p>
      <w:pPr>
        <w:pStyle w:val="TextBody"/>
        <w:spacing w:lineRule="auto" w:line="288" w:before="180" w:after="283"/>
        <w:ind w:left="0" w:right="0" w:firstLine="855"/>
        <w:jc w:val="both"/>
        <w:rPr/>
      </w:pPr>
      <w:r>
        <w:rPr>
          <w:rFonts w:ascii="Times New Roman;sans-serif" w:hAnsi="Times New Roman;sans-serif"/>
          <w:b w:val="false"/>
          <w:i/>
          <w:color w:val="000000"/>
          <w:sz w:val="20"/>
        </w:rPr>
        <w:t>Conversion or Redemption Rights</w:t>
      </w:r>
      <w:r>
        <w:rPr>
          <w:rFonts w:ascii="Times New Roman;sans-serif" w:hAnsi="Times New Roman;sans-serif"/>
          <w:b w:val="false"/>
          <w:color w:val="000000"/>
          <w:sz w:val="20"/>
        </w:rPr>
        <w:t xml:space="preserve">. Our common stock is neither convertible nor redeemable. </w:t>
      </w:r>
    </w:p>
    <w:p>
      <w:pPr>
        <w:pStyle w:val="TextBody"/>
        <w:spacing w:lineRule="auto" w:line="288" w:before="180" w:after="283"/>
        <w:ind w:left="0" w:right="0" w:firstLine="855"/>
        <w:jc w:val="both"/>
        <w:rPr/>
      </w:pPr>
      <w:r>
        <w:rPr>
          <w:rFonts w:ascii="Times New Roman;sans-serif" w:hAnsi="Times New Roman;sans-serif"/>
          <w:b w:val="false"/>
          <w:i/>
          <w:color w:val="000000"/>
          <w:sz w:val="20"/>
        </w:rPr>
        <w:t>Liquidation Rights</w:t>
      </w:r>
      <w:r>
        <w:rPr>
          <w:rFonts w:ascii="Times New Roman;sans-serif" w:hAnsi="Times New Roman;sans-serif"/>
          <w:b w:val="false"/>
          <w:color w:val="000000"/>
          <w:sz w:val="20"/>
        </w:rPr>
        <w:t xml:space="preserve">. Upon our liquidation, the holders of our common stock will be entitled to receive pro rata our assets that are legally available for distribution, after payment of all debts and other liabilities and subject to the prior rights of any holders of preferred stock then outstanding. </w:t>
      </w:r>
    </w:p>
    <w:p>
      <w:pPr>
        <w:pStyle w:val="TextBody"/>
        <w:spacing w:lineRule="auto" w:line="288" w:before="180" w:after="283"/>
        <w:ind w:left="0" w:right="0" w:firstLine="855"/>
        <w:jc w:val="both"/>
        <w:rPr/>
      </w:pPr>
      <w:r>
        <w:rPr>
          <w:rFonts w:ascii="Times New Roman;sans-serif" w:hAnsi="Times New Roman;sans-serif"/>
          <w:b w:val="false"/>
          <w:i/>
          <w:color w:val="000000"/>
          <w:sz w:val="20"/>
        </w:rPr>
        <w:t>Listing</w:t>
      </w:r>
      <w:r>
        <w:rPr>
          <w:rFonts w:ascii="Times New Roman;sans-serif" w:hAnsi="Times New Roman;sans-serif"/>
          <w:b w:val="false"/>
          <w:color w:val="000000"/>
          <w:sz w:val="20"/>
        </w:rPr>
        <w:t xml:space="preserve">. Our shares of common stock are listed on the Nasdaq Global Select Market under the symbol “BLMN.” </w:t>
      </w: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Anti-Takeover Effects of Our Certificate of Incorporation and Bylaws </w:t>
      </w:r>
    </w:p>
    <w:p>
      <w:pPr>
        <w:pStyle w:val="TextBody"/>
        <w:spacing w:lineRule="auto" w:line="288" w:before="180" w:after="283"/>
        <w:ind w:left="0" w:right="0" w:firstLine="85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certificate of incorporation and bylaws contain certain provisions that are intended to enhance the likelihood of continuity and stability in the composition of our Board of Directors and that may have the effect of delaying, deferring or preventing a future takeover or change in control of the Company unless that takeover or change in control is approved by our Board of Directors. </w:t>
      </w:r>
    </w:p>
    <w:p>
      <w:pPr>
        <w:pStyle w:val="TextBody"/>
        <w:spacing w:lineRule="auto" w:line="288" w:before="180" w:after="283"/>
        <w:ind w:left="0" w:right="0" w:firstLine="85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provisions include: </w:t>
      </w:r>
    </w:p>
    <w:p>
      <w:pPr>
        <w:pStyle w:val="TextBody"/>
        <w:spacing w:lineRule="auto" w:line="288" w:before="180" w:after="283"/>
        <w:ind w:left="0" w:right="0" w:firstLine="855"/>
        <w:jc w:val="both"/>
        <w:rPr/>
      </w:pPr>
      <w:r>
        <w:rPr>
          <w:rFonts w:ascii="Times New Roman;sans-serif" w:hAnsi="Times New Roman;sans-serif"/>
          <w:b w:val="false"/>
          <w:i/>
          <w:color w:val="000000"/>
          <w:sz w:val="20"/>
        </w:rPr>
        <w:t>Classified Board</w:t>
      </w:r>
      <w:r>
        <w:rPr>
          <w:rFonts w:ascii="Times New Roman;sans-serif" w:hAnsi="Times New Roman;sans-serif"/>
          <w:b w:val="false"/>
          <w:color w:val="000000"/>
          <w:sz w:val="20"/>
        </w:rPr>
        <w:t xml:space="preserve">. Our certificate of incorporation provides that until the 2024 annual meeting of stockholders, our Board of Directors be divided into three classes of directors, with the classes as nearly equal in number as possible. Previously, approximately one-third of our Board of Directors was elected each year for a three-year term; however we have been transitioning to elect each class for a one-year term and, at the 2024 annual meeting of stockholders, the classification of the Board of Directors shall terminate. The classification of directors has the effect of making it more difficult for stockholders to change the composition of our Board of Directors. In addition, because our Board of Directors is classified until the 2024 annual meeting of stockholders, under Delaware General Corporation Law, directors may only be removed for cause until the 2024 annual meeting of stockholders, after which, directors may be removed with or without cause. Our certificate of incorporation also provides that, subject to any rights of holders of preferred stock to elect additional directors under specified circumstances, the number of directors is to be fixed exclusively pursuant to a resolution adopted by our Board of Directors. </w:t>
      </w:r>
    </w:p>
    <w:p>
      <w:pPr>
        <w:pStyle w:val="TextBody"/>
        <w:spacing w:lineRule="auto" w:line="288" w:before="180" w:after="283"/>
        <w:ind w:left="0" w:right="0" w:firstLine="855"/>
        <w:jc w:val="both"/>
        <w:rPr/>
      </w:pPr>
      <w:r>
        <w:rPr>
          <w:rFonts w:ascii="Times New Roman;sans-serif" w:hAnsi="Times New Roman;sans-serif"/>
          <w:b w:val="false"/>
          <w:i/>
          <w:color w:val="000000"/>
          <w:sz w:val="20"/>
        </w:rPr>
        <w:t>Action by Written Consent; Special Meetings of Stockholders</w:t>
      </w:r>
      <w:r>
        <w:rPr>
          <w:rFonts w:ascii="Times New Roman;sans-serif" w:hAnsi="Times New Roman;sans-serif"/>
          <w:b w:val="false"/>
          <w:color w:val="000000"/>
          <w:sz w:val="20"/>
        </w:rPr>
        <w:t>. Our certificate of incorporation provides that stockholder action can be taken only at an annual or special meeting of stockholders and cannot be taken by written consent in lieu of a meeting. Our certificate of incorporation also provides that, except as otherwise required by law, special meetings of the stockholders can be called only (a) pursuant to a resolution adopted by a majority of the total number of directors that the Company would have if there were no vacancies or (b) subject to certain limited exceptions, by the Board of Directors upon the request of a stockholder or stockholders holding net long beneficial ownership of at least 25% of the outstanding shares of the Company’s common stock for at least one year and such request must comply with the other procedural requirements set forth in our certificate of incorporation.</w:t>
      </w:r>
      <w:r>
        <w:br w:type="page"/>
      </w:r>
    </w:p>
    <w:p>
      <w:pPr>
        <w:pStyle w:val="TextBody"/>
        <w:spacing w:before="0" w:after="0"/>
        <w:jc w:val="both"/>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60655"/>
                <wp:effectExtent l="0" t="0" r="0" b="0"/>
                <wp:wrapNone/>
                <wp:docPr id="41" name="Frame4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v:textbox>
              </v:rect>
            </w:pict>
          </mc:Fallback>
        </mc:AlternateContent>
      </w:r>
    </w:p>
    <w:p>
      <w:pPr>
        <w:pStyle w:val="TextBody"/>
        <w:spacing w:lineRule="auto" w:line="288" w:before="180" w:after="283"/>
        <w:ind w:left="0" w:right="0" w:firstLine="855"/>
        <w:jc w:val="both"/>
        <w:rPr/>
      </w:pPr>
      <w:r>
        <w:rPr>
          <w:rFonts w:ascii="Times New Roman;sans-serif" w:hAnsi="Times New Roman;sans-serif"/>
          <w:b w:val="false"/>
          <w:i/>
          <w:color w:val="000000"/>
          <w:sz w:val="20"/>
        </w:rPr>
        <w:t>Advance Notice Procedures</w:t>
      </w:r>
      <w:r>
        <w:rPr>
          <w:rFonts w:ascii="Times New Roman;sans-serif" w:hAnsi="Times New Roman;sans-serif"/>
          <w:b w:val="false"/>
          <w:color w:val="000000"/>
          <w:sz w:val="20"/>
        </w:rPr>
        <w:t xml:space="preserve">. Our bylaws establish an advance notice procedure for stockholder proposals to be brought before an annual meeting of our stockholders, including proposed nominations of persons for election to the Board of Directors. Stockholders at an annual meeting are only able to consider proposals or nominations specified in the notice of meeting or brought before the meeting by or at the direction of the Board of Directors or by a stockholder who was a stockholder of record on the record date for the meeting, who is entitled to vote at the meeting and who has given our Secretary timely written notice, in accordance with our bylaws, of the stockholder’s intention to bring that business before the meeting. Although the bylaws do not give the Board of Directors the power to approve or disapprove stockholder nominations of candidates or proposals regarding other business to be conducted at a special or annual meeting, the bylaws may have the effect of precluding the conduct of certain business at a meeting if the proper procedures are not followed or may discourage or deter a potential acquiror from conducting a solicitation of proxies to elect its own slate of directors or otherwise attempting to obtain control of the Company. </w:t>
      </w:r>
    </w:p>
    <w:p>
      <w:pPr>
        <w:pStyle w:val="TextBody"/>
        <w:spacing w:lineRule="auto" w:line="288" w:before="180" w:after="283"/>
        <w:ind w:left="0" w:right="0" w:firstLine="855"/>
        <w:jc w:val="both"/>
        <w:rPr/>
      </w:pPr>
      <w:r>
        <w:rPr>
          <w:rFonts w:ascii="Times New Roman;sans-serif" w:hAnsi="Times New Roman;sans-serif"/>
          <w:b w:val="false"/>
          <w:i/>
          <w:color w:val="000000"/>
          <w:sz w:val="20"/>
        </w:rPr>
        <w:t>Authorized but Unissued Shares</w:t>
      </w:r>
      <w:r>
        <w:rPr>
          <w:rFonts w:ascii="Times New Roman;sans-serif" w:hAnsi="Times New Roman;sans-serif"/>
          <w:b w:val="false"/>
          <w:color w:val="000000"/>
          <w:sz w:val="20"/>
        </w:rPr>
        <w:t xml:space="preserve">. Our authorized but unissued shares of common stock and preferred stock are available for future issuance without stockholder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a majority of our common stock by means of a proxy contest, tender offer, merger or otherwise. </w:t>
      </w:r>
    </w:p>
    <w:p>
      <w:pPr>
        <w:pStyle w:val="TextBody"/>
        <w:spacing w:lineRule="auto" w:line="288" w:before="180" w:after="283"/>
        <w:ind w:left="0" w:right="0" w:firstLine="855"/>
        <w:jc w:val="both"/>
        <w:rPr/>
      </w:pPr>
      <w:r>
        <w:rPr>
          <w:rFonts w:ascii="Times New Roman;sans-serif" w:hAnsi="Times New Roman;sans-serif"/>
          <w:b w:val="false"/>
          <w:i/>
          <w:color w:val="000000"/>
          <w:sz w:val="20"/>
        </w:rPr>
        <w:t>Business Combinations with Interested Stockholders</w:t>
      </w:r>
      <w:r>
        <w:rPr>
          <w:rFonts w:ascii="Times New Roman;sans-serif" w:hAnsi="Times New Roman;sans-serif"/>
          <w:b w:val="false"/>
          <w:color w:val="000000"/>
          <w:sz w:val="20"/>
        </w:rPr>
        <w:t>. We have elected in our certificate of incorporation not to be subject to Section 203 of the Delaware General Corporation Law, which generally prohibits a publicly held Delaware corporation from engaging in a business combination, such as a merger, with a person or group owning 15% or more of the corporation’s voting stock, for a period of three years following the date the person became an interested stockholder, unless (with certain exceptions) the business combination or the transaction in which the person became an interested stockholder is approved in a prescribed manner. Accordingly, we are not subject to any anti-takeover effects of Section 203. However, our certificate of incorporation contains provisions that have the same effect as Section 203.</w:t>
      </w: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Limitations on Liability and Indemnification of Officers and Directors </w:t>
      </w:r>
    </w:p>
    <w:p>
      <w:pPr>
        <w:pStyle w:val="TextBody"/>
        <w:spacing w:lineRule="auto" w:line="288" w:before="180" w:after="283"/>
        <w:ind w:left="0" w:right="0" w:firstLine="85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certificate of incorporation limits the liability of our directors and officers to the fullest extent permitted by the Delaware General Corporation Law, and our bylaws provide that we will indemnify them to the fullest extent permitted by such law. We have entered into indemnification agreements with our current directors and executive officers and expect to enter into a similar agreement with any new directors or executive officers. We also maintain customary directors’ and officers’ liability insurance policies that provide coverage to our directors and officers against loss arising from claims made by reason of breach of duty or other wrongful act and to us with respect to indemnification payments that we may make to directors and officers. </w:t>
      </w: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Transfer Agent and Registrar </w:t>
      </w:r>
    </w:p>
    <w:p>
      <w:pPr>
        <w:pStyle w:val="TextBody"/>
        <w:spacing w:lineRule="auto" w:line="288" w:before="180" w:after="283"/>
        <w:ind w:left="0" w:right="0" w:firstLine="855"/>
        <w:jc w:val="both"/>
        <w:rPr>
          <w:rFonts w:ascii="Times New Roman;sans-serif" w:hAnsi="Times New Roman;sans-serif"/>
          <w:b w:val="false"/>
          <w:color w:val="000000"/>
          <w:sz w:val="20"/>
        </w:rPr>
      </w:pPr>
      <w:r>
        <w:rPr>
          <w:rFonts w:ascii="Times New Roman;sans-serif" w:hAnsi="Times New Roman;sans-serif"/>
          <w:b w:val="false"/>
          <w:color w:val="000000"/>
          <w:sz w:val="20"/>
        </w:rPr>
        <w:t>The transfer agent and registrar for our common stock is Computershare Trust Company, N.A.</w:t>
      </w:r>
    </w:p>
    <w:p>
      <w:pPr>
        <w:pStyle w:val="TextBody"/>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60655"/>
                <wp:effectExtent l="0" t="0" r="0" b="0"/>
                <wp:wrapNone/>
                <wp:docPr id="42" name="Frame4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v:rect>
            </w:pict>
          </mc:Fallback>
        </mc:AlternateContent>
      </w:r>
    </w:p>
    <w:p>
      <w:pPr>
        <w:pStyle w:val="TextBody"/>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31.1</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CERTIFICATION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I, David J. Deno, certify that:</w:t>
      </w:r>
    </w:p>
    <w:p>
      <w:pPr>
        <w:pStyle w:val="TextBody"/>
        <w:spacing w:before="0" w:after="0"/>
        <w:rPr/>
      </w:pPr>
      <w:r>
        <w:rPr/>
      </w:r>
    </w:p>
    <w:p>
      <w:pPr>
        <w:pStyle w:val="TextBody"/>
        <w:spacing w:lineRule="auto" w:line="288" w:before="0" w:after="0"/>
        <w:ind w:left="0" w:right="0" w:hanging="630"/>
        <w:rPr>
          <w:rFonts w:ascii="Times New Roman;sans-serif" w:hAnsi="Times New Roman;sans-serif"/>
          <w:b w:val="false"/>
          <w:color w:val="000000"/>
          <w:sz w:val="22"/>
        </w:rPr>
      </w:pPr>
      <w:r>
        <w:rPr>
          <w:rFonts w:ascii="Times New Roman;sans-serif" w:hAnsi="Times New Roman;sans-serif"/>
          <w:b w:val="false"/>
          <w:color w:val="000000"/>
          <w:sz w:val="22"/>
        </w:rPr>
        <w:t>1.I have reviewed this Quarterly Report on Form 10-Q of Bloomin’ Brands, Inc.;</w:t>
      </w:r>
    </w:p>
    <w:p>
      <w:pPr>
        <w:pStyle w:val="TextBody"/>
        <w:spacing w:before="0" w:after="0"/>
        <w:ind w:left="0" w:right="0" w:hanging="630"/>
        <w:rPr/>
      </w:pPr>
      <w:r>
        <w:rPr/>
      </w:r>
    </w:p>
    <w:p>
      <w:pPr>
        <w:pStyle w:val="TextBody"/>
        <w:spacing w:lineRule="auto" w:line="288" w:before="0" w:after="0"/>
        <w:ind w:left="0" w:right="0" w:hanging="630"/>
        <w:jc w:val="both"/>
        <w:rPr>
          <w:rFonts w:ascii="Times New Roman;sans-serif" w:hAnsi="Times New Roman;sans-serif"/>
          <w:b w:val="false"/>
          <w:color w:val="000000"/>
          <w:sz w:val="22"/>
        </w:rPr>
      </w:pPr>
      <w:r>
        <w:rPr>
          <w:rFonts w:ascii="Times New Roman;sans-serif" w:hAnsi="Times New Roman;sans-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630"/>
        <w:rPr/>
      </w:pPr>
      <w:r>
        <w:rPr/>
      </w:r>
    </w:p>
    <w:p>
      <w:pPr>
        <w:pStyle w:val="TextBody"/>
        <w:spacing w:lineRule="auto" w:line="288" w:before="0" w:after="0"/>
        <w:ind w:left="0" w:right="0" w:hanging="630"/>
        <w:jc w:val="both"/>
        <w:rPr>
          <w:rFonts w:ascii="Times New Roman;sans-serif" w:hAnsi="Times New Roman;sans-serif"/>
          <w:b w:val="false"/>
          <w:color w:val="000000"/>
          <w:sz w:val="22"/>
        </w:rPr>
      </w:pPr>
      <w:r>
        <w:rPr>
          <w:rFonts w:ascii="Times New Roman;sans-serif" w:hAnsi="Times New Roman;sans-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630"/>
        <w:rPr/>
      </w:pPr>
      <w:r>
        <w:rPr/>
      </w:r>
    </w:p>
    <w:p>
      <w:pPr>
        <w:pStyle w:val="TextBody"/>
        <w:spacing w:lineRule="auto" w:line="288" w:before="0" w:after="0"/>
        <w:ind w:left="0" w:right="0" w:hanging="630"/>
        <w:jc w:val="both"/>
        <w:rPr>
          <w:rFonts w:ascii="Times New Roman;sans-serif" w:hAnsi="Times New Roman;sans-serif"/>
          <w:b w:val="false"/>
          <w:color w:val="000000"/>
          <w:sz w:val="22"/>
        </w:rPr>
      </w:pPr>
      <w:r>
        <w:rPr>
          <w:rFonts w:ascii="Times New Roman;sans-serif" w:hAnsi="Times New Roman;sans-serif"/>
          <w:b w:val="false"/>
          <w:color w:val="000000"/>
          <w:sz w:val="22"/>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hanging="630"/>
        <w:jc w:val="both"/>
        <w:rPr/>
      </w:pPr>
      <w:r>
        <w:rPr/>
      </w:r>
    </w:p>
    <w:p>
      <w:pPr>
        <w:pStyle w:val="TextBody"/>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jc w:val="both"/>
        <w:rPr/>
      </w:pPr>
      <w:r>
        <w:rPr/>
      </w:r>
    </w:p>
    <w:p>
      <w:pPr>
        <w:pStyle w:val="TextBody"/>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before="0" w:after="0"/>
        <w:jc w:val="both"/>
        <w:rPr/>
      </w:pPr>
      <w:r>
        <w:rPr/>
      </w:r>
    </w:p>
    <w:p>
      <w:pPr>
        <w:pStyle w:val="TextBody"/>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jc w:val="both"/>
        <w:rPr/>
      </w:pPr>
      <w:r>
        <w:rPr/>
      </w:r>
    </w:p>
    <w:p>
      <w:pPr>
        <w:pStyle w:val="TextBody"/>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jc w:val="both"/>
        <w:rPr/>
      </w:pPr>
      <w:r>
        <w:rPr/>
      </w:r>
    </w:p>
    <w:p>
      <w:pPr>
        <w:pStyle w:val="TextBody"/>
        <w:spacing w:lineRule="auto" w:line="288" w:before="0" w:after="0"/>
        <w:ind w:left="0" w:right="0" w:hanging="630"/>
        <w:jc w:val="both"/>
        <w:rPr>
          <w:rFonts w:ascii="Times New Roman;sans-serif" w:hAnsi="Times New Roman;sans-serif"/>
          <w:b w:val="false"/>
          <w:color w:val="000000"/>
          <w:sz w:val="22"/>
        </w:rPr>
      </w:pPr>
      <w:r>
        <w:rPr>
          <w:rFonts w:ascii="Times New Roman;sans-serif" w:hAnsi="Times New Roman;sans-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360"/>
        <w:jc w:val="both"/>
        <w:rPr/>
      </w:pPr>
      <w:r>
        <w:rPr/>
      </w:r>
    </w:p>
    <w:p>
      <w:pPr>
        <w:pStyle w:val="TextBody"/>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jc w:val="both"/>
        <w:rPr/>
      </w:pPr>
      <w:r>
        <w:rPr/>
      </w:r>
    </w:p>
    <w:p>
      <w:pPr>
        <w:pStyle w:val="TextBody"/>
        <w:spacing w:lineRule="auto" w:line="288" w:before="0" w:after="30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(b)Any fraud, whether or not material, that involves management or other employees who have a significant role in the registrant’s internal control over financial reporting. </w:t>
      </w:r>
    </w:p>
    <w:tbl>
      <w:tblPr>
        <w:tblW w:w="4754" w:type="dxa"/>
        <w:jc w:val="center"/>
        <w:tblInd w:w="0" w:type="dxa"/>
        <w:tblCellMar>
          <w:top w:w="28" w:type="dxa"/>
          <w:left w:w="28" w:type="dxa"/>
          <w:bottom w:w="28" w:type="dxa"/>
          <w:right w:w="28" w:type="dxa"/>
        </w:tblCellMar>
      </w:tblPr>
      <w:tblGrid>
        <w:gridCol w:w="222"/>
        <w:gridCol w:w="196"/>
        <w:gridCol w:w="197"/>
        <w:gridCol w:w="434"/>
        <w:gridCol w:w="434"/>
        <w:gridCol w:w="436"/>
        <w:gridCol w:w="828"/>
        <w:gridCol w:w="828"/>
        <w:gridCol w:w="1179"/>
      </w:tblGrid>
      <w:tr>
        <w:trPr/>
        <w:tc>
          <w:tcPr>
            <w:tcW w:w="22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1179" w:type="dxa"/>
            <w:tcBorders/>
            <w:shd w:fill="auto" w:val="clear"/>
            <w:vAlign w:val="center"/>
          </w:tcPr>
          <w:p>
            <w:pPr>
              <w:pStyle w:val="TableContents"/>
              <w:spacing w:before="0" w:after="283"/>
              <w:rPr>
                <w:sz w:val="4"/>
                <w:szCs w:val="4"/>
              </w:rPr>
            </w:pPr>
            <w:r>
              <w:rPr>
                <w:sz w:val="4"/>
                <w:szCs w:val="4"/>
              </w:rPr>
            </w:r>
          </w:p>
        </w:tc>
      </w:tr>
      <w:tr>
        <w:trPr/>
        <w:tc>
          <w:tcPr>
            <w:tcW w:w="6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May 2, 2023</w:t>
            </w:r>
          </w:p>
        </w:tc>
        <w:tc>
          <w:tcPr>
            <w:tcW w:w="28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David J. Deno</w:t>
            </w:r>
          </w:p>
        </w:tc>
      </w:tr>
      <w:tr>
        <w:trPr/>
        <w:tc>
          <w:tcPr>
            <w:tcW w:w="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David J. Deno</w:t>
            </w:r>
          </w:p>
        </w:tc>
      </w:tr>
      <w:tr>
        <w:trPr/>
        <w:tc>
          <w:tcPr>
            <w:tcW w:w="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Executive Officer</w:t>
              <w:br/>
              <w:t>(Principal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31.2</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CERTIFICATION</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 Christopher Meyer, certify that:</w:t>
      </w:r>
    </w:p>
    <w:p>
      <w:pPr>
        <w:pStyle w:val="TextBody"/>
        <w:spacing w:before="0" w:after="0"/>
        <w:jc w:val="both"/>
        <w:rPr/>
      </w:pPr>
      <w:r>
        <w:rPr/>
      </w:r>
    </w:p>
    <w:p>
      <w:pPr>
        <w:pStyle w:val="TextBody"/>
        <w:spacing w:lineRule="auto" w:line="288" w:before="0" w:after="0"/>
        <w:ind w:left="0" w:right="0" w:hanging="630"/>
        <w:rPr>
          <w:rFonts w:ascii="Times New Roman;sans-serif" w:hAnsi="Times New Roman;sans-serif"/>
          <w:b w:val="false"/>
          <w:color w:val="000000"/>
          <w:sz w:val="22"/>
        </w:rPr>
      </w:pPr>
      <w:r>
        <w:rPr>
          <w:rFonts w:ascii="Times New Roman;sans-serif" w:hAnsi="Times New Roman;sans-serif"/>
          <w:b w:val="false"/>
          <w:color w:val="000000"/>
          <w:sz w:val="22"/>
        </w:rPr>
        <w:t>1.I have reviewed this Quarterly Report on Form 10-Q of Bloomin’ Brands, Inc.;</w:t>
      </w:r>
    </w:p>
    <w:p>
      <w:pPr>
        <w:pStyle w:val="TextBody"/>
        <w:spacing w:before="0" w:after="0"/>
        <w:ind w:left="0" w:right="0" w:hanging="630"/>
        <w:rPr/>
      </w:pPr>
      <w:r>
        <w:rPr/>
      </w:r>
    </w:p>
    <w:p>
      <w:pPr>
        <w:pStyle w:val="TextBody"/>
        <w:spacing w:lineRule="auto" w:line="288" w:before="0" w:after="0"/>
        <w:ind w:left="0" w:right="0" w:hanging="630"/>
        <w:jc w:val="both"/>
        <w:rPr>
          <w:rFonts w:ascii="Times New Roman;sans-serif" w:hAnsi="Times New Roman;sans-serif"/>
          <w:b w:val="false"/>
          <w:color w:val="000000"/>
          <w:sz w:val="22"/>
        </w:rPr>
      </w:pPr>
      <w:r>
        <w:rPr>
          <w:rFonts w:ascii="Times New Roman;sans-serif" w:hAnsi="Times New Roman;sans-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630"/>
        <w:rPr/>
      </w:pPr>
      <w:r>
        <w:rPr/>
      </w:r>
    </w:p>
    <w:p>
      <w:pPr>
        <w:pStyle w:val="TextBody"/>
        <w:spacing w:lineRule="auto" w:line="288" w:before="0" w:after="0"/>
        <w:ind w:left="0" w:right="0" w:hanging="630"/>
        <w:jc w:val="both"/>
        <w:rPr>
          <w:rFonts w:ascii="Times New Roman;sans-serif" w:hAnsi="Times New Roman;sans-serif"/>
          <w:b w:val="false"/>
          <w:color w:val="000000"/>
          <w:sz w:val="22"/>
        </w:rPr>
      </w:pPr>
      <w:r>
        <w:rPr>
          <w:rFonts w:ascii="Times New Roman;sans-serif" w:hAnsi="Times New Roman;sans-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630"/>
        <w:rPr/>
      </w:pPr>
      <w:r>
        <w:rPr/>
      </w:r>
    </w:p>
    <w:p>
      <w:pPr>
        <w:pStyle w:val="TextBody"/>
        <w:spacing w:lineRule="auto" w:line="288" w:before="0" w:after="0"/>
        <w:ind w:left="0" w:right="0" w:hanging="630"/>
        <w:jc w:val="both"/>
        <w:rPr>
          <w:rFonts w:ascii="Times New Roman;sans-serif" w:hAnsi="Times New Roman;sans-serif"/>
          <w:b w:val="false"/>
          <w:color w:val="000000"/>
          <w:sz w:val="22"/>
        </w:rPr>
      </w:pPr>
      <w:r>
        <w:rPr>
          <w:rFonts w:ascii="Times New Roman;sans-serif" w:hAnsi="Times New Roman;sans-serif"/>
          <w:b w:val="false"/>
          <w:color w:val="000000"/>
          <w:sz w:val="22"/>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hanging="630"/>
        <w:jc w:val="both"/>
        <w:rPr/>
      </w:pPr>
      <w:r>
        <w:rPr/>
      </w:r>
    </w:p>
    <w:p>
      <w:pPr>
        <w:pStyle w:val="TextBody"/>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jc w:val="both"/>
        <w:rPr/>
      </w:pPr>
      <w:r>
        <w:rPr/>
      </w:r>
    </w:p>
    <w:p>
      <w:pPr>
        <w:pStyle w:val="TextBody"/>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before="0" w:after="0"/>
        <w:jc w:val="both"/>
        <w:rPr/>
      </w:pPr>
      <w:r>
        <w:rPr/>
      </w:r>
    </w:p>
    <w:p>
      <w:pPr>
        <w:pStyle w:val="TextBody"/>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jc w:val="both"/>
        <w:rPr/>
      </w:pPr>
      <w:r>
        <w:rPr/>
      </w:r>
    </w:p>
    <w:p>
      <w:pPr>
        <w:pStyle w:val="TextBody"/>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jc w:val="both"/>
        <w:rPr/>
      </w:pPr>
      <w:r>
        <w:rPr/>
      </w:r>
    </w:p>
    <w:p>
      <w:pPr>
        <w:pStyle w:val="TextBody"/>
        <w:spacing w:lineRule="auto" w:line="288" w:before="0" w:after="0"/>
        <w:ind w:left="0" w:right="0" w:hanging="630"/>
        <w:jc w:val="both"/>
        <w:rPr>
          <w:rFonts w:ascii="Times New Roman;sans-serif" w:hAnsi="Times New Roman;sans-serif"/>
          <w:b w:val="false"/>
          <w:color w:val="000000"/>
          <w:sz w:val="22"/>
        </w:rPr>
      </w:pPr>
      <w:r>
        <w:rPr>
          <w:rFonts w:ascii="Times New Roman;sans-serif" w:hAnsi="Times New Roman;sans-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360"/>
        <w:jc w:val="both"/>
        <w:rPr/>
      </w:pPr>
      <w:r>
        <w:rPr/>
      </w:r>
    </w:p>
    <w:p>
      <w:pPr>
        <w:pStyle w:val="TextBody"/>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jc w:val="both"/>
        <w:rPr/>
      </w:pPr>
      <w:r>
        <w:rPr/>
      </w:r>
    </w:p>
    <w:p>
      <w:pPr>
        <w:pStyle w:val="TextBody"/>
        <w:spacing w:lineRule="auto" w:line="288" w:before="0" w:after="30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(b)Any fraud, whether or not material, that involves management or other employees who have a significant role in the registrant’s internal control over financial reporting. </w:t>
      </w:r>
    </w:p>
    <w:tbl>
      <w:tblPr>
        <w:tblW w:w="7018" w:type="dxa"/>
        <w:jc w:val="center"/>
        <w:tblInd w:w="0" w:type="dxa"/>
        <w:tblCellMar>
          <w:top w:w="28" w:type="dxa"/>
          <w:left w:w="28" w:type="dxa"/>
          <w:bottom w:w="28" w:type="dxa"/>
          <w:right w:w="28" w:type="dxa"/>
        </w:tblCellMar>
      </w:tblPr>
      <w:tblGrid>
        <w:gridCol w:w="222"/>
        <w:gridCol w:w="196"/>
        <w:gridCol w:w="197"/>
        <w:gridCol w:w="434"/>
        <w:gridCol w:w="434"/>
        <w:gridCol w:w="436"/>
        <w:gridCol w:w="1493"/>
        <w:gridCol w:w="1493"/>
        <w:gridCol w:w="2113"/>
      </w:tblGrid>
      <w:tr>
        <w:trPr/>
        <w:tc>
          <w:tcPr>
            <w:tcW w:w="22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493" w:type="dxa"/>
            <w:tcBorders/>
            <w:shd w:fill="auto" w:val="clear"/>
            <w:vAlign w:val="center"/>
          </w:tcPr>
          <w:p>
            <w:pPr>
              <w:pStyle w:val="TableContents"/>
              <w:spacing w:before="0" w:after="283"/>
              <w:rPr>
                <w:sz w:val="4"/>
                <w:szCs w:val="4"/>
              </w:rPr>
            </w:pPr>
            <w:r>
              <w:rPr>
                <w:sz w:val="4"/>
                <w:szCs w:val="4"/>
              </w:rPr>
            </w:r>
          </w:p>
        </w:tc>
        <w:tc>
          <w:tcPr>
            <w:tcW w:w="1493" w:type="dxa"/>
            <w:tcBorders/>
            <w:shd w:fill="auto" w:val="clear"/>
            <w:vAlign w:val="center"/>
          </w:tcPr>
          <w:p>
            <w:pPr>
              <w:pStyle w:val="TableContents"/>
              <w:spacing w:before="0" w:after="283"/>
              <w:rPr>
                <w:sz w:val="4"/>
                <w:szCs w:val="4"/>
              </w:rPr>
            </w:pPr>
            <w:r>
              <w:rPr>
                <w:sz w:val="4"/>
                <w:szCs w:val="4"/>
              </w:rPr>
            </w:r>
          </w:p>
        </w:tc>
        <w:tc>
          <w:tcPr>
            <w:tcW w:w="2113" w:type="dxa"/>
            <w:tcBorders/>
            <w:shd w:fill="auto" w:val="clear"/>
            <w:vAlign w:val="center"/>
          </w:tcPr>
          <w:p>
            <w:pPr>
              <w:pStyle w:val="TableContents"/>
              <w:spacing w:before="0" w:after="283"/>
              <w:rPr>
                <w:sz w:val="4"/>
                <w:szCs w:val="4"/>
              </w:rPr>
            </w:pPr>
            <w:r>
              <w:rPr>
                <w:sz w:val="4"/>
                <w:szCs w:val="4"/>
              </w:rPr>
            </w:r>
          </w:p>
        </w:tc>
      </w:tr>
      <w:tr>
        <w:trPr/>
        <w:tc>
          <w:tcPr>
            <w:tcW w:w="6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May 2, 2023</w:t>
            </w:r>
          </w:p>
        </w:tc>
        <w:tc>
          <w:tcPr>
            <w:tcW w:w="50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Christopher Meyer</w:t>
            </w:r>
          </w:p>
        </w:tc>
      </w:tr>
      <w:tr>
        <w:trPr/>
        <w:tc>
          <w:tcPr>
            <w:tcW w:w="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9"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Christopher Meyer</w:t>
            </w:r>
          </w:p>
        </w:tc>
      </w:tr>
      <w:tr>
        <w:trPr/>
        <w:tc>
          <w:tcPr>
            <w:tcW w:w="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Executive Vice President and Chief Financial Officer</w:t>
              <w:br/>
              <w:t>(Principal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32.1</w:t>
      </w:r>
    </w:p>
    <w:p>
      <w:pPr>
        <w:pStyle w:val="TextBody"/>
        <w:spacing w:before="0" w:after="0"/>
        <w:jc w:val="right"/>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PURSUANT TO 18 U.S.C. SECTION 1350, AS ADOPTED PURSUANT TO SECTION 906 OF THE SARBANES-OXLEY ACT OF 2002</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connection with the Quarterly Report of Bloomin’ Brands, Inc. (the “Company”) on Form 10-Q for the quarter ended March 26, 2023 as filed with the Securities and Exchange Commission on the date hereof (the “Report”), I, David J. Deno, Chief Executive Officer of the Company, hereby certify, pursuant to 18 U.S.C. Section 1350, as adopted pursuant to Section 906 of the Sarbanes-Oxley Act of 2002, to the best of my knowledge, that:</w:t>
      </w:r>
    </w:p>
    <w:p>
      <w:pPr>
        <w:pStyle w:val="TextBody"/>
        <w:spacing w:before="0" w:after="0"/>
        <w:rPr/>
      </w:pPr>
      <w:r>
        <w:rPr/>
      </w:r>
    </w:p>
    <w:p>
      <w:pPr>
        <w:pStyle w:val="TextBody"/>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(1)The Report fully complies with the requirements of Section 13(a) or 15(d) of the Securities Exchange Act of 1934; and</w:t>
      </w:r>
    </w:p>
    <w:p>
      <w:pPr>
        <w:pStyle w:val="TextBody"/>
        <w:spacing w:before="0" w:after="0"/>
        <w:jc w:val="both"/>
        <w:rPr/>
      </w:pPr>
      <w:r>
        <w:rPr/>
      </w:r>
    </w:p>
    <w:p>
      <w:pPr>
        <w:pStyle w:val="TextBody"/>
        <w:spacing w:lineRule="auto" w:line="288" w:before="0" w:after="30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(2)The information contained in the Report fairly presents, in all material respects, the financial condition and results of operations of the Company for the dates and periods covered by the Report.</w:t>
      </w:r>
    </w:p>
    <w:tbl>
      <w:tblPr>
        <w:tblW w:w="4754" w:type="dxa"/>
        <w:jc w:val="center"/>
        <w:tblInd w:w="0" w:type="dxa"/>
        <w:tblCellMar>
          <w:top w:w="28" w:type="dxa"/>
          <w:left w:w="28" w:type="dxa"/>
          <w:bottom w:w="28" w:type="dxa"/>
          <w:right w:w="28" w:type="dxa"/>
        </w:tblCellMar>
      </w:tblPr>
      <w:tblGrid>
        <w:gridCol w:w="222"/>
        <w:gridCol w:w="196"/>
        <w:gridCol w:w="197"/>
        <w:gridCol w:w="434"/>
        <w:gridCol w:w="434"/>
        <w:gridCol w:w="436"/>
        <w:gridCol w:w="828"/>
        <w:gridCol w:w="828"/>
        <w:gridCol w:w="1179"/>
      </w:tblGrid>
      <w:tr>
        <w:trPr/>
        <w:tc>
          <w:tcPr>
            <w:tcW w:w="22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1179" w:type="dxa"/>
            <w:tcBorders/>
            <w:shd w:fill="auto" w:val="clear"/>
            <w:vAlign w:val="center"/>
          </w:tcPr>
          <w:p>
            <w:pPr>
              <w:pStyle w:val="TableContents"/>
              <w:spacing w:before="0" w:after="283"/>
              <w:rPr>
                <w:sz w:val="4"/>
                <w:szCs w:val="4"/>
              </w:rPr>
            </w:pPr>
            <w:r>
              <w:rPr>
                <w:sz w:val="4"/>
                <w:szCs w:val="4"/>
              </w:rPr>
            </w:r>
          </w:p>
        </w:tc>
      </w:tr>
      <w:tr>
        <w:trPr/>
        <w:tc>
          <w:tcPr>
            <w:tcW w:w="6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May 2, 2023</w:t>
            </w:r>
          </w:p>
        </w:tc>
        <w:tc>
          <w:tcPr>
            <w:tcW w:w="28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David J. Deno</w:t>
            </w:r>
          </w:p>
        </w:tc>
      </w:tr>
      <w:tr>
        <w:trPr/>
        <w:tc>
          <w:tcPr>
            <w:tcW w:w="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David J. Deno</w:t>
            </w:r>
          </w:p>
        </w:tc>
      </w:tr>
      <w:tr>
        <w:trPr/>
        <w:tc>
          <w:tcPr>
            <w:tcW w:w="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Executive Officer</w:t>
              <w:br/>
              <w:t>(Principal Executive Officer)</w:t>
            </w:r>
          </w:p>
        </w:tc>
      </w:tr>
    </w:tbl>
    <w:p>
      <w:pPr>
        <w:pStyle w:val="TextBody"/>
        <w:spacing w:before="0" w:after="0"/>
        <w:rPr/>
      </w:pPr>
      <w:r>
        <w:rPr/>
      </w:r>
    </w:p>
    <w:p>
      <w:pPr>
        <w:pStyle w:val="TextBody"/>
        <w:spacing w:lineRule="auto" w:line="288"/>
        <w:jc w:val="both"/>
        <w:rPr>
          <w:rFonts w:ascii="Times New Roman;sans-serif" w:hAnsi="Times New Roman;sans-serif"/>
          <w:b w:val="false"/>
          <w:color w:val="000000"/>
          <w:sz w:val="22"/>
        </w:rPr>
      </w:pPr>
      <w:r>
        <w:rPr>
          <w:rFonts w:ascii="Times New Roman;sans-serif" w:hAnsi="Times New Roman;sans-serif"/>
          <w:b w:val="false"/>
          <w:color w:val="000000"/>
          <w:sz w:val="22"/>
        </w:rPr>
        <w:t>A signed original of this written statement required by Section 906 has been provided to, and will be retained by, Bloomin’ Brands, Inc. and furnished to the Securities and Exchange Commission or its staff upon request.</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32.2</w:t>
      </w:r>
    </w:p>
    <w:p>
      <w:pPr>
        <w:pStyle w:val="TextBody"/>
        <w:spacing w:before="0" w:after="0"/>
        <w:jc w:val="right"/>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PURSUANT TO 18 U.S.C. SECTION 1350, AS ADOPTED PURSUANT TO SECTION 906 OF THE SARBANES-OXLEY ACT OF 2002</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connection with the Quarterly Report of Bloomin’ Brands, Inc. (the “Company”) on Form 10-Q for the quarter ended March 26, 2023 as filed with the Securities and Exchange Commission on the date hereof (the “Report”), I, Christopher Meyer, Executive Vice President and Chief Financial Officer of the Company, hereby certify, pursuant to 18 U.S.C. Section 1350, as adopted pursuant to Section 906 of the Sarbanes-Oxley Act of 2002, to the best of my knowledge, that:</w:t>
      </w:r>
    </w:p>
    <w:p>
      <w:pPr>
        <w:pStyle w:val="TextBody"/>
        <w:spacing w:before="0" w:after="0"/>
        <w:rPr/>
      </w:pPr>
      <w:r>
        <w:rPr/>
      </w:r>
    </w:p>
    <w:p>
      <w:pPr>
        <w:pStyle w:val="TextBody"/>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(1)The Report fully complies with the requirements of Section 13(a) or 15(d) of the Securities Exchange Act of 1934; and</w:t>
      </w:r>
    </w:p>
    <w:p>
      <w:pPr>
        <w:pStyle w:val="TextBody"/>
        <w:spacing w:before="0" w:after="0"/>
        <w:jc w:val="both"/>
        <w:rPr/>
      </w:pPr>
      <w:r>
        <w:rPr/>
      </w:r>
    </w:p>
    <w:p>
      <w:pPr>
        <w:pStyle w:val="TextBody"/>
        <w:spacing w:lineRule="auto" w:line="288" w:before="0" w:after="30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(2)The information contained in the Report fairly presents, in all material respects, the financial condition and results of operations of the Company for the dates and periods covered by the Report.</w:t>
      </w:r>
    </w:p>
    <w:tbl>
      <w:tblPr>
        <w:tblW w:w="7018" w:type="dxa"/>
        <w:jc w:val="center"/>
        <w:tblInd w:w="0" w:type="dxa"/>
        <w:tblCellMar>
          <w:top w:w="28" w:type="dxa"/>
          <w:left w:w="28" w:type="dxa"/>
          <w:bottom w:w="28" w:type="dxa"/>
          <w:right w:w="28" w:type="dxa"/>
        </w:tblCellMar>
      </w:tblPr>
      <w:tblGrid>
        <w:gridCol w:w="222"/>
        <w:gridCol w:w="196"/>
        <w:gridCol w:w="197"/>
        <w:gridCol w:w="434"/>
        <w:gridCol w:w="434"/>
        <w:gridCol w:w="436"/>
        <w:gridCol w:w="1493"/>
        <w:gridCol w:w="1493"/>
        <w:gridCol w:w="2113"/>
      </w:tblGrid>
      <w:tr>
        <w:trPr/>
        <w:tc>
          <w:tcPr>
            <w:tcW w:w="22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493" w:type="dxa"/>
            <w:tcBorders/>
            <w:shd w:fill="auto" w:val="clear"/>
            <w:vAlign w:val="center"/>
          </w:tcPr>
          <w:p>
            <w:pPr>
              <w:pStyle w:val="TableContents"/>
              <w:spacing w:before="0" w:after="283"/>
              <w:rPr>
                <w:sz w:val="4"/>
                <w:szCs w:val="4"/>
              </w:rPr>
            </w:pPr>
            <w:r>
              <w:rPr>
                <w:sz w:val="4"/>
                <w:szCs w:val="4"/>
              </w:rPr>
            </w:r>
          </w:p>
        </w:tc>
        <w:tc>
          <w:tcPr>
            <w:tcW w:w="1493" w:type="dxa"/>
            <w:tcBorders/>
            <w:shd w:fill="auto" w:val="clear"/>
            <w:vAlign w:val="center"/>
          </w:tcPr>
          <w:p>
            <w:pPr>
              <w:pStyle w:val="TableContents"/>
              <w:spacing w:before="0" w:after="283"/>
              <w:rPr>
                <w:sz w:val="4"/>
                <w:szCs w:val="4"/>
              </w:rPr>
            </w:pPr>
            <w:r>
              <w:rPr>
                <w:sz w:val="4"/>
                <w:szCs w:val="4"/>
              </w:rPr>
            </w:r>
          </w:p>
        </w:tc>
        <w:tc>
          <w:tcPr>
            <w:tcW w:w="2113" w:type="dxa"/>
            <w:tcBorders/>
            <w:shd w:fill="auto" w:val="clear"/>
            <w:vAlign w:val="center"/>
          </w:tcPr>
          <w:p>
            <w:pPr>
              <w:pStyle w:val="TableContents"/>
              <w:spacing w:before="0" w:after="283"/>
              <w:rPr>
                <w:sz w:val="4"/>
                <w:szCs w:val="4"/>
              </w:rPr>
            </w:pPr>
            <w:r>
              <w:rPr>
                <w:sz w:val="4"/>
                <w:szCs w:val="4"/>
              </w:rPr>
            </w:r>
          </w:p>
        </w:tc>
      </w:tr>
      <w:tr>
        <w:trPr/>
        <w:tc>
          <w:tcPr>
            <w:tcW w:w="6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May 2, 2023</w:t>
            </w:r>
          </w:p>
        </w:tc>
        <w:tc>
          <w:tcPr>
            <w:tcW w:w="50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Christopher Meyer</w:t>
            </w:r>
          </w:p>
        </w:tc>
      </w:tr>
      <w:tr>
        <w:trPr/>
        <w:tc>
          <w:tcPr>
            <w:tcW w:w="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9"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Christopher Meyer</w:t>
            </w:r>
          </w:p>
        </w:tc>
      </w:tr>
      <w:tr>
        <w:trPr/>
        <w:tc>
          <w:tcPr>
            <w:tcW w:w="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Executive Vice President and Chief Financial Officer</w:t>
              <w:br/>
              <w:t>(Principal Financial Officer)</w:t>
            </w:r>
          </w:p>
        </w:tc>
      </w:tr>
    </w:tbl>
    <w:p>
      <w:pPr>
        <w:pStyle w:val="TextBody"/>
        <w:spacing w:before="0" w:after="0"/>
        <w:rPr/>
      </w:pPr>
      <w:r>
        <w:rPr/>
      </w:r>
    </w:p>
    <w:p>
      <w:pPr>
        <w:pStyle w:val="TextBody"/>
        <w:spacing w:lineRule="auto" w:line="288"/>
        <w:jc w:val="both"/>
        <w:rPr>
          <w:rFonts w:ascii="Times New Roman;sans-serif" w:hAnsi="Times New Roman;sans-serif"/>
          <w:b w:val="false"/>
          <w:color w:val="000000"/>
          <w:sz w:val="22"/>
        </w:rPr>
      </w:pPr>
      <w:r>
        <w:rPr>
          <w:rFonts w:ascii="Times New Roman;sans-serif" w:hAnsi="Times New Roman;sans-serif"/>
          <w:b w:val="false"/>
          <w:color w:val="000000"/>
          <w:sz w:val="22"/>
        </w:rPr>
        <w:t>A signed original of this written statement required by Section 906 has been provided to, and will be retained by, Bloomin’ Brands, Inc. and furnished to the Securities and Exchange Commission or its staff upon request.</w:t>
      </w:r>
      <w:r>
        <w:br w:type="page"/>
      </w:r>
    </w:p>
    <w:p>
      <w:pPr>
        <w:pStyle w:val="TextBody"/>
        <w:spacing w:before="0" w:after="283"/>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546417/000162828023012060/blmn-041923_ex31xfifthamen.htm" TargetMode="External"/><Relationship Id="rId4" Type="http://schemas.openxmlformats.org/officeDocument/2006/relationships/hyperlink" Target="http://www.sec.gov/Archives/edgar/data/1546417/000162828023012060/blmn-041923_ex32xfourthame.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13</Pages>
  <Words>16851</Words>
  <CharactersWithSpaces>110060</CharactersWithSpaces>
  <Paragraphs>2963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