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598170</wp:posOffset>
            </wp:positionH>
            <wp:positionV relativeFrom="page">
              <wp:posOffset>367030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318135</wp:posOffset>
            </wp:positionV>
            <wp:extent cx="6805930" cy="3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33020"/>
                    </a:xfrm>
                    <a:prstGeom prst="rect">
                      <a:avLst/>
                    </a:prstGeom>
                    <a:noFill/>
                  </pic:spPr>
                </pic:pic>
              </a:graphicData>
            </a:graphic>
          </wp:anchor>
        </w:drawing>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Washington, D.C. 20549</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10-Q</w:t>
      </w:r>
    </w:p>
    <w:p>
      <w:pPr>
        <w:spacing w:after="0" w:line="137" w:lineRule="exact"/>
        <w:rPr>
          <w:sz w:val="24"/>
          <w:szCs w:val="24"/>
          <w:color w:val="auto"/>
        </w:rPr>
      </w:pPr>
    </w:p>
    <w:p>
      <w:pPr>
        <w:ind w:left="540"/>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p>
    <w:p>
      <w:pPr>
        <w:ind w:left="1680" w:right="660" w:hanging="800"/>
        <w:spacing w:after="0" w:line="190" w:lineRule="auto"/>
        <w:tabs>
          <w:tab w:leader="none" w:pos="1680" w:val="left"/>
        </w:tabs>
        <w:numPr>
          <w:ilvl w:val="0"/>
          <w:numId w:val="1"/>
        </w:numPr>
        <w:rPr>
          <w:rFonts w:ascii="MS PGothic" w:cs="MS PGothic" w:eastAsia="MS PGothic" w:hAnsi="MS PGothic"/>
          <w:sz w:val="31"/>
          <w:szCs w:val="3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 w:lineRule="exact"/>
        <w:rPr>
          <w:rFonts w:ascii="MS PGothic" w:cs="MS PGothic" w:eastAsia="MS PGothic" w:hAnsi="MS PGothic"/>
          <w:sz w:val="31"/>
          <w:szCs w:val="31"/>
          <w:color w:val="auto"/>
        </w:rPr>
      </w:pPr>
    </w:p>
    <w:p>
      <w:pPr>
        <w:ind w:left="1680"/>
        <w:spacing w:after="0"/>
        <w:rPr>
          <w:rFonts w:ascii="MS PGothic" w:cs="MS PGothic" w:eastAsia="MS PGothic" w:hAnsi="MS PGothic"/>
          <w:sz w:val="31"/>
          <w:szCs w:val="31"/>
          <w:color w:val="auto"/>
        </w:rPr>
      </w:pPr>
      <w:r>
        <w:rPr>
          <w:rFonts w:ascii="Arial" w:cs="Arial" w:eastAsia="Arial" w:hAnsi="Arial"/>
          <w:sz w:val="19"/>
          <w:szCs w:val="19"/>
          <w:color w:val="auto"/>
        </w:rPr>
        <w:t>For the quarterly period ended June 27, 2021</w:t>
      </w:r>
    </w:p>
    <w:p>
      <w:pPr>
        <w:spacing w:after="0" w:line="14" w:lineRule="exact"/>
        <w:rPr>
          <w:sz w:val="24"/>
          <w:szCs w:val="24"/>
          <w:color w:val="auto"/>
        </w:rPr>
      </w:pPr>
    </w:p>
    <w:p>
      <w:pPr>
        <w:ind w:left="6160"/>
        <w:spacing w:after="0"/>
        <w:rPr>
          <w:sz w:val="20"/>
          <w:szCs w:val="20"/>
          <w:color w:val="auto"/>
        </w:rPr>
      </w:pPr>
      <w:r>
        <w:rPr>
          <w:rFonts w:ascii="Arial" w:cs="Arial" w:eastAsia="Arial" w:hAnsi="Arial"/>
          <w:sz w:val="19"/>
          <w:szCs w:val="19"/>
          <w:color w:val="auto"/>
        </w:rPr>
        <w:t>or</w:t>
      </w:r>
    </w:p>
    <w:p>
      <w:pPr>
        <w:spacing w:after="0" w:line="6" w:lineRule="exact"/>
        <w:rPr>
          <w:sz w:val="24"/>
          <w:szCs w:val="24"/>
          <w:color w:val="auto"/>
        </w:rPr>
      </w:pPr>
    </w:p>
    <w:p>
      <w:pPr>
        <w:ind w:left="1680" w:right="640" w:hanging="800"/>
        <w:spacing w:after="0" w:line="190" w:lineRule="auto"/>
        <w:tabs>
          <w:tab w:leader="none" w:pos="1680" w:val="left"/>
        </w:tabs>
        <w:numPr>
          <w:ilvl w:val="0"/>
          <w:numId w:val="2"/>
        </w:numPr>
        <w:rPr>
          <w:rFonts w:ascii="MS PGothic" w:cs="MS PGothic" w:eastAsia="MS PGothic" w:hAnsi="MS PGothic"/>
          <w:sz w:val="31"/>
          <w:szCs w:val="3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 w:lineRule="exact"/>
        <w:rPr>
          <w:rFonts w:ascii="MS PGothic" w:cs="MS PGothic" w:eastAsia="MS PGothic" w:hAnsi="MS PGothic"/>
          <w:sz w:val="31"/>
          <w:szCs w:val="31"/>
          <w:color w:val="auto"/>
        </w:rPr>
      </w:pPr>
    </w:p>
    <w:p>
      <w:pPr>
        <w:ind w:left="1680"/>
        <w:spacing w:after="0"/>
        <w:rPr>
          <w:rFonts w:ascii="MS PGothic" w:cs="MS PGothic" w:eastAsia="MS PGothic" w:hAnsi="MS PGothic"/>
          <w:sz w:val="31"/>
          <w:szCs w:val="31"/>
          <w:color w:val="auto"/>
        </w:rPr>
      </w:pPr>
      <w:r>
        <w:rPr>
          <w:rFonts w:ascii="Arial" w:cs="Arial" w:eastAsia="Arial" w:hAnsi="Arial"/>
          <w:sz w:val="19"/>
          <w:szCs w:val="19"/>
          <w:color w:val="auto"/>
        </w:rPr>
        <w:t>For the transition period from ______ to ______</w:t>
      </w:r>
    </w:p>
    <w:p>
      <w:pPr>
        <w:spacing w:after="0" w:line="83"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3161665</wp:posOffset>
            </wp:positionH>
            <wp:positionV relativeFrom="paragraph">
              <wp:posOffset>158750</wp:posOffset>
            </wp:positionV>
            <wp:extent cx="826770" cy="131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6770" cy="1318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59"/>
        <w:spacing w:after="0"/>
        <w:rPr>
          <w:sz w:val="20"/>
          <w:szCs w:val="20"/>
          <w:color w:val="auto"/>
        </w:rPr>
      </w:pPr>
      <w:r>
        <w:rPr>
          <w:rFonts w:ascii="Arial" w:cs="Arial" w:eastAsia="Arial" w:hAnsi="Arial"/>
          <w:sz w:val="41"/>
          <w:szCs w:val="41"/>
          <w:b w:val="1"/>
          <w:bCs w:val="1"/>
          <w:color w:val="auto"/>
        </w:rPr>
        <w:t>BLOOMIN’ BRANDS, INC.</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200"/>
          </w:cols>
          <w:pgMar w:left="320" w:top="890" w:right="379" w:bottom="287" w:gutter="0" w:footer="0" w:header="0"/>
        </w:sectPr>
      </w:pPr>
    </w:p>
    <w:p>
      <w:pPr>
        <w:spacing w:after="0" w:line="106"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Delaware</w:t>
      </w:r>
    </w:p>
    <w:p>
      <w:pPr>
        <w:spacing w:after="0" w:line="40" w:lineRule="exact"/>
        <w:rPr>
          <w:sz w:val="24"/>
          <w:szCs w:val="24"/>
          <w:color w:val="auto"/>
        </w:rPr>
      </w:pPr>
    </w:p>
    <w:p>
      <w:pPr>
        <w:jc w:val="center"/>
        <w:ind w:right="9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1740"/>
        <w:spacing w:after="0"/>
        <w:rPr>
          <w:sz w:val="20"/>
          <w:szCs w:val="20"/>
          <w:color w:val="auto"/>
        </w:rPr>
      </w:pPr>
      <w:r>
        <w:rPr>
          <w:rFonts w:ascii="Arial" w:cs="Arial" w:eastAsia="Arial" w:hAnsi="Arial"/>
          <w:sz w:val="15"/>
          <w:szCs w:val="15"/>
          <w:b w:val="1"/>
          <w:bCs w:val="1"/>
          <w:color w:val="auto"/>
        </w:rPr>
        <w:t>20-8023465</w:t>
      </w:r>
    </w:p>
    <w:p>
      <w:pPr>
        <w:spacing w:after="0" w:line="40" w:lineRule="exact"/>
        <w:rPr>
          <w:sz w:val="24"/>
          <w:szCs w:val="24"/>
          <w:color w:val="auto"/>
        </w:rPr>
      </w:pPr>
    </w:p>
    <w:p>
      <w:pPr>
        <w:jc w:val="center"/>
        <w:ind w:right="1740"/>
        <w:spacing w:after="0"/>
        <w:rPr>
          <w:sz w:val="20"/>
          <w:szCs w:val="20"/>
          <w:color w:val="auto"/>
        </w:rPr>
      </w:pPr>
      <w:r>
        <w:rPr>
          <w:rFonts w:ascii="Arial" w:cs="Arial" w:eastAsia="Arial" w:hAnsi="Arial"/>
          <w:sz w:val="14"/>
          <w:szCs w:val="14"/>
          <w:color w:val="auto"/>
        </w:rPr>
        <w:t>(IRS Employer Identification No.)</w:t>
      </w:r>
    </w:p>
    <w:p>
      <w:pPr>
        <w:spacing w:after="0" w:line="108" w:lineRule="exact"/>
        <w:rPr>
          <w:sz w:val="24"/>
          <w:szCs w:val="24"/>
          <w:color w:val="auto"/>
        </w:rPr>
      </w:pPr>
    </w:p>
    <w:p>
      <w:pPr>
        <w:sectPr>
          <w:pgSz w:w="11900" w:h="16838" w:orient="portrait"/>
          <w:cols w:equalWidth="0" w:num="2">
            <w:col w:w="6620" w:space="720"/>
            <w:col w:w="3860"/>
          </w:cols>
          <w:pgMar w:left="320" w:top="890" w:right="379" w:bottom="287"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2202 North West Shore Boulevard, Suite 500, Tampa, FL 33607</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(813) 282-1225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(Registrant’s telephone number, including area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ectPr>
          <w:pgSz w:w="11900" w:h="16838" w:orient="portrait"/>
          <w:cols w:equalWidth="0" w:num="1">
            <w:col w:w="11200"/>
          </w:cols>
          <w:pgMar w:left="320" w:top="890" w:right="379" w:bottom="287" w:gutter="0" w:footer="0" w:header="0"/>
          <w:type w:val="continuous"/>
        </w:sectPr>
      </w:pPr>
    </w:p>
    <w:p>
      <w:pPr>
        <w:spacing w:after="0" w:line="200" w:lineRule="exact"/>
        <w:rPr>
          <w:sz w:val="24"/>
          <w:szCs w:val="24"/>
          <w:color w:val="auto"/>
        </w:rPr>
      </w:pPr>
    </w:p>
    <w:p>
      <w:pPr>
        <w:spacing w:after="0" w:line="349" w:lineRule="exact"/>
        <w:rPr>
          <w:sz w:val="24"/>
          <w:szCs w:val="24"/>
          <w:color w:val="auto"/>
        </w:rPr>
      </w:pPr>
    </w:p>
    <w:p>
      <w:pPr>
        <w:jc w:val="center"/>
        <w:ind w:left="1200"/>
        <w:spacing w:after="0"/>
        <w:rPr>
          <w:sz w:val="20"/>
          <w:szCs w:val="20"/>
          <w:color w:val="auto"/>
        </w:rPr>
      </w:pPr>
      <w:r>
        <w:rPr>
          <w:rFonts w:ascii="Arial" w:cs="Arial" w:eastAsia="Arial" w:hAnsi="Arial"/>
          <w:sz w:val="15"/>
          <w:szCs w:val="15"/>
          <w:color w:val="auto"/>
        </w:rPr>
        <w:t>Title of each class</w:t>
      </w:r>
    </w:p>
    <w:p>
      <w:pPr>
        <w:spacing w:after="0" w:line="28" w:lineRule="exact"/>
        <w:rPr>
          <w:sz w:val="24"/>
          <w:szCs w:val="24"/>
          <w:color w:val="auto"/>
        </w:rPr>
      </w:pPr>
    </w:p>
    <w:p>
      <w:pPr>
        <w:jc w:val="center"/>
        <w:ind w:left="1160"/>
        <w:spacing w:after="0"/>
        <w:rPr>
          <w:sz w:val="20"/>
          <w:szCs w:val="20"/>
          <w:color w:val="auto"/>
        </w:rPr>
      </w:pPr>
      <w:r>
        <w:rPr>
          <w:rFonts w:ascii="Arial" w:cs="Arial" w:eastAsia="Arial" w:hAnsi="Arial"/>
          <w:sz w:val="13"/>
          <w:szCs w:val="13"/>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48" w:lineRule="exact"/>
        <w:rPr>
          <w:sz w:val="24"/>
          <w:szCs w:val="24"/>
          <w:color w:val="auto"/>
        </w:rPr>
      </w:pPr>
    </w:p>
    <w:p>
      <w:pPr>
        <w:ind w:left="1340"/>
        <w:spacing w:after="0"/>
        <w:rPr>
          <w:sz w:val="20"/>
          <w:szCs w:val="20"/>
          <w:color w:val="auto"/>
        </w:rPr>
      </w:pPr>
      <w:r>
        <w:rPr>
          <w:rFonts w:ascii="Arial" w:cs="Arial" w:eastAsia="Arial" w:hAnsi="Arial"/>
          <w:sz w:val="15"/>
          <w:szCs w:val="15"/>
          <w:color w:val="auto"/>
        </w:rPr>
        <w:t>Trading Symbol(s)</w:t>
      </w:r>
    </w:p>
    <w:p>
      <w:pPr>
        <w:spacing w:after="0" w:line="28" w:lineRule="exact"/>
        <w:rPr>
          <w:sz w:val="24"/>
          <w:szCs w:val="24"/>
          <w:color w:val="auto"/>
        </w:rPr>
      </w:pPr>
    </w:p>
    <w:p>
      <w:pPr>
        <w:ind w:left="1700"/>
        <w:spacing w:after="0"/>
        <w:rPr>
          <w:sz w:val="20"/>
          <w:szCs w:val="20"/>
          <w:color w:val="auto"/>
        </w:rPr>
      </w:pPr>
      <w:r>
        <w:rPr>
          <w:rFonts w:ascii="Arial" w:cs="Arial" w:eastAsia="Arial" w:hAnsi="Arial"/>
          <w:sz w:val="15"/>
          <w:szCs w:val="15"/>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9" w:lineRule="exact"/>
        <w:rPr>
          <w:sz w:val="24"/>
          <w:szCs w:val="24"/>
          <w:color w:val="auto"/>
        </w:rPr>
      </w:pPr>
    </w:p>
    <w:p>
      <w:pPr>
        <w:jc w:val="center"/>
        <w:ind w:right="640"/>
        <w:spacing w:after="0" w:line="267" w:lineRule="auto"/>
        <w:rPr>
          <w:sz w:val="20"/>
          <w:szCs w:val="20"/>
          <w:color w:val="auto"/>
        </w:rPr>
      </w:pPr>
      <w:r>
        <w:rPr>
          <w:rFonts w:ascii="Arial" w:cs="Arial" w:eastAsia="Arial" w:hAnsi="Arial"/>
          <w:sz w:val="15"/>
          <w:szCs w:val="15"/>
          <w:color w:val="auto"/>
        </w:rPr>
        <w:t xml:space="preserve">Name of each exchange on which registered </w:t>
      </w:r>
      <w:r>
        <w:rPr>
          <w:rFonts w:ascii="Arial" w:cs="Arial" w:eastAsia="Arial" w:hAnsi="Arial"/>
          <w:sz w:val="15"/>
          <w:szCs w:val="15"/>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3220" w:space="620"/>
            <w:col w:w="3560" w:space="420"/>
            <w:col w:w="3380"/>
          </w:cols>
          <w:pgMar w:left="320" w:top="890" w:right="379" w:bottom="287" w:gutter="0" w:footer="0" w:header="0"/>
          <w:type w:val="continuous"/>
        </w:sectPr>
      </w:pPr>
    </w:p>
    <w:p>
      <w:pPr>
        <w:spacing w:after="0" w:line="84" w:lineRule="exact"/>
        <w:rPr>
          <w:sz w:val="24"/>
          <w:szCs w:val="24"/>
          <w:color w:val="auto"/>
        </w:rPr>
      </w:pPr>
    </w:p>
    <w:p>
      <w:pPr>
        <w:spacing w:after="0" w:line="29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276" w:lineRule="exact"/>
        <w:rPr>
          <w:sz w:val="20"/>
          <w:szCs w:val="20"/>
          <w:color w:val="auto"/>
        </w:rPr>
      </w:pPr>
      <w:r>
        <w:rPr>
          <w:rFonts w:ascii="Arial" w:cs="Arial" w:eastAsia="Arial" w:hAnsi="Arial"/>
          <w:sz w:val="17"/>
          <w:szCs w:val="17"/>
          <w:color w:val="auto"/>
        </w:rPr>
        <w:t xml:space="preserve">past 90 days. Yes </w:t>
      </w:r>
      <w:r>
        <w:rPr>
          <w:rFonts w:ascii="MS PGothic" w:cs="MS PGothic" w:eastAsia="MS PGothic" w:hAnsi="MS PGothic"/>
          <w:sz w:val="24"/>
          <w:szCs w:val="24"/>
          <w:color w:val="auto"/>
        </w:rPr>
        <w:t>☒</w:t>
      </w:r>
      <w:r>
        <w:rPr>
          <w:rFonts w:ascii="Arial" w:cs="Arial" w:eastAsia="Arial" w:hAnsi="Arial"/>
          <w:sz w:val="17"/>
          <w:szCs w:val="17"/>
          <w:color w:val="auto"/>
        </w:rPr>
        <w:t xml:space="preserve"> No </w:t>
      </w:r>
      <w:r>
        <w:rPr>
          <w:rFonts w:ascii="MS PGothic" w:cs="MS PGothic" w:eastAsia="MS PGothic" w:hAnsi="MS PGothic"/>
          <w:sz w:val="24"/>
          <w:szCs w:val="24"/>
          <w:color w:val="auto"/>
        </w:rPr>
        <w:t>☐</w:t>
      </w:r>
    </w:p>
    <w:p>
      <w:pPr>
        <w:spacing w:after="0" w:line="231" w:lineRule="exact"/>
        <w:rPr>
          <w:sz w:val="24"/>
          <w:szCs w:val="24"/>
          <w:color w:val="auto"/>
        </w:rPr>
      </w:pPr>
    </w:p>
    <w:p>
      <w:pPr>
        <w:ind w:right="20"/>
        <w:spacing w:after="0" w:line="26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5"/>
          <w:szCs w:val="15"/>
          <w:color w:val="auto"/>
        </w:rPr>
        <w:t xml:space="preserve"> No </w:t>
      </w:r>
      <w:r>
        <w:rPr>
          <w:rFonts w:ascii="MS PGothic" w:cs="MS PGothic" w:eastAsia="MS PGothic" w:hAnsi="MS PGothic"/>
          <w:sz w:val="21"/>
          <w:szCs w:val="21"/>
          <w:color w:val="auto"/>
        </w:rPr>
        <w:t>☐</w:t>
      </w:r>
    </w:p>
    <w:p>
      <w:pPr>
        <w:spacing w:after="0" w:line="187" w:lineRule="exact"/>
        <w:rPr>
          <w:sz w:val="24"/>
          <w:szCs w:val="24"/>
          <w:color w:val="auto"/>
        </w:rPr>
      </w:pPr>
    </w:p>
    <w:p>
      <w:pPr>
        <w:jc w:val="both"/>
        <w:ind w:right="4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p>
      <w:pPr>
        <w:jc w:val="center"/>
        <w:ind w:right="-59"/>
        <w:spacing w:after="0" w:line="27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4"/>
          <w:szCs w:val="24"/>
          <w:color w:val="auto"/>
        </w:rPr>
        <w:t>☒</w:t>
      </w:r>
      <w:r>
        <w:rPr>
          <w:rFonts w:ascii="Arial" w:cs="Arial" w:eastAsia="Arial" w:hAnsi="Arial"/>
          <w:sz w:val="17"/>
          <w:szCs w:val="17"/>
          <w:color w:val="auto"/>
        </w:rPr>
        <w:t xml:space="preserve"> Accelerated filer </w:t>
      </w:r>
      <w:r>
        <w:rPr>
          <w:rFonts w:ascii="MS PGothic" w:cs="MS PGothic" w:eastAsia="MS PGothic" w:hAnsi="MS PGothic"/>
          <w:sz w:val="24"/>
          <w:szCs w:val="24"/>
          <w:color w:val="auto"/>
        </w:rPr>
        <w:t>☐</w:t>
      </w:r>
      <w:r>
        <w:rPr>
          <w:rFonts w:ascii="Arial" w:cs="Arial" w:eastAsia="Arial" w:hAnsi="Arial"/>
          <w:sz w:val="17"/>
          <w:szCs w:val="17"/>
          <w:color w:val="auto"/>
        </w:rPr>
        <w:t xml:space="preserve"> Non-accelerated filer </w:t>
      </w:r>
      <w:r>
        <w:rPr>
          <w:rFonts w:ascii="MS PGothic" w:cs="MS PGothic" w:eastAsia="MS PGothic" w:hAnsi="MS PGothic"/>
          <w:sz w:val="24"/>
          <w:szCs w:val="24"/>
          <w:color w:val="auto"/>
        </w:rPr>
        <w:t>☐</w:t>
      </w:r>
    </w:p>
    <w:p>
      <w:pPr>
        <w:spacing w:after="0" w:line="64" w:lineRule="exact"/>
        <w:rPr>
          <w:sz w:val="24"/>
          <w:szCs w:val="24"/>
          <w:color w:val="auto"/>
        </w:rPr>
      </w:pPr>
    </w:p>
    <w:p>
      <w:pPr>
        <w:jc w:val="center"/>
        <w:ind w:right="-59"/>
        <w:spacing w:after="0" w:line="2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24"/>
          <w:szCs w:val="24"/>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24"/>
          <w:szCs w:val="24"/>
          <w:color w:val="auto"/>
        </w:rPr>
        <w:t>☐</w:t>
      </w:r>
    </w:p>
    <w:p>
      <w:pPr>
        <w:spacing w:after="0" w:line="231" w:lineRule="exact"/>
        <w:rPr>
          <w:sz w:val="24"/>
          <w:szCs w:val="24"/>
          <w:color w:val="auto"/>
        </w:rPr>
      </w:pPr>
    </w:p>
    <w:p>
      <w:pPr>
        <w:ind w:right="440"/>
        <w:spacing w:after="0" w:line="26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4"/>
          <w:szCs w:val="24"/>
          <w:color w:val="auto"/>
        </w:rPr>
        <w:t>☐</w:t>
      </w:r>
    </w:p>
    <w:p>
      <w:pPr>
        <w:spacing w:after="0" w:line="140" w:lineRule="exact"/>
        <w:rPr>
          <w:sz w:val="24"/>
          <w:szCs w:val="24"/>
          <w:color w:val="auto"/>
        </w:rPr>
      </w:pPr>
    </w:p>
    <w:p>
      <w:pPr>
        <w:spacing w:after="0" w:line="27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4"/>
          <w:szCs w:val="24"/>
          <w:color w:val="auto"/>
        </w:rPr>
        <w:t>☐</w:t>
      </w:r>
      <w:r>
        <w:rPr>
          <w:rFonts w:ascii="Arial" w:cs="Arial" w:eastAsia="Arial" w:hAnsi="Arial"/>
          <w:sz w:val="17"/>
          <w:szCs w:val="17"/>
          <w:color w:val="auto"/>
        </w:rPr>
        <w:t xml:space="preserve"> No </w:t>
      </w:r>
      <w:r>
        <w:rPr>
          <w:rFonts w:ascii="MS PGothic" w:cs="MS PGothic" w:eastAsia="MS PGothic" w:hAnsi="MS PGothic"/>
          <w:sz w:val="24"/>
          <w:szCs w:val="24"/>
          <w:color w:val="auto"/>
        </w:rPr>
        <w:t>☒</w:t>
      </w:r>
    </w:p>
    <w:p>
      <w:pPr>
        <w:spacing w:after="0" w:line="287" w:lineRule="exact"/>
        <w:rPr>
          <w:sz w:val="24"/>
          <w:szCs w:val="24"/>
          <w:color w:val="auto"/>
        </w:rPr>
      </w:pPr>
    </w:p>
    <w:p>
      <w:pPr>
        <w:spacing w:after="0"/>
        <w:rPr>
          <w:sz w:val="20"/>
          <w:szCs w:val="20"/>
          <w:color w:val="auto"/>
        </w:rPr>
      </w:pPr>
      <w:r>
        <w:rPr>
          <w:rFonts w:ascii="Arial" w:cs="Arial" w:eastAsia="Arial" w:hAnsi="Arial"/>
          <w:sz w:val="17"/>
          <w:szCs w:val="17"/>
          <w:color w:val="auto"/>
        </w:rPr>
        <w:t>As of August 2, 2021, 89,224,282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247650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104775</wp:posOffset>
            </wp:positionV>
            <wp:extent cx="713867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88265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890" w:right="379" w:bottom="287" w:gutter="0" w:footer="0" w:header="0"/>
          <w:type w:val="continuous"/>
        </w:sectPr>
      </w:pPr>
    </w:p>
    <w:bookmarkStart w:id="1" w:name="page2"/>
    <w:bookmarkEnd w:id="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66"/>
        </w:trPr>
        <w:tc>
          <w:tcPr>
            <w:tcW w:w="980" w:type="dxa"/>
            <w:vAlign w:val="bottom"/>
            <w:tcBorders>
              <w:top w:val="single" w:sz="8" w:color="0000FF"/>
            </w:tcBorders>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720" w:type="dxa"/>
            <w:vAlign w:val="bottom"/>
            <w:gridSpan w:val="13"/>
          </w:tcPr>
          <w:p>
            <w:pPr>
              <w:jc w:val="center"/>
              <w:ind w:right="2320"/>
              <w:spacing w:after="0"/>
              <w:rPr>
                <w:sz w:val="20"/>
                <w:szCs w:val="20"/>
                <w:color w:val="auto"/>
              </w:rPr>
            </w:pPr>
            <w:r>
              <w:rPr>
                <w:rFonts w:ascii="Arial" w:cs="Arial" w:eastAsia="Arial" w:hAnsi="Arial"/>
                <w:sz w:val="19"/>
                <w:szCs w:val="19"/>
                <w:b w:val="1"/>
                <w:bCs w:val="1"/>
                <w:color w:val="auto"/>
              </w:rPr>
              <w:t>BLOOMIN’ BRANDS, INC.</w:t>
            </w: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8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60" w:type="dxa"/>
            <w:vAlign w:val="bottom"/>
            <w:gridSpan w:val="17"/>
          </w:tcPr>
          <w:p>
            <w:pPr>
              <w:jc w:val="center"/>
              <w:ind w:right="1360"/>
              <w:spacing w:after="0"/>
              <w:rPr>
                <w:sz w:val="20"/>
                <w:szCs w:val="20"/>
                <w:color w:val="auto"/>
              </w:rPr>
            </w:pPr>
            <w:r>
              <w:rPr>
                <w:rFonts w:ascii="Arial" w:cs="Arial" w:eastAsia="Arial" w:hAnsi="Arial"/>
                <w:sz w:val="19"/>
                <w:szCs w:val="19"/>
                <w:color w:val="auto"/>
                <w:w w:val="94"/>
              </w:rPr>
              <w:t>INDEX TO QUARTERLY REPORT ON FORM 10-Q</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80" w:type="dxa"/>
            <w:vAlign w:val="bottom"/>
            <w:gridSpan w:val="15"/>
          </w:tcPr>
          <w:p>
            <w:pPr>
              <w:jc w:val="center"/>
              <w:ind w:right="2160"/>
              <w:spacing w:after="0"/>
              <w:rPr>
                <w:sz w:val="20"/>
                <w:szCs w:val="20"/>
                <w:color w:val="auto"/>
              </w:rPr>
            </w:pPr>
            <w:r>
              <w:rPr>
                <w:rFonts w:ascii="Arial" w:cs="Arial" w:eastAsia="Arial" w:hAnsi="Arial"/>
                <w:sz w:val="19"/>
                <w:szCs w:val="19"/>
                <w:color w:val="auto"/>
                <w:w w:val="89"/>
              </w:rPr>
              <w:t>For the Quarterly Period Ended June 27, 2021</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0"/>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12"/>
          </w:tcPr>
          <w:p>
            <w:pPr>
              <w:jc w:val="center"/>
              <w:ind w:right="3140"/>
              <w:spacing w:after="0"/>
              <w:rPr>
                <w:sz w:val="20"/>
                <w:szCs w:val="20"/>
                <w:color w:val="auto"/>
              </w:rPr>
            </w:pPr>
            <w:r>
              <w:rPr>
                <w:rFonts w:ascii="Arial" w:cs="Arial" w:eastAsia="Arial" w:hAnsi="Arial"/>
                <w:sz w:val="19"/>
                <w:szCs w:val="19"/>
                <w:color w:val="auto"/>
                <w:w w:val="92"/>
              </w:rPr>
              <w:t>(Unaudited)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51"/>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3"/>
          </w:tcPr>
          <w:p>
            <w:pPr>
              <w:jc w:val="center"/>
              <w:ind w:right="2320"/>
              <w:spacing w:after="0"/>
              <w:rPr>
                <w:sz w:val="20"/>
                <w:szCs w:val="20"/>
                <w:color w:val="auto"/>
              </w:rPr>
            </w:pPr>
            <w:r>
              <w:rPr>
                <w:rFonts w:ascii="Arial" w:cs="Arial" w:eastAsia="Arial" w:hAnsi="Arial"/>
                <w:sz w:val="19"/>
                <w:szCs w:val="19"/>
                <w:color w:val="auto"/>
                <w:w w:val="95"/>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7"/>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15"/>
          </w:tcPr>
          <w:p>
            <w:pPr>
              <w:jc w:val="center"/>
              <w:ind w:right="2660"/>
              <w:spacing w:after="0"/>
              <w:rPr>
                <w:rFonts w:ascii="Arial" w:cs="Arial" w:eastAsia="Arial" w:hAnsi="Arial"/>
                <w:sz w:val="19"/>
                <w:szCs w:val="19"/>
                <w:color w:val="0000FF"/>
                <w:w w:val="98"/>
              </w:rPr>
            </w:pPr>
            <w:hyperlink w:anchor="page2">
              <w:r>
                <w:rPr>
                  <w:rFonts w:ascii="Arial" w:cs="Arial" w:eastAsia="Arial" w:hAnsi="Arial"/>
                  <w:sz w:val="19"/>
                  <w:szCs w:val="19"/>
                  <w:color w:val="0000FF"/>
                  <w:w w:val="98"/>
                </w:rPr>
                <w:t>PART I — FINANCIAL INFORMATION</w:t>
              </w:r>
            </w:hyperlink>
          </w:p>
        </w:tc>
        <w:tc>
          <w:tcPr>
            <w:tcW w:w="1600" w:type="dxa"/>
            <w:vAlign w:val="bottom"/>
            <w:gridSpan w:val="5"/>
          </w:tcPr>
          <w:p>
            <w:pPr>
              <w:ind w:left="460"/>
              <w:spacing w:after="0"/>
              <w:rPr>
                <w:sz w:val="20"/>
                <w:szCs w:val="20"/>
                <w:color w:val="auto"/>
              </w:rPr>
            </w:pPr>
            <w:r>
              <w:rPr>
                <w:rFonts w:ascii="Arial" w:cs="Arial" w:eastAsia="Arial" w:hAnsi="Arial"/>
                <w:sz w:val="19"/>
                <w:szCs w:val="19"/>
                <w:color w:val="auto"/>
              </w:rPr>
              <w:t>Page No.</w:t>
            </w:r>
          </w:p>
        </w:tc>
      </w:tr>
      <w:tr>
        <w:trPr>
          <w:trHeight w:val="24"/>
        </w:trPr>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2"/>
        </w:trPr>
        <w:tc>
          <w:tcPr>
            <w:tcW w:w="980" w:type="dxa"/>
            <w:vAlign w:val="bottom"/>
          </w:tcPr>
          <w:p>
            <w:pPr>
              <w:ind w:left="20"/>
              <w:spacing w:after="0"/>
              <w:rPr>
                <w:sz w:val="20"/>
                <w:szCs w:val="20"/>
                <w:color w:val="auto"/>
              </w:rPr>
            </w:pPr>
            <w:r>
              <w:rPr>
                <w:rFonts w:ascii="Arial" w:cs="Arial" w:eastAsia="Arial" w:hAnsi="Arial"/>
                <w:sz w:val="19"/>
                <w:szCs w:val="19"/>
                <w:color w:val="auto"/>
              </w:rPr>
              <w:t>Item 1.</w:t>
            </w:r>
          </w:p>
        </w:tc>
        <w:tc>
          <w:tcPr>
            <w:tcW w:w="140" w:type="dxa"/>
            <w:vAlign w:val="bottom"/>
          </w:tcPr>
          <w:p>
            <w:pPr>
              <w:spacing w:after="0"/>
              <w:rPr>
                <w:sz w:val="20"/>
                <w:szCs w:val="20"/>
                <w:color w:val="auto"/>
              </w:rPr>
            </w:pPr>
          </w:p>
        </w:tc>
        <w:tc>
          <w:tcPr>
            <w:tcW w:w="8520" w:type="dxa"/>
            <w:vAlign w:val="bottom"/>
            <w:gridSpan w:val="25"/>
          </w:tcPr>
          <w:p>
            <w:pPr>
              <w:spacing w:after="0"/>
              <w:rPr>
                <w:rFonts w:ascii="Arial" w:cs="Arial" w:eastAsia="Arial" w:hAnsi="Arial"/>
                <w:sz w:val="19"/>
                <w:szCs w:val="19"/>
                <w:color w:val="0000FF"/>
              </w:rPr>
            </w:pPr>
            <w:hyperlink w:anchor="page3">
              <w:r>
                <w:rPr>
                  <w:rFonts w:ascii="Arial" w:cs="Arial" w:eastAsia="Arial" w:hAnsi="Arial"/>
                  <w:sz w:val="19"/>
                  <w:szCs w:val="19"/>
                  <w:color w:val="0000FF"/>
                </w:rPr>
                <w:t>Financial Statements (Unaudited)</w:t>
              </w:r>
            </w:hyperlink>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3</w:t>
              </w:r>
            </w:hyperlink>
          </w:p>
        </w:tc>
        <w:tc>
          <w:tcPr>
            <w:tcW w:w="700" w:type="dxa"/>
            <w:vAlign w:val="bottom"/>
          </w:tcPr>
          <w:p>
            <w:pPr>
              <w:spacing w:after="0"/>
              <w:rPr>
                <w:sz w:val="20"/>
                <w:szCs w:val="20"/>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5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gridSpan w:val="24"/>
          </w:tcPr>
          <w:p>
            <w:pPr>
              <w:ind w:left="100"/>
              <w:spacing w:after="0"/>
              <w:rPr>
                <w:rFonts w:ascii="Arial" w:cs="Arial" w:eastAsia="Arial" w:hAnsi="Arial"/>
                <w:sz w:val="19"/>
                <w:szCs w:val="19"/>
                <w:color w:val="0000FF"/>
              </w:rPr>
            </w:pPr>
            <w:hyperlink w:anchor="page3">
              <w:r>
                <w:rPr>
                  <w:rFonts w:ascii="Arial" w:cs="Arial" w:eastAsia="Arial" w:hAnsi="Arial"/>
                  <w:sz w:val="19"/>
                  <w:szCs w:val="19"/>
                  <w:color w:val="0000FF"/>
                </w:rPr>
                <w:t>Consolidated Financial Statements:</w:t>
              </w:r>
            </w:hyperlink>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9"/>
                <w:szCs w:val="19"/>
                <w:color w:val="0000FF"/>
                <w:w w:val="88"/>
              </w:rPr>
            </w:pPr>
            <w:hyperlink w:anchor="page3">
              <w:r>
                <w:rPr>
                  <w:rFonts w:ascii="Arial" w:cs="Arial" w:eastAsia="Arial" w:hAnsi="Arial"/>
                  <w:sz w:val="19"/>
                  <w:szCs w:val="19"/>
                  <w:color w:val="0000FF"/>
                  <w:w w:val="88"/>
                </w:rPr>
                <w:t xml:space="preserve">Consolidated Balance Sheets — </w:t>
              </w:r>
            </w:hyperlink>
            <w:r>
              <w:rPr>
                <w:rFonts w:ascii="Arial" w:cs="Arial" w:eastAsia="Arial" w:hAnsi="Arial"/>
                <w:sz w:val="19"/>
                <w:szCs w:val="19"/>
                <w:color w:val="0000FF"/>
                <w:w w:val="88"/>
              </w:rPr>
              <w:t xml:space="preserve">June 27, </w:t>
            </w:r>
            <w:hyperlink w:anchor="page3">
              <w:r>
                <w:rPr>
                  <w:rFonts w:ascii="Arial" w:cs="Arial" w:eastAsia="Arial" w:hAnsi="Arial"/>
                  <w:sz w:val="19"/>
                  <w:szCs w:val="19"/>
                  <w:color w:val="0000FF"/>
                  <w:w w:val="88"/>
                </w:rPr>
                <w:t>2021 and December 27, 2020</w:t>
              </w:r>
            </w:hyperlink>
          </w:p>
        </w:tc>
        <w:tc>
          <w:tcPr>
            <w:tcW w:w="2820" w:type="dxa"/>
            <w:vAlign w:val="bottom"/>
            <w:gridSpan w:val="6"/>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3</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gridSpan w:val="18"/>
          </w:tcPr>
          <w:p>
            <w:pPr>
              <w:spacing w:after="0"/>
              <w:rPr>
                <w:rFonts w:ascii="Arial" w:cs="Arial" w:eastAsia="Arial" w:hAnsi="Arial"/>
                <w:sz w:val="19"/>
                <w:szCs w:val="19"/>
                <w:color w:val="0000FF"/>
                <w:w w:val="89"/>
              </w:rPr>
            </w:pPr>
            <w:hyperlink w:anchor="page3">
              <w:r>
                <w:rPr>
                  <w:rFonts w:ascii="Arial" w:cs="Arial" w:eastAsia="Arial" w:hAnsi="Arial"/>
                  <w:sz w:val="19"/>
                  <w:szCs w:val="19"/>
                  <w:color w:val="0000FF"/>
                  <w:w w:val="89"/>
                </w:rPr>
                <w:t>Consolidated Statements of Operations and Comprehensive Income (Loss) —</w:t>
              </w:r>
            </w:hyperlink>
          </w:p>
        </w:tc>
        <w:tc>
          <w:tcPr>
            <w:tcW w:w="2320" w:type="dxa"/>
            <w:vAlign w:val="bottom"/>
            <w:gridSpan w:val="4"/>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4</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0"/>
        </w:trPr>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100" w:type="dxa"/>
            <w:vAlign w:val="bottom"/>
            <w:tcBorders>
              <w:bottom w:val="single" w:sz="8" w:color="0000FF"/>
            </w:tcBorders>
            <w:gridSpan w:val="20"/>
          </w:tcPr>
          <w:p>
            <w:pPr>
              <w:spacing w:after="0" w:line="141" w:lineRule="exact"/>
              <w:rPr>
                <w:rFonts w:ascii="Arial" w:cs="Arial" w:eastAsia="Arial" w:hAnsi="Arial"/>
                <w:sz w:val="16"/>
                <w:szCs w:val="16"/>
                <w:color w:val="0000FF"/>
              </w:rPr>
            </w:pPr>
            <w:hyperlink w:anchor="page3">
              <w:r>
                <w:rPr>
                  <w:rFonts w:ascii="Arial" w:cs="Arial" w:eastAsia="Arial" w:hAnsi="Arial"/>
                  <w:sz w:val="16"/>
                  <w:szCs w:val="16"/>
                  <w:color w:val="0000FF"/>
                </w:rPr>
                <w:t xml:space="preserve">For the Thirteen and Twenty-Six Weeks Ended </w:t>
              </w:r>
            </w:hyperlink>
            <w:r>
              <w:rPr>
                <w:rFonts w:ascii="Arial" w:cs="Arial" w:eastAsia="Arial" w:hAnsi="Arial"/>
                <w:sz w:val="16"/>
                <w:szCs w:val="16"/>
                <w:color w:val="0000FF"/>
              </w:rPr>
              <w:t xml:space="preserve">June 27, </w:t>
            </w:r>
            <w:hyperlink w:anchor="page3">
              <w:r>
                <w:rPr>
                  <w:rFonts w:ascii="Arial" w:cs="Arial" w:eastAsia="Arial" w:hAnsi="Arial"/>
                  <w:sz w:val="16"/>
                  <w:szCs w:val="16"/>
                  <w:color w:val="0000FF"/>
                </w:rPr>
                <w:t xml:space="preserve">2021 and June </w:t>
              </w:r>
            </w:hyperlink>
            <w:r>
              <w:rPr>
                <w:rFonts w:ascii="Arial" w:cs="Arial" w:eastAsia="Arial" w:hAnsi="Arial"/>
                <w:sz w:val="16"/>
                <w:szCs w:val="16"/>
                <w:color w:val="0000FF"/>
              </w:rPr>
              <w:t>28, 2020</w:t>
            </w:r>
          </w:p>
        </w:tc>
        <w:tc>
          <w:tcPr>
            <w:tcW w:w="212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13"/>
          </w:tcPr>
          <w:p>
            <w:pPr>
              <w:spacing w:after="0"/>
              <w:rPr>
                <w:rFonts w:ascii="Arial" w:cs="Arial" w:eastAsia="Arial" w:hAnsi="Arial"/>
                <w:sz w:val="19"/>
                <w:szCs w:val="19"/>
                <w:color w:val="0000FF"/>
                <w:w w:val="90"/>
              </w:rPr>
            </w:pPr>
            <w:hyperlink w:anchor="page4">
              <w:r>
                <w:rPr>
                  <w:rFonts w:ascii="Arial" w:cs="Arial" w:eastAsia="Arial" w:hAnsi="Arial"/>
                  <w:sz w:val="19"/>
                  <w:szCs w:val="19"/>
                  <w:color w:val="0000FF"/>
                  <w:w w:val="90"/>
                </w:rPr>
                <w:t>Consolidated Statements of Changes in Stockholders’ Equity —</w:t>
              </w:r>
            </w:hyperlink>
          </w:p>
        </w:tc>
        <w:tc>
          <w:tcPr>
            <w:tcW w:w="3360" w:type="dxa"/>
            <w:vAlign w:val="bottom"/>
            <w:gridSpan w:val="9"/>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4">
              <w:r>
                <w:rPr>
                  <w:rFonts w:ascii="Arial" w:cs="Arial" w:eastAsia="Arial" w:hAnsi="Arial"/>
                  <w:sz w:val="19"/>
                  <w:szCs w:val="19"/>
                  <w:color w:val="0000FF"/>
                  <w:w w:val="94"/>
                </w:rPr>
                <w:t>5</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0"/>
        </w:trPr>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80" w:type="dxa"/>
            <w:vAlign w:val="bottom"/>
            <w:tcBorders>
              <w:bottom w:val="single" w:sz="8" w:color="0000FF"/>
            </w:tcBorders>
            <w:gridSpan w:val="19"/>
          </w:tcPr>
          <w:p>
            <w:pPr>
              <w:spacing w:after="0" w:line="141" w:lineRule="exact"/>
              <w:rPr>
                <w:rFonts w:ascii="Arial" w:cs="Arial" w:eastAsia="Arial" w:hAnsi="Arial"/>
                <w:sz w:val="16"/>
                <w:szCs w:val="16"/>
                <w:color w:val="0000FF"/>
              </w:rPr>
            </w:pPr>
            <w:hyperlink w:anchor="page4">
              <w:r>
                <w:rPr>
                  <w:rFonts w:ascii="Arial" w:cs="Arial" w:eastAsia="Arial" w:hAnsi="Arial"/>
                  <w:sz w:val="16"/>
                  <w:szCs w:val="16"/>
                  <w:color w:val="0000FF"/>
                </w:rPr>
                <w:t xml:space="preserve">For the Thirteen and Twenty-Six Weeks Ended </w:t>
              </w:r>
            </w:hyperlink>
            <w:r>
              <w:rPr>
                <w:rFonts w:ascii="Arial" w:cs="Arial" w:eastAsia="Arial" w:hAnsi="Arial"/>
                <w:sz w:val="16"/>
                <w:szCs w:val="16"/>
                <w:color w:val="0000FF"/>
              </w:rPr>
              <w:t xml:space="preserve">June 27, </w:t>
            </w:r>
            <w:hyperlink w:anchor="page4">
              <w:r>
                <w:rPr>
                  <w:rFonts w:ascii="Arial" w:cs="Arial" w:eastAsia="Arial" w:hAnsi="Arial"/>
                  <w:sz w:val="16"/>
                  <w:szCs w:val="16"/>
                  <w:color w:val="0000FF"/>
                </w:rPr>
                <w:t xml:space="preserve">2021 and June </w:t>
              </w:r>
            </w:hyperlink>
            <w:r>
              <w:rPr>
                <w:rFonts w:ascii="Arial" w:cs="Arial" w:eastAsia="Arial" w:hAnsi="Arial"/>
                <w:sz w:val="16"/>
                <w:szCs w:val="16"/>
                <w:color w:val="0000FF"/>
              </w:rPr>
              <w:t>28, 2020</w:t>
            </w:r>
          </w:p>
        </w:tc>
        <w:tc>
          <w:tcPr>
            <w:tcW w:w="214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2"/>
          </w:tcPr>
          <w:p>
            <w:pPr>
              <w:spacing w:after="0"/>
              <w:rPr>
                <w:rFonts w:ascii="Arial" w:cs="Arial" w:eastAsia="Arial" w:hAnsi="Arial"/>
                <w:sz w:val="19"/>
                <w:szCs w:val="19"/>
                <w:color w:val="0000FF"/>
              </w:rPr>
            </w:pPr>
            <w:hyperlink w:anchor="page6">
              <w:r>
                <w:rPr>
                  <w:rFonts w:ascii="Arial" w:cs="Arial" w:eastAsia="Arial" w:hAnsi="Arial"/>
                  <w:sz w:val="19"/>
                  <w:szCs w:val="19"/>
                  <w:color w:val="0000FF"/>
                </w:rPr>
                <w:t>Condensed Consolidated Statements of Cash Flows —</w:t>
              </w:r>
            </w:hyperlink>
          </w:p>
        </w:tc>
        <w:tc>
          <w:tcPr>
            <w:tcW w:w="900" w:type="dxa"/>
            <w:vAlign w:val="bottom"/>
            <w:gridSpan w:val="4"/>
          </w:tcPr>
          <w:p>
            <w:pPr>
              <w:jc w:val="center"/>
              <w:ind w:left="626"/>
              <w:spacing w:after="0"/>
              <w:rPr>
                <w:rFonts w:ascii="Arial" w:cs="Arial" w:eastAsia="Arial" w:hAnsi="Arial"/>
                <w:sz w:val="19"/>
                <w:szCs w:val="19"/>
                <w:color w:val="0000FF"/>
                <w:w w:val="94"/>
              </w:rPr>
            </w:pPr>
            <w:hyperlink w:anchor="page6">
              <w:r>
                <w:rPr>
                  <w:rFonts w:ascii="Arial" w:cs="Arial" w:eastAsia="Arial" w:hAnsi="Arial"/>
                  <w:sz w:val="19"/>
                  <w:szCs w:val="19"/>
                  <w:color w:val="0000FF"/>
                  <w:w w:val="94"/>
                </w:rPr>
                <w:t>7</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20" w:type="dxa"/>
            <w:vAlign w:val="bottom"/>
            <w:gridSpan w:val="22"/>
          </w:tcPr>
          <w:p>
            <w:pPr>
              <w:spacing w:after="0" w:line="161"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For the </w:t>
              </w:r>
            </w:hyperlink>
            <w:r>
              <w:rPr>
                <w:rFonts w:ascii="Arial" w:cs="Arial" w:eastAsia="Arial" w:hAnsi="Arial"/>
                <w:sz w:val="18"/>
                <w:szCs w:val="18"/>
                <w:color w:val="0000FF"/>
              </w:rPr>
              <w:t>Twenty</w:t>
            </w:r>
            <w:hyperlink w:anchor="page6">
              <w:r>
                <w:rPr>
                  <w:rFonts w:ascii="Arial" w:cs="Arial" w:eastAsia="Arial" w:hAnsi="Arial"/>
                  <w:sz w:val="18"/>
                  <w:szCs w:val="18"/>
                  <w:color w:val="0000FF"/>
                </w:rPr>
                <w:t xml:space="preserve">-Six Weeks Ended June </w:t>
              </w:r>
            </w:hyperlink>
            <w:r>
              <w:rPr>
                <w:rFonts w:ascii="Arial" w:cs="Arial" w:eastAsia="Arial" w:hAnsi="Arial"/>
                <w:sz w:val="18"/>
                <w:szCs w:val="18"/>
                <w:color w:val="0000FF"/>
              </w:rPr>
              <w:t xml:space="preserve">27, </w:t>
            </w:r>
            <w:hyperlink w:anchor="page6">
              <w:r>
                <w:rPr>
                  <w:rFonts w:ascii="Arial" w:cs="Arial" w:eastAsia="Arial" w:hAnsi="Arial"/>
                  <w:sz w:val="18"/>
                  <w:szCs w:val="18"/>
                  <w:color w:val="0000FF"/>
                </w:rPr>
                <w:t xml:space="preserve">2021 and June </w:t>
              </w:r>
            </w:hyperlink>
            <w:r>
              <w:rPr>
                <w:rFonts w:ascii="Arial" w:cs="Arial" w:eastAsia="Arial" w:hAnsi="Arial"/>
                <w:sz w:val="18"/>
                <w:szCs w:val="18"/>
                <w:color w:val="0000FF"/>
              </w:rPr>
              <w:t xml:space="preserve">28, </w:t>
            </w:r>
            <w:hyperlink w:anchor="page6">
              <w:r>
                <w:rPr>
                  <w:rFonts w:ascii="Arial" w:cs="Arial" w:eastAsia="Arial" w:hAnsi="Arial"/>
                  <w:sz w:val="18"/>
                  <w:szCs w:val="18"/>
                  <w:color w:val="0000FF"/>
                </w:rPr>
                <w:t>2020</w:t>
              </w:r>
            </w:hyperlink>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Borders>
              <w:top w:val="single" w:sz="8" w:color="0000FF"/>
            </w:tcBorders>
            <w:gridSpan w:val="10"/>
          </w:tcPr>
          <w:p>
            <w:pPr>
              <w:spacing w:after="0"/>
              <w:rPr>
                <w:rFonts w:ascii="Arial" w:cs="Arial" w:eastAsia="Arial" w:hAnsi="Arial"/>
                <w:sz w:val="19"/>
                <w:szCs w:val="19"/>
                <w:color w:val="0000FF"/>
                <w:w w:val="89"/>
              </w:rPr>
            </w:pPr>
            <w:hyperlink w:anchor="page8">
              <w:r>
                <w:rPr>
                  <w:rFonts w:ascii="Arial" w:cs="Arial" w:eastAsia="Arial" w:hAnsi="Arial"/>
                  <w:sz w:val="19"/>
                  <w:szCs w:val="19"/>
                  <w:color w:val="0000FF"/>
                  <w:w w:val="89"/>
                </w:rPr>
                <w:t>Notes to Consolidated Financial Statements</w:t>
              </w:r>
            </w:hyperlink>
          </w:p>
        </w:tc>
        <w:tc>
          <w:tcPr>
            <w:tcW w:w="1760" w:type="dxa"/>
            <w:vAlign w:val="bottom"/>
            <w:tcBorders>
              <w:top w:val="single" w:sz="8" w:color="0000FF"/>
            </w:tcBorders>
            <w:gridSpan w:val="4"/>
          </w:tcPr>
          <w:p>
            <w:pPr>
              <w:spacing w:after="0"/>
              <w:rPr>
                <w:sz w:val="24"/>
                <w:szCs w:val="24"/>
                <w:color w:val="auto"/>
              </w:rPr>
            </w:pPr>
          </w:p>
        </w:tc>
        <w:tc>
          <w:tcPr>
            <w:tcW w:w="3140" w:type="dxa"/>
            <w:vAlign w:val="bottom"/>
            <w:gridSpan w:val="8"/>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8">
              <w:r>
                <w:rPr>
                  <w:rFonts w:ascii="Arial" w:cs="Arial" w:eastAsia="Arial" w:hAnsi="Arial"/>
                  <w:sz w:val="19"/>
                  <w:szCs w:val="19"/>
                  <w:color w:val="0000FF"/>
                  <w:w w:val="94"/>
                </w:rPr>
                <w:t>9</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2.</w:t>
            </w:r>
          </w:p>
        </w:tc>
        <w:tc>
          <w:tcPr>
            <w:tcW w:w="140" w:type="dxa"/>
            <w:vAlign w:val="bottom"/>
          </w:tcPr>
          <w:p>
            <w:pPr>
              <w:spacing w:after="0"/>
              <w:rPr>
                <w:sz w:val="24"/>
                <w:szCs w:val="24"/>
                <w:color w:val="auto"/>
              </w:rPr>
            </w:pPr>
          </w:p>
        </w:tc>
        <w:tc>
          <w:tcPr>
            <w:tcW w:w="6780" w:type="dxa"/>
            <w:vAlign w:val="bottom"/>
            <w:gridSpan w:val="24"/>
          </w:tcPr>
          <w:p>
            <w:pPr>
              <w:spacing w:after="0"/>
              <w:rPr>
                <w:rFonts w:ascii="Arial" w:cs="Arial" w:eastAsia="Arial" w:hAnsi="Arial"/>
                <w:sz w:val="19"/>
                <w:szCs w:val="19"/>
                <w:color w:val="0000FF"/>
                <w:w w:val="90"/>
              </w:rPr>
            </w:pPr>
            <w:hyperlink w:anchor="page32">
              <w:r>
                <w:rPr>
                  <w:rFonts w:ascii="Arial" w:cs="Arial" w:eastAsia="Arial" w:hAnsi="Arial"/>
                  <w:sz w:val="19"/>
                  <w:szCs w:val="19"/>
                  <w:color w:val="0000FF"/>
                  <w:w w:val="90"/>
                </w:rPr>
                <w:t>Management’s Discussion and Analysis of Financial Condition and Results of Operations</w:t>
              </w:r>
            </w:hyperlink>
          </w:p>
        </w:tc>
        <w:tc>
          <w:tcPr>
            <w:tcW w:w="1740" w:type="dxa"/>
            <w:vAlign w:val="bottom"/>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32">
              <w:r>
                <w:rPr>
                  <w:rFonts w:ascii="Arial" w:cs="Arial" w:eastAsia="Arial" w:hAnsi="Arial"/>
                  <w:sz w:val="19"/>
                  <w:szCs w:val="19"/>
                  <w:color w:val="0000FF"/>
                  <w:w w:val="84"/>
                </w:rPr>
                <w:t>33</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4"/>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3.</w:t>
            </w:r>
          </w:p>
        </w:tc>
        <w:tc>
          <w:tcPr>
            <w:tcW w:w="14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9"/>
                <w:szCs w:val="19"/>
                <w:color w:val="0000FF"/>
                <w:w w:val="90"/>
              </w:rPr>
            </w:pPr>
            <w:hyperlink w:anchor="page55">
              <w:r>
                <w:rPr>
                  <w:rFonts w:ascii="Arial" w:cs="Arial" w:eastAsia="Arial" w:hAnsi="Arial"/>
                  <w:sz w:val="19"/>
                  <w:szCs w:val="19"/>
                  <w:color w:val="0000FF"/>
                  <w:w w:val="90"/>
                </w:rPr>
                <w:t>Quantitative and Qualitative Disclosures About Market Risk</w:t>
              </w:r>
            </w:hyperlink>
          </w:p>
        </w:tc>
        <w:tc>
          <w:tcPr>
            <w:tcW w:w="2220" w:type="dxa"/>
            <w:vAlign w:val="bottom"/>
            <w:gridSpan w:val="9"/>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55">
              <w:r>
                <w:rPr>
                  <w:rFonts w:ascii="Arial" w:cs="Arial" w:eastAsia="Arial" w:hAnsi="Arial"/>
                  <w:sz w:val="19"/>
                  <w:szCs w:val="19"/>
                  <w:color w:val="0000FF"/>
                  <w:w w:val="84"/>
                </w:rPr>
                <w:t>56</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4"/>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4.</w:t>
            </w:r>
          </w:p>
        </w:tc>
        <w:tc>
          <w:tcPr>
            <w:tcW w:w="14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9"/>
                <w:szCs w:val="19"/>
                <w:color w:val="0000FF"/>
              </w:rPr>
            </w:pPr>
            <w:hyperlink w:anchor="page56">
              <w:r>
                <w:rPr>
                  <w:rFonts w:ascii="Arial" w:cs="Arial" w:eastAsia="Arial" w:hAnsi="Arial"/>
                  <w:sz w:val="19"/>
                  <w:szCs w:val="19"/>
                  <w:color w:val="0000FF"/>
                </w:rPr>
                <w:t>Controls and Procedures</w:t>
              </w:r>
            </w:hyperlink>
          </w:p>
        </w:tc>
        <w:tc>
          <w:tcPr>
            <w:tcW w:w="3960" w:type="dxa"/>
            <w:vAlign w:val="bottom"/>
            <w:gridSpan w:val="10"/>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56">
              <w:r>
                <w:rPr>
                  <w:rFonts w:ascii="Arial" w:cs="Arial" w:eastAsia="Arial" w:hAnsi="Arial"/>
                  <w:sz w:val="19"/>
                  <w:szCs w:val="19"/>
                  <w:color w:val="0000FF"/>
                  <w:w w:val="84"/>
                </w:rPr>
                <w:t>56</w:t>
              </w:r>
            </w:hyperlink>
          </w:p>
        </w:tc>
        <w:tc>
          <w:tcPr>
            <w:tcW w:w="700" w:type="dxa"/>
            <w:vAlign w:val="bottom"/>
          </w:tcPr>
          <w:p>
            <w:pPr>
              <w:spacing w:after="0"/>
              <w:rPr>
                <w:sz w:val="24"/>
                <w:szCs w:val="24"/>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0000FF"/>
            </w:tcBorders>
            <w:gridSpan w:val="7"/>
          </w:tcPr>
          <w:p>
            <w:pPr>
              <w:jc w:val="center"/>
              <w:spacing w:after="0"/>
              <w:rPr>
                <w:rFonts w:ascii="Arial" w:cs="Arial" w:eastAsia="Arial" w:hAnsi="Arial"/>
                <w:sz w:val="19"/>
                <w:szCs w:val="19"/>
                <w:color w:val="0000FF"/>
                <w:w w:val="96"/>
              </w:rPr>
            </w:pPr>
            <w:hyperlink w:anchor="page56">
              <w:r>
                <w:rPr>
                  <w:rFonts w:ascii="Arial" w:cs="Arial" w:eastAsia="Arial" w:hAnsi="Arial"/>
                  <w:sz w:val="19"/>
                  <w:szCs w:val="19"/>
                  <w:color w:val="0000FF"/>
                  <w:w w:val="96"/>
                </w:rPr>
                <w:t>PART II — OTHER INFORMATION</w:t>
              </w:r>
            </w:hyperlink>
          </w:p>
        </w:tc>
        <w:tc>
          <w:tcPr>
            <w:tcW w:w="282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212"/>
        </w:trPr>
        <w:tc>
          <w:tcPr>
            <w:tcW w:w="980" w:type="dxa"/>
            <w:vAlign w:val="bottom"/>
          </w:tcPr>
          <w:p>
            <w:pPr>
              <w:ind w:left="20"/>
              <w:spacing w:after="0" w:line="212" w:lineRule="exact"/>
              <w:rPr>
                <w:sz w:val="20"/>
                <w:szCs w:val="20"/>
                <w:color w:val="auto"/>
              </w:rPr>
            </w:pPr>
            <w:r>
              <w:rPr>
                <w:rFonts w:ascii="Arial" w:cs="Arial" w:eastAsia="Arial" w:hAnsi="Arial"/>
                <w:sz w:val="19"/>
                <w:szCs w:val="19"/>
                <w:color w:val="auto"/>
              </w:rPr>
              <w:t>Item 1.</w:t>
            </w:r>
          </w:p>
        </w:tc>
        <w:tc>
          <w:tcPr>
            <w:tcW w:w="140" w:type="dxa"/>
            <w:vAlign w:val="bottom"/>
          </w:tcPr>
          <w:p>
            <w:pPr>
              <w:spacing w:after="0"/>
              <w:rPr>
                <w:sz w:val="18"/>
                <w:szCs w:val="18"/>
                <w:color w:val="auto"/>
              </w:rPr>
            </w:pPr>
          </w:p>
        </w:tc>
        <w:tc>
          <w:tcPr>
            <w:tcW w:w="1380" w:type="dxa"/>
            <w:vAlign w:val="bottom"/>
            <w:gridSpan w:val="7"/>
          </w:tcPr>
          <w:p>
            <w:pPr>
              <w:spacing w:after="0" w:line="212" w:lineRule="exact"/>
              <w:rPr>
                <w:rFonts w:ascii="Arial" w:cs="Arial" w:eastAsia="Arial" w:hAnsi="Arial"/>
                <w:sz w:val="19"/>
                <w:szCs w:val="19"/>
                <w:color w:val="0000FF"/>
                <w:w w:val="85"/>
              </w:rPr>
            </w:pPr>
            <w:hyperlink w:anchor="page57">
              <w:r>
                <w:rPr>
                  <w:rFonts w:ascii="Arial" w:cs="Arial" w:eastAsia="Arial" w:hAnsi="Arial"/>
                  <w:sz w:val="19"/>
                  <w:szCs w:val="19"/>
                  <w:color w:val="0000FF"/>
                  <w:w w:val="85"/>
                </w:rPr>
                <w:t>Legal Proceedings</w:t>
              </w:r>
            </w:hyperlink>
          </w:p>
        </w:tc>
        <w:tc>
          <w:tcPr>
            <w:tcW w:w="7140" w:type="dxa"/>
            <w:vAlign w:val="bottom"/>
            <w:gridSpan w:val="18"/>
          </w:tcPr>
          <w:p>
            <w:pPr>
              <w:spacing w:after="0"/>
              <w:rPr>
                <w:sz w:val="18"/>
                <w:szCs w:val="18"/>
                <w:color w:val="auto"/>
              </w:rPr>
            </w:pPr>
          </w:p>
        </w:tc>
        <w:tc>
          <w:tcPr>
            <w:tcW w:w="900" w:type="dxa"/>
            <w:vAlign w:val="bottom"/>
            <w:gridSpan w:val="4"/>
          </w:tcPr>
          <w:p>
            <w:pPr>
              <w:jc w:val="center"/>
              <w:ind w:left="626"/>
              <w:spacing w:after="0" w:line="212" w:lineRule="exact"/>
              <w:rPr>
                <w:rFonts w:ascii="Arial" w:cs="Arial" w:eastAsia="Arial" w:hAnsi="Arial"/>
                <w:sz w:val="19"/>
                <w:szCs w:val="19"/>
                <w:color w:val="0000FF"/>
                <w:w w:val="84"/>
              </w:rPr>
            </w:pPr>
            <w:hyperlink w:anchor="page57">
              <w:r>
                <w:rPr>
                  <w:rFonts w:ascii="Arial" w:cs="Arial" w:eastAsia="Arial" w:hAnsi="Arial"/>
                  <w:sz w:val="19"/>
                  <w:szCs w:val="19"/>
                  <w:color w:val="0000FF"/>
                  <w:w w:val="84"/>
                </w:rPr>
                <w:t>57</w:t>
              </w:r>
            </w:hyperlink>
          </w:p>
        </w:tc>
        <w:tc>
          <w:tcPr>
            <w:tcW w:w="70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80" w:type="dxa"/>
            <w:vAlign w:val="bottom"/>
            <w:tcBorders>
              <w:left w:val="single" w:sz="8" w:color="0000FF"/>
            </w:tcBorders>
            <w:gridSpan w:val="8"/>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1A.</w:t>
            </w:r>
          </w:p>
        </w:tc>
        <w:tc>
          <w:tcPr>
            <w:tcW w:w="140" w:type="dxa"/>
            <w:vAlign w:val="bottom"/>
          </w:tcPr>
          <w:p>
            <w:pPr>
              <w:spacing w:after="0"/>
              <w:rPr>
                <w:sz w:val="24"/>
                <w:szCs w:val="24"/>
                <w:color w:val="auto"/>
              </w:rPr>
            </w:pPr>
          </w:p>
        </w:tc>
        <w:tc>
          <w:tcPr>
            <w:tcW w:w="1380" w:type="dxa"/>
            <w:vAlign w:val="bottom"/>
            <w:gridSpan w:val="7"/>
          </w:tcPr>
          <w:p>
            <w:pPr>
              <w:spacing w:after="0"/>
              <w:rPr>
                <w:rFonts w:ascii="Arial" w:cs="Arial" w:eastAsia="Arial" w:hAnsi="Arial"/>
                <w:sz w:val="19"/>
                <w:szCs w:val="19"/>
                <w:color w:val="0000FF"/>
              </w:rPr>
            </w:pPr>
            <w:hyperlink w:anchor="page57">
              <w:r>
                <w:rPr>
                  <w:rFonts w:ascii="Arial" w:cs="Arial" w:eastAsia="Arial" w:hAnsi="Arial"/>
                  <w:sz w:val="19"/>
                  <w:szCs w:val="19"/>
                  <w:color w:val="0000FF"/>
                </w:rPr>
                <w:t>Risk Factors</w:t>
              </w:r>
            </w:hyperlink>
          </w:p>
        </w:tc>
        <w:tc>
          <w:tcPr>
            <w:tcW w:w="7140" w:type="dxa"/>
            <w:vAlign w:val="bottom"/>
            <w:gridSpan w:val="18"/>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57">
              <w:r>
                <w:rPr>
                  <w:rFonts w:ascii="Arial" w:cs="Arial" w:eastAsia="Arial" w:hAnsi="Arial"/>
                  <w:sz w:val="19"/>
                  <w:szCs w:val="19"/>
                  <w:color w:val="0000FF"/>
                  <w:w w:val="84"/>
                </w:rPr>
                <w:t>57</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2.</w:t>
            </w:r>
          </w:p>
        </w:tc>
        <w:tc>
          <w:tcPr>
            <w:tcW w:w="140" w:type="dxa"/>
            <w:vAlign w:val="bottom"/>
          </w:tcPr>
          <w:p>
            <w:pPr>
              <w:spacing w:after="0"/>
              <w:rPr>
                <w:sz w:val="24"/>
                <w:szCs w:val="24"/>
                <w:color w:val="auto"/>
              </w:rPr>
            </w:pPr>
          </w:p>
        </w:tc>
        <w:tc>
          <w:tcPr>
            <w:tcW w:w="8520" w:type="dxa"/>
            <w:vAlign w:val="bottom"/>
            <w:gridSpan w:val="25"/>
          </w:tcPr>
          <w:p>
            <w:pPr>
              <w:spacing w:after="0"/>
              <w:rPr>
                <w:rFonts w:ascii="Arial" w:cs="Arial" w:eastAsia="Arial" w:hAnsi="Arial"/>
                <w:sz w:val="19"/>
                <w:szCs w:val="19"/>
                <w:color w:val="0000FF"/>
              </w:rPr>
            </w:pPr>
            <w:hyperlink w:anchor="page57">
              <w:r>
                <w:rPr>
                  <w:rFonts w:ascii="Arial" w:cs="Arial" w:eastAsia="Arial" w:hAnsi="Arial"/>
                  <w:sz w:val="19"/>
                  <w:szCs w:val="19"/>
                  <w:color w:val="0000FF"/>
                </w:rPr>
                <w:t>Unregistered Sales of Equity Securities and Use of Proceeds</w:t>
              </w:r>
            </w:hyperlink>
          </w:p>
        </w:tc>
        <w:tc>
          <w:tcPr>
            <w:tcW w:w="900" w:type="dxa"/>
            <w:vAlign w:val="bottom"/>
            <w:gridSpan w:val="4"/>
          </w:tcPr>
          <w:p>
            <w:pPr>
              <w:jc w:val="center"/>
              <w:ind w:left="626"/>
              <w:spacing w:after="0"/>
              <w:rPr>
                <w:rFonts w:ascii="Arial" w:cs="Arial" w:eastAsia="Arial" w:hAnsi="Arial"/>
                <w:sz w:val="19"/>
                <w:szCs w:val="19"/>
                <w:color w:val="0000FF"/>
                <w:w w:val="84"/>
              </w:rPr>
            </w:pPr>
            <w:hyperlink w:anchor="page57">
              <w:r>
                <w:rPr>
                  <w:rFonts w:ascii="Arial" w:cs="Arial" w:eastAsia="Arial" w:hAnsi="Arial"/>
                  <w:sz w:val="19"/>
                  <w:szCs w:val="19"/>
                  <w:color w:val="0000FF"/>
                  <w:w w:val="84"/>
                </w:rPr>
                <w:t>57</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180" w:type="dxa"/>
            <w:vAlign w:val="bottom"/>
            <w:tcBorders>
              <w:left w:val="single" w:sz="8" w:color="0000FF"/>
            </w:tcBorders>
            <w:gridSpan w:val="8"/>
            <w:shd w:val="clear" w:color="auto" w:fill="0000FF"/>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5.</w:t>
            </w:r>
          </w:p>
        </w:tc>
        <w:tc>
          <w:tcPr>
            <w:tcW w:w="140" w:type="dxa"/>
            <w:vAlign w:val="bottom"/>
          </w:tcPr>
          <w:p>
            <w:pPr>
              <w:spacing w:after="0"/>
              <w:rPr>
                <w:sz w:val="24"/>
                <w:szCs w:val="24"/>
                <w:color w:val="auto"/>
              </w:rPr>
            </w:pPr>
          </w:p>
        </w:tc>
        <w:tc>
          <w:tcPr>
            <w:tcW w:w="1380" w:type="dxa"/>
            <w:vAlign w:val="bottom"/>
            <w:gridSpan w:val="7"/>
          </w:tcPr>
          <w:p>
            <w:pPr>
              <w:spacing w:after="0"/>
              <w:rPr>
                <w:rFonts w:ascii="Arial" w:cs="Arial" w:eastAsia="Arial" w:hAnsi="Arial"/>
                <w:sz w:val="19"/>
                <w:szCs w:val="19"/>
                <w:color w:val="0000FF"/>
                <w:w w:val="90"/>
              </w:rPr>
            </w:pPr>
            <w:hyperlink w:anchor="page57">
              <w:r>
                <w:rPr>
                  <w:rFonts w:ascii="Arial" w:cs="Arial" w:eastAsia="Arial" w:hAnsi="Arial"/>
                  <w:sz w:val="19"/>
                  <w:szCs w:val="19"/>
                  <w:color w:val="0000FF"/>
                  <w:w w:val="90"/>
                </w:rPr>
                <w:t>Other Information</w:t>
              </w:r>
            </w:hyperlink>
          </w:p>
        </w:tc>
        <w:tc>
          <w:tcPr>
            <w:tcW w:w="3180" w:type="dxa"/>
            <w:vAlign w:val="bottom"/>
            <w:gridSpan w:val="8"/>
          </w:tcPr>
          <w:p>
            <w:pPr>
              <w:spacing w:after="0"/>
              <w:rPr>
                <w:sz w:val="24"/>
                <w:szCs w:val="24"/>
                <w:color w:val="auto"/>
              </w:rPr>
            </w:pPr>
          </w:p>
        </w:tc>
        <w:tc>
          <w:tcPr>
            <w:tcW w:w="3960" w:type="dxa"/>
            <w:vAlign w:val="bottom"/>
            <w:gridSpan w:val="10"/>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57">
              <w:r>
                <w:rPr>
                  <w:rFonts w:ascii="Arial" w:cs="Arial" w:eastAsia="Arial" w:hAnsi="Arial"/>
                  <w:sz w:val="19"/>
                  <w:szCs w:val="19"/>
                  <w:color w:val="0000FF"/>
                  <w:w w:val="84"/>
                </w:rPr>
                <w:t>57</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140" w:type="dxa"/>
            <w:vAlign w:val="bottom"/>
            <w:gridSpan w:val="1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6.</w:t>
            </w:r>
          </w:p>
        </w:tc>
        <w:tc>
          <w:tcPr>
            <w:tcW w:w="140" w:type="dxa"/>
            <w:vAlign w:val="bottom"/>
          </w:tcPr>
          <w:p>
            <w:pPr>
              <w:spacing w:after="0"/>
              <w:rPr>
                <w:sz w:val="24"/>
                <w:szCs w:val="24"/>
                <w:color w:val="auto"/>
              </w:rPr>
            </w:pPr>
          </w:p>
        </w:tc>
        <w:tc>
          <w:tcPr>
            <w:tcW w:w="1380" w:type="dxa"/>
            <w:vAlign w:val="bottom"/>
            <w:gridSpan w:val="7"/>
          </w:tcPr>
          <w:p>
            <w:pPr>
              <w:spacing w:after="0"/>
              <w:rPr>
                <w:rFonts w:ascii="Arial" w:cs="Arial" w:eastAsia="Arial" w:hAnsi="Arial"/>
                <w:sz w:val="19"/>
                <w:szCs w:val="19"/>
                <w:color w:val="0000FF"/>
              </w:rPr>
            </w:pPr>
            <w:hyperlink w:anchor="page58">
              <w:r>
                <w:rPr>
                  <w:rFonts w:ascii="Arial" w:cs="Arial" w:eastAsia="Arial" w:hAnsi="Arial"/>
                  <w:sz w:val="19"/>
                  <w:szCs w:val="19"/>
                  <w:color w:val="0000FF"/>
                </w:rPr>
                <w:t>Exhibits</w:t>
              </w:r>
            </w:hyperlink>
          </w:p>
        </w:tc>
        <w:tc>
          <w:tcPr>
            <w:tcW w:w="7140" w:type="dxa"/>
            <w:vAlign w:val="bottom"/>
            <w:gridSpan w:val="18"/>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58">
              <w:r>
                <w:rPr>
                  <w:rFonts w:ascii="Arial" w:cs="Arial" w:eastAsia="Arial" w:hAnsi="Arial"/>
                  <w:sz w:val="19"/>
                  <w:szCs w:val="19"/>
                  <w:color w:val="0000FF"/>
                  <w:w w:val="84"/>
                </w:rPr>
                <w:t>59</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0" w:type="dxa"/>
            <w:vAlign w:val="bottom"/>
            <w:gridSpan w:val="2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20" w:type="dxa"/>
            <w:vAlign w:val="bottom"/>
            <w:gridSpan w:val="25"/>
          </w:tcPr>
          <w:p>
            <w:pPr>
              <w:spacing w:after="0"/>
              <w:rPr>
                <w:rFonts w:ascii="Arial" w:cs="Arial" w:eastAsia="Arial" w:hAnsi="Arial"/>
                <w:sz w:val="19"/>
                <w:szCs w:val="19"/>
                <w:color w:val="0000FF"/>
              </w:rPr>
            </w:pPr>
            <w:hyperlink w:anchor="page59">
              <w:r>
                <w:rPr>
                  <w:rFonts w:ascii="Arial" w:cs="Arial" w:eastAsia="Arial" w:hAnsi="Arial"/>
                  <w:sz w:val="19"/>
                  <w:szCs w:val="19"/>
                  <w:color w:val="0000FF"/>
                </w:rPr>
                <w:t>Signature</w:t>
              </w:r>
            </w:hyperlink>
          </w:p>
        </w:tc>
        <w:tc>
          <w:tcPr>
            <w:tcW w:w="900" w:type="dxa"/>
            <w:vAlign w:val="bottom"/>
            <w:gridSpan w:val="4"/>
          </w:tcPr>
          <w:p>
            <w:pPr>
              <w:jc w:val="center"/>
              <w:ind w:left="626"/>
              <w:spacing w:after="0"/>
              <w:rPr>
                <w:rFonts w:ascii="Arial" w:cs="Arial" w:eastAsia="Arial" w:hAnsi="Arial"/>
                <w:sz w:val="19"/>
                <w:szCs w:val="19"/>
                <w:color w:val="0000FF"/>
                <w:w w:val="84"/>
              </w:rPr>
            </w:pPr>
            <w:hyperlink w:anchor="page59">
              <w:r>
                <w:rPr>
                  <w:rFonts w:ascii="Arial" w:cs="Arial" w:eastAsia="Arial" w:hAnsi="Arial"/>
                  <w:sz w:val="19"/>
                  <w:szCs w:val="19"/>
                  <w:color w:val="0000FF"/>
                  <w:w w:val="84"/>
                </w:rPr>
                <w:t>60</w:t>
              </w:r>
            </w:hyperlink>
          </w:p>
        </w:tc>
        <w:tc>
          <w:tcPr>
            <w:tcW w:w="700" w:type="dxa"/>
            <w:vAlign w:val="bottom"/>
          </w:tcPr>
          <w:p>
            <w:pPr>
              <w:spacing w:after="0"/>
              <w:rPr>
                <w:sz w:val="24"/>
                <w:szCs w:val="24"/>
                <w:color w:val="auto"/>
              </w:rPr>
            </w:pPr>
          </w:p>
        </w:tc>
      </w:tr>
      <w:tr>
        <w:trPr>
          <w:trHeight w:val="881"/>
        </w:trPr>
        <w:tc>
          <w:tcPr>
            <w:tcW w:w="9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700" w:type="dxa"/>
            <w:vAlign w:val="bottom"/>
            <w:tcBorders>
              <w:top w:val="single" w:sz="8" w:color="0000FF"/>
            </w:tcBorders>
            <w:gridSpan w:val="4"/>
          </w:tcPr>
          <w:p>
            <w:pPr>
              <w:spacing w:after="0"/>
              <w:rPr>
                <w:sz w:val="24"/>
                <w:szCs w:val="24"/>
                <w:color w:val="auto"/>
              </w:rPr>
            </w:pPr>
          </w:p>
        </w:tc>
        <w:tc>
          <w:tcPr>
            <w:tcW w:w="3840" w:type="dxa"/>
            <w:vAlign w:val="bottom"/>
            <w:gridSpan w:val="10"/>
          </w:tcPr>
          <w:p>
            <w:pPr>
              <w:jc w:val="center"/>
              <w:ind w:left="3634"/>
              <w:spacing w:after="0"/>
              <w:rPr>
                <w:sz w:val="20"/>
                <w:szCs w:val="20"/>
                <w:color w:val="auto"/>
              </w:rPr>
            </w:pPr>
            <w:r>
              <w:rPr>
                <w:rFonts w:ascii="Arial" w:cs="Arial" w:eastAsia="Arial" w:hAnsi="Arial"/>
                <w:sz w:val="17"/>
                <w:szCs w:val="17"/>
                <w:color w:val="auto"/>
                <w:w w:val="84"/>
              </w:rPr>
              <w:t>2</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110"/>
        </w:trPr>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Financial Statements</w:t>
      </w:r>
    </w:p>
    <w:p>
      <w:pPr>
        <w:spacing w:after="0" w:line="233"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 THOUSANDS, EXCEPT SHARE AND PER SHARE DATA, 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Pr>
          <w:p>
            <w:pPr>
              <w:spacing w:after="0"/>
              <w:rPr>
                <w:sz w:val="17"/>
                <w:szCs w:val="17"/>
                <w:color w:val="auto"/>
              </w:rPr>
            </w:pPr>
          </w:p>
        </w:tc>
        <w:tc>
          <w:tcPr>
            <w:tcW w:w="1660" w:type="dxa"/>
            <w:vAlign w:val="bottom"/>
          </w:tcPr>
          <w:p>
            <w:pPr>
              <w:jc w:val="right"/>
              <w:ind w:right="183"/>
              <w:spacing w:after="0"/>
              <w:rPr>
                <w:sz w:val="20"/>
                <w:szCs w:val="20"/>
                <w:color w:val="auto"/>
              </w:rPr>
            </w:pPr>
            <w:r>
              <w:rPr>
                <w:rFonts w:ascii="Arial" w:cs="Arial" w:eastAsia="Arial" w:hAnsi="Arial"/>
                <w:sz w:val="14"/>
                <w:szCs w:val="14"/>
                <w:b w:val="1"/>
                <w:bCs w:val="1"/>
                <w:color w:val="auto"/>
                <w:w w:val="99"/>
              </w:rPr>
              <w:t>DECEMBER 27, 2020</w:t>
            </w:r>
          </w:p>
        </w:tc>
        <w:tc>
          <w:tcPr>
            <w:tcW w:w="0" w:type="dxa"/>
            <w:vAlign w:val="bottom"/>
          </w:tcPr>
          <w:p>
            <w:pPr>
              <w:spacing w:after="0"/>
              <w:rPr>
                <w:sz w:val="1"/>
                <w:szCs w:val="1"/>
                <w:color w:val="auto"/>
              </w:rPr>
            </w:pPr>
          </w:p>
        </w:tc>
      </w:tr>
      <w:tr>
        <w:trPr>
          <w:trHeight w:val="206"/>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101,285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109,980</w:t>
            </w:r>
          </w:p>
        </w:tc>
        <w:tc>
          <w:tcPr>
            <w:tcW w:w="0" w:type="dxa"/>
            <w:vAlign w:val="bottom"/>
          </w:tcPr>
          <w:p>
            <w:pPr>
              <w:spacing w:after="0"/>
              <w:rPr>
                <w:sz w:val="1"/>
                <w:szCs w:val="1"/>
                <w:color w:val="auto"/>
              </w:rPr>
            </w:pPr>
          </w:p>
        </w:tc>
      </w:tr>
      <w:tr>
        <w:trPr>
          <w:trHeight w:val="203"/>
        </w:trPr>
        <w:tc>
          <w:tcPr>
            <w:tcW w:w="7460" w:type="dxa"/>
            <w:vAlign w:val="bottom"/>
          </w:tcPr>
          <w:p>
            <w:pPr>
              <w:ind w:left="140"/>
              <w:spacing w:after="0"/>
              <w:rPr>
                <w:sz w:val="20"/>
                <w:szCs w:val="20"/>
                <w:color w:val="auto"/>
              </w:rPr>
            </w:pPr>
            <w:r>
              <w:rPr>
                <w:rFonts w:ascii="Arial" w:cs="Arial" w:eastAsia="Arial" w:hAnsi="Arial"/>
                <w:sz w:val="15"/>
                <w:szCs w:val="15"/>
                <w:color w:val="auto"/>
              </w:rPr>
              <w:t>Restricted cash and cash equivalents</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1,790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61,928</w:t>
            </w:r>
          </w:p>
        </w:tc>
        <w:tc>
          <w:tcPr>
            <w:tcW w:w="0" w:type="dxa"/>
            <w:vAlign w:val="bottom"/>
          </w:tcPr>
          <w:p>
            <w:pPr>
              <w:spacing w:after="0"/>
              <w:rPr>
                <w:sz w:val="1"/>
                <w:szCs w:val="1"/>
                <w:color w:val="auto"/>
              </w:rPr>
            </w:pPr>
          </w:p>
        </w:tc>
      </w:tr>
      <w:tr>
        <w:trPr>
          <w:trHeight w:val="212"/>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current assets, net</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84,984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151,518</w:t>
            </w:r>
          </w:p>
        </w:tc>
        <w:tc>
          <w:tcPr>
            <w:tcW w:w="0" w:type="dxa"/>
            <w:vAlign w:val="bottom"/>
          </w:tcPr>
          <w:p>
            <w:pPr>
              <w:spacing w:after="0"/>
              <w:rPr>
                <w:sz w:val="1"/>
                <w:szCs w:val="1"/>
                <w:color w:val="auto"/>
              </w:rPr>
            </w:pPr>
          </w:p>
        </w:tc>
      </w:tr>
      <w:tr>
        <w:trPr>
          <w:trHeight w:val="206"/>
        </w:trPr>
        <w:tc>
          <w:tcPr>
            <w:tcW w:w="7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247,063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323,854</w:t>
            </w: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rPr>
                <w:sz w:val="20"/>
                <w:szCs w:val="20"/>
                <w:color w:val="auto"/>
              </w:rPr>
            </w:pPr>
            <w:r>
              <w:rPr>
                <w:rFonts w:ascii="Arial" w:cs="Arial" w:eastAsia="Arial" w:hAnsi="Arial"/>
                <w:sz w:val="15"/>
                <w:szCs w:val="15"/>
                <w:color w:val="auto"/>
              </w:rPr>
              <w:t>Property, fixtures and equipment, net</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855,021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887,687</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1,161,650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1,172,910</w:t>
            </w: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rPr>
                <w:sz w:val="20"/>
                <w:szCs w:val="20"/>
                <w:color w:val="auto"/>
              </w:rPr>
            </w:pPr>
            <w:r>
              <w:rPr>
                <w:rFonts w:ascii="Arial" w:cs="Arial" w:eastAsia="Arial" w:hAnsi="Arial"/>
                <w:sz w:val="15"/>
                <w:szCs w:val="15"/>
                <w:color w:val="auto"/>
              </w:rPr>
              <w:t>Goodwill</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272,707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271,164</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457,371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459,983</w:t>
            </w: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rPr>
                <w:sz w:val="20"/>
                <w:szCs w:val="20"/>
                <w:color w:val="auto"/>
              </w:rPr>
            </w:pPr>
            <w:r>
              <w:rPr>
                <w:rFonts w:ascii="Arial" w:cs="Arial" w:eastAsia="Arial" w:hAnsi="Arial"/>
                <w:sz w:val="15"/>
                <w:szCs w:val="15"/>
                <w:color w:val="auto"/>
              </w:rPr>
              <w:t>Deferred income tax assets, net</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156,485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153,883</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96,456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92,626</w:t>
            </w:r>
          </w:p>
        </w:tc>
        <w:tc>
          <w:tcPr>
            <w:tcW w:w="0" w:type="dxa"/>
            <w:vAlign w:val="bottom"/>
          </w:tcPr>
          <w:p>
            <w:pPr>
              <w:spacing w:after="0"/>
              <w:rPr>
                <w:sz w:val="1"/>
                <w:szCs w:val="1"/>
                <w:color w:val="auto"/>
              </w:rPr>
            </w:pPr>
          </w:p>
        </w:tc>
      </w:tr>
      <w:tr>
        <w:trPr>
          <w:trHeight w:val="166"/>
        </w:trPr>
        <w:tc>
          <w:tcPr>
            <w:tcW w:w="7460" w:type="dxa"/>
            <w:vAlign w:val="bottom"/>
          </w:tcPr>
          <w:p>
            <w:pPr>
              <w:ind w:left="760"/>
              <w:spacing w:after="0" w:line="167" w:lineRule="exact"/>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tcPr>
          <w:p>
            <w:pPr>
              <w:jc w:val="right"/>
              <w:ind w:right="123"/>
              <w:spacing w:after="0" w:line="167" w:lineRule="exact"/>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3,246,753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
              <w:spacing w:after="0" w:line="167" w:lineRule="exact"/>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3,362,107</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 AND STOCKHOLDERS’ EQUITY</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141,457</w:t>
            </w:r>
          </w:p>
        </w:tc>
        <w:tc>
          <w:tcPr>
            <w:tcW w:w="0" w:type="dxa"/>
            <w:vAlign w:val="bottom"/>
          </w:tcPr>
          <w:p>
            <w:pPr>
              <w:spacing w:after="0"/>
              <w:rPr>
                <w:sz w:val="1"/>
                <w:szCs w:val="1"/>
                <w:color w:val="auto"/>
              </w:rPr>
            </w:pPr>
          </w:p>
        </w:tc>
      </w:tr>
      <w:tr>
        <w:trPr>
          <w:trHeight w:val="203"/>
        </w:trPr>
        <w:tc>
          <w:tcPr>
            <w:tcW w:w="7460" w:type="dxa"/>
            <w:vAlign w:val="bottom"/>
          </w:tcPr>
          <w:p>
            <w:pPr>
              <w:ind w:left="140"/>
              <w:spacing w:after="0"/>
              <w:rPr>
                <w:sz w:val="20"/>
                <w:szCs w:val="20"/>
                <w:color w:val="auto"/>
              </w:rPr>
            </w:pPr>
            <w:r>
              <w:rPr>
                <w:rFonts w:ascii="Arial" w:cs="Arial" w:eastAsia="Arial" w:hAnsi="Arial"/>
                <w:sz w:val="15"/>
                <w:szCs w:val="15"/>
                <w:color w:val="auto"/>
              </w:rPr>
              <w:t>Accrued and other current liabilities</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439,296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388,321</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Unearned revenue</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302,996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381,616</w:t>
            </w:r>
          </w:p>
        </w:tc>
        <w:tc>
          <w:tcPr>
            <w:tcW w:w="0" w:type="dxa"/>
            <w:vAlign w:val="bottom"/>
          </w:tcPr>
          <w:p>
            <w:pPr>
              <w:spacing w:after="0"/>
              <w:rPr>
                <w:sz w:val="1"/>
                <w:szCs w:val="1"/>
                <w:color w:val="auto"/>
              </w:rPr>
            </w:pPr>
          </w:p>
        </w:tc>
      </w:tr>
      <w:tr>
        <w:trPr>
          <w:trHeight w:val="212"/>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Current portion of long-term debt</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38,710</w:t>
            </w:r>
          </w:p>
        </w:tc>
        <w:tc>
          <w:tcPr>
            <w:tcW w:w="0" w:type="dxa"/>
            <w:vAlign w:val="bottom"/>
          </w:tcPr>
          <w:p>
            <w:pPr>
              <w:spacing w:after="0"/>
              <w:rPr>
                <w:sz w:val="1"/>
                <w:szCs w:val="1"/>
                <w:color w:val="auto"/>
              </w:rPr>
            </w:pPr>
          </w:p>
        </w:tc>
      </w:tr>
      <w:tr>
        <w:trPr>
          <w:trHeight w:val="206"/>
        </w:trPr>
        <w:tc>
          <w:tcPr>
            <w:tcW w:w="7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913,456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950,104</w:t>
            </w: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rPr>
                <w:sz w:val="20"/>
                <w:szCs w:val="20"/>
                <w:color w:val="auto"/>
              </w:rPr>
            </w:pPr>
            <w:r>
              <w:rPr>
                <w:rFonts w:ascii="Arial" w:cs="Arial" w:eastAsia="Arial" w:hAnsi="Arial"/>
                <w:sz w:val="15"/>
                <w:szCs w:val="15"/>
                <w:color w:val="auto"/>
              </w:rPr>
              <w:t>Non-current operating lease liabilities</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1,207,055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1,217,921</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839,041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997,770</w:t>
            </w:r>
          </w:p>
        </w:tc>
        <w:tc>
          <w:tcPr>
            <w:tcW w:w="0" w:type="dxa"/>
            <w:vAlign w:val="bottom"/>
          </w:tcPr>
          <w:p>
            <w:pPr>
              <w:spacing w:after="0"/>
              <w:rPr>
                <w:sz w:val="1"/>
                <w:szCs w:val="1"/>
                <w:color w:val="auto"/>
              </w:rPr>
            </w:pPr>
          </w:p>
        </w:tc>
      </w:tr>
      <w:tr>
        <w:trPr>
          <w:trHeight w:val="212"/>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 net</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134,294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185,355</w:t>
            </w:r>
          </w:p>
        </w:tc>
        <w:tc>
          <w:tcPr>
            <w:tcW w:w="0" w:type="dxa"/>
            <w:vAlign w:val="bottom"/>
          </w:tcPr>
          <w:p>
            <w:pPr>
              <w:spacing w:after="0"/>
              <w:rPr>
                <w:sz w:val="1"/>
                <w:szCs w:val="1"/>
                <w:color w:val="auto"/>
              </w:rPr>
            </w:pPr>
          </w:p>
        </w:tc>
      </w:tr>
      <w:tr>
        <w:trPr>
          <w:trHeight w:val="226"/>
        </w:trPr>
        <w:tc>
          <w:tcPr>
            <w:tcW w:w="74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3,093,846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3,351,150</w:t>
            </w:r>
          </w:p>
        </w:tc>
        <w:tc>
          <w:tcPr>
            <w:tcW w:w="0" w:type="dxa"/>
            <w:vAlign w:val="bottom"/>
          </w:tcPr>
          <w:p>
            <w:pPr>
              <w:spacing w:after="0"/>
              <w:rPr>
                <w:sz w:val="1"/>
                <w:szCs w:val="1"/>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5"/>
                <w:szCs w:val="15"/>
                <w:color w:val="auto"/>
              </w:rPr>
              <w:t>Commitments and contingencies (Note 18)</w:t>
            </w: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140"/>
              <w:spacing w:after="0"/>
              <w:rPr>
                <w:sz w:val="20"/>
                <w:szCs w:val="20"/>
                <w:color w:val="auto"/>
              </w:rPr>
            </w:pPr>
            <w:r>
              <w:rPr>
                <w:rFonts w:ascii="Arial" w:cs="Arial" w:eastAsia="Arial" w:hAnsi="Arial"/>
                <w:sz w:val="15"/>
                <w:szCs w:val="15"/>
                <w:color w:val="auto"/>
              </w:rPr>
              <w:t>Bloomin’ Brands stockholders’ equity</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w w:val="94"/>
              </w:rPr>
              <w:t>Preferred stock, $0.01 par value, 25,000,000 shares authorized; no shares issued and outstanding as of June 27,</w:t>
            </w:r>
          </w:p>
        </w:tc>
        <w:tc>
          <w:tcPr>
            <w:tcW w:w="28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2021 and December 27, 2020</w:t>
            </w:r>
          </w:p>
        </w:tc>
        <w:tc>
          <w:tcPr>
            <w:tcW w:w="280" w:type="dxa"/>
            <w:vAlign w:val="bottom"/>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460" w:type="dxa"/>
            <w:vAlign w:val="bottom"/>
          </w:tcPr>
          <w:p>
            <w:pPr>
              <w:ind w:left="320"/>
              <w:spacing w:after="0" w:line="160" w:lineRule="exact"/>
              <w:rPr>
                <w:sz w:val="20"/>
                <w:szCs w:val="20"/>
                <w:color w:val="auto"/>
              </w:rPr>
            </w:pPr>
            <w:r>
              <w:rPr>
                <w:rFonts w:ascii="Arial" w:cs="Arial" w:eastAsia="Arial" w:hAnsi="Arial"/>
                <w:sz w:val="15"/>
                <w:szCs w:val="15"/>
                <w:color w:val="auto"/>
                <w:w w:val="95"/>
              </w:rPr>
              <w:t>Common stock, $0.01 par value, 475,000,000 shares authorized; 89,210,729 and 87,855,571 shares issued and</w:t>
            </w:r>
          </w:p>
        </w:tc>
        <w:tc>
          <w:tcPr>
            <w:tcW w:w="2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892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879</w:t>
            </w:r>
          </w:p>
        </w:tc>
        <w:tc>
          <w:tcPr>
            <w:tcW w:w="0" w:type="dxa"/>
            <w:vAlign w:val="bottom"/>
          </w:tcPr>
          <w:p>
            <w:pPr>
              <w:spacing w:after="0"/>
              <w:rPr>
                <w:sz w:val="1"/>
                <w:szCs w:val="1"/>
                <w:color w:val="auto"/>
              </w:rPr>
            </w:pPr>
          </w:p>
        </w:tc>
      </w:tr>
      <w:tr>
        <w:trPr>
          <w:trHeight w:val="199"/>
        </w:trPr>
        <w:tc>
          <w:tcPr>
            <w:tcW w:w="7460" w:type="dxa"/>
            <w:vAlign w:val="bottom"/>
          </w:tcPr>
          <w:p>
            <w:pPr>
              <w:ind w:left="320"/>
              <w:spacing w:after="0"/>
              <w:rPr>
                <w:sz w:val="20"/>
                <w:szCs w:val="20"/>
                <w:color w:val="auto"/>
              </w:rPr>
            </w:pPr>
            <w:r>
              <w:rPr>
                <w:rFonts w:ascii="Arial" w:cs="Arial" w:eastAsia="Arial" w:hAnsi="Arial"/>
                <w:sz w:val="15"/>
                <w:szCs w:val="15"/>
                <w:color w:val="auto"/>
              </w:rPr>
              <w:t>outstanding as of June 27, 2021 and December 27, 2020, respectively</w:t>
            </w:r>
          </w:p>
        </w:tc>
        <w:tc>
          <w:tcPr>
            <w:tcW w:w="2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1,109,904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1,132,808</w:t>
            </w:r>
          </w:p>
        </w:tc>
        <w:tc>
          <w:tcPr>
            <w:tcW w:w="0" w:type="dxa"/>
            <w:vAlign w:val="bottom"/>
          </w:tcPr>
          <w:p>
            <w:pPr>
              <w:spacing w:after="0"/>
              <w:rPr>
                <w:sz w:val="1"/>
                <w:szCs w:val="1"/>
                <w:color w:val="auto"/>
              </w:rPr>
            </w:pPr>
          </w:p>
        </w:tc>
      </w:tr>
      <w:tr>
        <w:trPr>
          <w:trHeight w:val="203"/>
        </w:trPr>
        <w:tc>
          <w:tcPr>
            <w:tcW w:w="7460" w:type="dxa"/>
            <w:vAlign w:val="bottom"/>
          </w:tcPr>
          <w:p>
            <w:pPr>
              <w:ind w:left="320"/>
              <w:spacing w:after="0"/>
              <w:rPr>
                <w:sz w:val="20"/>
                <w:szCs w:val="20"/>
                <w:color w:val="auto"/>
              </w:rPr>
            </w:pPr>
            <w:r>
              <w:rPr>
                <w:rFonts w:ascii="Arial" w:cs="Arial" w:eastAsia="Arial" w:hAnsi="Arial"/>
                <w:sz w:val="15"/>
                <w:szCs w:val="15"/>
                <w:color w:val="auto"/>
              </w:rPr>
              <w:t>Accumulated deficit</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(762,319)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(918,096)</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(202,188)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(211,446)</w:t>
            </w:r>
          </w:p>
        </w:tc>
        <w:tc>
          <w:tcPr>
            <w:tcW w:w="0" w:type="dxa"/>
            <w:vAlign w:val="bottom"/>
          </w:tcPr>
          <w:p>
            <w:pPr>
              <w:spacing w:after="0"/>
              <w:rPr>
                <w:sz w:val="1"/>
                <w:szCs w:val="1"/>
                <w:color w:val="auto"/>
              </w:rPr>
            </w:pPr>
          </w:p>
        </w:tc>
      </w:tr>
      <w:tr>
        <w:trPr>
          <w:trHeight w:val="189"/>
        </w:trPr>
        <w:tc>
          <w:tcPr>
            <w:tcW w:w="7460" w:type="dxa"/>
            <w:vAlign w:val="bottom"/>
          </w:tcPr>
          <w:p>
            <w:pPr>
              <w:ind w:left="640"/>
              <w:spacing w:after="0"/>
              <w:rPr>
                <w:sz w:val="20"/>
                <w:szCs w:val="20"/>
                <w:color w:val="auto"/>
              </w:rPr>
            </w:pPr>
            <w:r>
              <w:rPr>
                <w:rFonts w:ascii="Arial" w:cs="Arial" w:eastAsia="Arial" w:hAnsi="Arial"/>
                <w:sz w:val="15"/>
                <w:szCs w:val="15"/>
                <w:color w:val="auto"/>
              </w:rPr>
              <w:t>Total Bloomin’ Brands stockholders’ equity</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146,289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4,145</w:t>
            </w:r>
          </w:p>
        </w:tc>
        <w:tc>
          <w:tcPr>
            <w:tcW w:w="0" w:type="dxa"/>
            <w:vAlign w:val="bottom"/>
          </w:tcPr>
          <w:p>
            <w:pPr>
              <w:spacing w:after="0"/>
              <w:rPr>
                <w:sz w:val="1"/>
                <w:szCs w:val="1"/>
                <w:color w:val="auto"/>
              </w:rPr>
            </w:pPr>
          </w:p>
        </w:tc>
      </w:tr>
      <w:tr>
        <w:trPr>
          <w:trHeight w:val="215"/>
        </w:trPr>
        <w:tc>
          <w:tcPr>
            <w:tcW w:w="7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6,812</w:t>
            </w:r>
          </w:p>
        </w:tc>
        <w:tc>
          <w:tcPr>
            <w:tcW w:w="0" w:type="dxa"/>
            <w:vAlign w:val="bottom"/>
          </w:tcPr>
          <w:p>
            <w:pPr>
              <w:spacing w:after="0"/>
              <w:rPr>
                <w:sz w:val="1"/>
                <w:szCs w:val="1"/>
                <w:color w:val="auto"/>
              </w:rPr>
            </w:pPr>
          </w:p>
        </w:tc>
      </w:tr>
      <w:tr>
        <w:trPr>
          <w:trHeight w:val="212"/>
        </w:trPr>
        <w:tc>
          <w:tcPr>
            <w:tcW w:w="74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152,907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10,957</w:t>
            </w:r>
          </w:p>
        </w:tc>
        <w:tc>
          <w:tcPr>
            <w:tcW w:w="0" w:type="dxa"/>
            <w:vAlign w:val="bottom"/>
          </w:tcPr>
          <w:p>
            <w:pPr>
              <w:spacing w:after="0"/>
              <w:rPr>
                <w:sz w:val="1"/>
                <w:szCs w:val="1"/>
                <w:color w:val="auto"/>
              </w:rPr>
            </w:pPr>
          </w:p>
        </w:tc>
      </w:tr>
      <w:tr>
        <w:trPr>
          <w:trHeight w:val="231"/>
        </w:trPr>
        <w:tc>
          <w:tcPr>
            <w:tcW w:w="74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3,246,753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3,362,107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78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8"/>
              </w:rPr>
              <w:t>JUNE 28, 2020</w:t>
            </w:r>
          </w:p>
        </w:tc>
        <w:tc>
          <w:tcPr>
            <w:tcW w:w="0" w:type="dxa"/>
            <w:vAlign w:val="bottom"/>
          </w:tcPr>
          <w:p>
            <w:pPr>
              <w:spacing w:after="0"/>
              <w:rPr>
                <w:sz w:val="1"/>
                <w:szCs w:val="1"/>
                <w:color w:val="auto"/>
              </w:rPr>
            </w:pPr>
          </w:p>
        </w:tc>
      </w:tr>
      <w:tr>
        <w:trPr>
          <w:trHeight w:val="20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1,055,227</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576,261</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2,034,678</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1,572,498</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22,139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30,161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14,298</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revenues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1,077,366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578,459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2,064,839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1,586,796</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Food and beverage costs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312,102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180,758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603,972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500,451</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Labor and other related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294,999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205,537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569,637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514,806</w:t>
            </w: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Other restaurant operating</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233,450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177,846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462,743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424,401</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81,765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94,052</w:t>
            </w: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66,462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55,487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123,710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140,289</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24,959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7,377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66,277</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costs and expenses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952,729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690,371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1,849,204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1,740,276</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124,637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215,635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(153,480)</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Loss on extinguishment and modification of debt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(237)</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expense, net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(28,347)</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before provision (benefit) for income taxes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107,574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183,965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(182,276)</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(benefit) for income taxes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29,281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(55,434)</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154,684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(126,842)</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Less: net income (loss) attributable to noncontrolling interests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Bloomin’ Brands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82,545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(92,256)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151,407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(126,867)</w:t>
            </w:r>
          </w:p>
        </w:tc>
        <w:tc>
          <w:tcPr>
            <w:tcW w:w="0" w:type="dxa"/>
            <w:vAlign w:val="bottom"/>
          </w:tcPr>
          <w:p>
            <w:pPr>
              <w:spacing w:after="0"/>
              <w:rPr>
                <w:sz w:val="1"/>
                <w:szCs w:val="1"/>
                <w:color w:val="auto"/>
              </w:rPr>
            </w:pPr>
          </w:p>
        </w:tc>
      </w:tr>
      <w:tr>
        <w:trPr>
          <w:trHeight w:val="212"/>
        </w:trPr>
        <w:tc>
          <w:tcPr>
            <w:tcW w:w="5220" w:type="dxa"/>
            <w:vAlign w:val="bottom"/>
          </w:tcPr>
          <w:p>
            <w:pPr>
              <w:ind w:left="120"/>
              <w:spacing w:after="0"/>
              <w:rPr>
                <w:sz w:val="20"/>
                <w:szCs w:val="20"/>
                <w:color w:val="auto"/>
              </w:rPr>
            </w:pPr>
            <w:r>
              <w:rPr>
                <w:rFonts w:ascii="Arial" w:cs="Arial" w:eastAsia="Arial" w:hAnsi="Arial"/>
                <w:sz w:val="15"/>
                <w:szCs w:val="15"/>
                <w:color w:val="auto"/>
              </w:rPr>
              <w:t>Redemption of preferred stock in excess of carrying value</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(3,496)</w:t>
            </w:r>
          </w:p>
        </w:tc>
        <w:tc>
          <w:tcPr>
            <w:tcW w:w="0" w:type="dxa"/>
            <w:vAlign w:val="bottom"/>
          </w:tcPr>
          <w:p>
            <w:pPr>
              <w:spacing w:after="0"/>
              <w:rPr>
                <w:sz w:val="1"/>
                <w:szCs w:val="1"/>
                <w:color w:val="auto"/>
              </w:rPr>
            </w:pPr>
          </w:p>
        </w:tc>
      </w:tr>
      <w:tr>
        <w:trPr>
          <w:trHeight w:val="231"/>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common stockholders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(92,256)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151,407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(130,363)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154,684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(126,842)</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translation adjustment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(37,107)</w:t>
            </w: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Unrealized loss on derivatives, net of tax</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(14,892)</w:t>
            </w: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9"/>
              </w:rPr>
              <w:t>Reclassification of adjustments for loss on derivatives included in Net income</w:t>
            </w: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4,517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3,981</w:t>
            </w:r>
          </w:p>
        </w:tc>
        <w:tc>
          <w:tcPr>
            <w:tcW w:w="0" w:type="dxa"/>
            <w:vAlign w:val="bottom"/>
          </w:tcPr>
          <w:p>
            <w:pPr>
              <w:spacing w:after="0"/>
              <w:rPr>
                <w:sz w:val="1"/>
                <w:szCs w:val="1"/>
                <w:color w:val="auto"/>
              </w:rPr>
            </w:pPr>
          </w:p>
        </w:tc>
      </w:tr>
      <w:tr>
        <w:trPr>
          <w:trHeight w:val="201"/>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net of tax</w:t>
            </w: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20" w:type="dxa"/>
            <w:vAlign w:val="bottom"/>
          </w:tcPr>
          <w:p>
            <w:pPr>
              <w:ind w:left="140"/>
              <w:spacing w:after="0"/>
              <w:rPr>
                <w:sz w:val="20"/>
                <w:szCs w:val="20"/>
                <w:color w:val="auto"/>
              </w:rPr>
            </w:pPr>
            <w:r>
              <w:rPr>
                <w:rFonts w:ascii="Arial" w:cs="Arial" w:eastAsia="Arial" w:hAnsi="Arial"/>
                <w:sz w:val="15"/>
                <w:szCs w:val="15"/>
                <w:color w:val="auto"/>
              </w:rPr>
              <w:t>Amortization of terminated interest rate swaps, net of tax</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1,471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 (loss)</w:t>
            </w: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97,758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(120,545)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163,942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(174,860)</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Less: comprehensive income (loss) attributable to noncontrolling interests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w:t>
            </w:r>
          </w:p>
        </w:tc>
        <w:tc>
          <w:tcPr>
            <w:tcW w:w="0" w:type="dxa"/>
            <w:vAlign w:val="bottom"/>
          </w:tcPr>
          <w:p>
            <w:pPr>
              <w:spacing w:after="0"/>
              <w:rPr>
                <w:sz w:val="1"/>
                <w:szCs w:val="1"/>
                <w:color w:val="auto"/>
              </w:rPr>
            </w:pPr>
          </w:p>
        </w:tc>
      </w:tr>
      <w:tr>
        <w:trPr>
          <w:trHeight w:val="231"/>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 (loss) attributable to Bloomin’ Brands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95,417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(120,373)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160,665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(174,221)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Earnings (loss) per share attributable to common stockholders: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20" w:type="dxa"/>
            <w:vAlign w:val="bottom"/>
          </w:tcPr>
          <w:p>
            <w:pPr>
              <w:ind w:left="140"/>
              <w:spacing w:after="0"/>
              <w:rPr>
                <w:sz w:val="20"/>
                <w:szCs w:val="20"/>
                <w:color w:val="auto"/>
              </w:rPr>
            </w:pPr>
            <w:r>
              <w:rPr>
                <w:rFonts w:ascii="Arial" w:cs="Arial" w:eastAsia="Arial" w:hAnsi="Arial"/>
                <w:sz w:val="15"/>
                <w:szCs w:val="15"/>
                <w:color w:val="auto"/>
              </w:rPr>
              <w:t>Basic</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Weighted average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89,075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87,496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88,721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87,312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20" w:type="dxa"/>
            <w:vAlign w:val="bottom"/>
          </w:tcPr>
          <w:p>
            <w:pPr>
              <w:ind w:left="140"/>
              <w:spacing w:after="0"/>
              <w:rPr>
                <w:sz w:val="20"/>
                <w:szCs w:val="20"/>
                <w:color w:val="auto"/>
              </w:rPr>
            </w:pPr>
            <w:r>
              <w:rPr>
                <w:rFonts w:ascii="Arial" w:cs="Arial" w:eastAsia="Arial" w:hAnsi="Arial"/>
                <w:sz w:val="15"/>
                <w:szCs w:val="15"/>
                <w:color w:val="auto"/>
              </w:rPr>
              <w:t>Diluted</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109,805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87,496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110,223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87,312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BLOOMIN’ BRANDS, INC.</w:t>
            </w: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40" w:type="dxa"/>
            <w:vAlign w:val="bottom"/>
          </w:tcPr>
          <w:p>
            <w:pPr>
              <w:spacing w:after="0"/>
              <w:rPr>
                <w:sz w:val="23"/>
                <w:szCs w:val="23"/>
                <w:color w:val="auto"/>
              </w:rPr>
            </w:pPr>
          </w:p>
        </w:tc>
        <w:tc>
          <w:tcPr>
            <w:tcW w:w="1860" w:type="dxa"/>
            <w:vAlign w:val="bottom"/>
            <w:gridSpan w:val="4"/>
            <w:vMerge w:val="restart"/>
          </w:tcPr>
          <w:p>
            <w:pPr>
              <w:jc w:val="right"/>
              <w:ind w:right="26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w:t>
            </w: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340" w:type="dxa"/>
            <w:vAlign w:val="bottom"/>
          </w:tcPr>
          <w:p>
            <w:pPr>
              <w:spacing w:after="0"/>
              <w:rPr>
                <w:sz w:val="9"/>
                <w:szCs w:val="9"/>
                <w:color w:val="auto"/>
              </w:rPr>
            </w:pPr>
          </w:p>
        </w:tc>
        <w:tc>
          <w:tcPr>
            <w:tcW w:w="186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9"/>
                <w:szCs w:val="9"/>
                <w:color w:val="auto"/>
              </w:rPr>
            </w:pPr>
          </w:p>
        </w:tc>
        <w:tc>
          <w:tcPr>
            <w:tcW w:w="1060" w:type="dxa"/>
            <w:vAlign w:val="bottom"/>
            <w:gridSpan w:val="2"/>
          </w:tcPr>
          <w:p>
            <w:pPr>
              <w:ind w:left="100"/>
              <w:spacing w:after="0" w:line="109" w:lineRule="exact"/>
              <w:rPr>
                <w:sz w:val="20"/>
                <w:szCs w:val="20"/>
                <w:color w:val="auto"/>
              </w:rPr>
            </w:pPr>
            <w:r>
              <w:rPr>
                <w:rFonts w:ascii="Arial" w:cs="Arial" w:eastAsia="Arial" w:hAnsi="Arial"/>
                <w:sz w:val="11"/>
                <w:szCs w:val="11"/>
                <w:b w:val="1"/>
                <w:bCs w:val="1"/>
                <w:color w:val="auto"/>
              </w:rPr>
              <w:t>ULATED</w:t>
            </w:r>
          </w:p>
        </w:tc>
        <w:tc>
          <w:tcPr>
            <w:tcW w:w="1820" w:type="dxa"/>
            <w:vAlign w:val="bottom"/>
            <w:gridSpan w:val="3"/>
          </w:tcPr>
          <w:p>
            <w:pPr>
              <w:ind w:left="40"/>
              <w:spacing w:after="0" w:line="109" w:lineRule="exact"/>
              <w:rPr>
                <w:sz w:val="20"/>
                <w:szCs w:val="20"/>
                <w:color w:val="auto"/>
              </w:rPr>
            </w:pPr>
            <w:r>
              <w:rPr>
                <w:rFonts w:ascii="Arial" w:cs="Arial" w:eastAsia="Arial" w:hAnsi="Arial"/>
                <w:sz w:val="11"/>
                <w:szCs w:val="11"/>
                <w:b w:val="1"/>
                <w:bCs w:val="1"/>
                <w:color w:val="auto"/>
              </w:rPr>
              <w:t>ACCUMULATED OTHER</w:t>
            </w:r>
          </w:p>
        </w:tc>
        <w:tc>
          <w:tcPr>
            <w:tcW w:w="1580" w:type="dxa"/>
            <w:vAlign w:val="bottom"/>
            <w:gridSpan w:val="3"/>
          </w:tcPr>
          <w:p>
            <w:pPr>
              <w:jc w:val="center"/>
              <w:ind w:right="100"/>
              <w:spacing w:after="0" w:line="109" w:lineRule="exact"/>
              <w:rPr>
                <w:sz w:val="20"/>
                <w:szCs w:val="20"/>
                <w:color w:val="auto"/>
              </w:rPr>
            </w:pPr>
            <w:r>
              <w:rPr>
                <w:rFonts w:ascii="Arial" w:cs="Arial" w:eastAsia="Arial" w:hAnsi="Arial"/>
                <w:sz w:val="11"/>
                <w:szCs w:val="11"/>
                <w:b w:val="1"/>
                <w:bCs w:val="1"/>
                <w:color w:val="auto"/>
              </w:rPr>
              <w:t>NON-CONTROLLING</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PAID-IN CAPITAL</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LOSS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INTERESTS</w:t>
            </w:r>
          </w:p>
        </w:tc>
        <w:tc>
          <w:tcPr>
            <w:tcW w:w="160" w:type="dxa"/>
            <w:vAlign w:val="bottom"/>
          </w:tcPr>
          <w:p>
            <w:pPr>
              <w:spacing w:after="0"/>
              <w:rPr>
                <w:sz w:val="16"/>
                <w:szCs w:val="16"/>
                <w:color w:val="auto"/>
              </w:rPr>
            </w:pPr>
          </w:p>
        </w:tc>
        <w:tc>
          <w:tcPr>
            <w:tcW w:w="760" w:type="dxa"/>
            <w:vAlign w:val="bottom"/>
          </w:tcPr>
          <w:p>
            <w:pPr>
              <w:jc w:val="right"/>
              <w:ind w:right="1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March 28,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88,855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1,097,639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(844,864)</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(215,060)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45,405</w:t>
            </w: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82,545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2,341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84,886</w:t>
            </w: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5"/>
              </w:rPr>
              <w:t>Other comprehensive income, net of</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12,872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12,872</w:t>
            </w: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9,781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9,781</w:t>
            </w: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issued under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2,484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2,487</w:t>
            </w: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plans (1)</w:t>
            </w: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40" w:type="dxa"/>
            <w:vAlign w:val="bottom"/>
          </w:tcPr>
          <w:p>
            <w:pPr>
              <w:ind w:left="20"/>
              <w:spacing w:after="0" w:line="160" w:lineRule="exact"/>
              <w:rPr>
                <w:sz w:val="20"/>
                <w:szCs w:val="20"/>
                <w:color w:val="auto"/>
              </w:rPr>
            </w:pPr>
            <w:r>
              <w:rPr>
                <w:rFonts w:ascii="Arial" w:cs="Arial" w:eastAsia="Arial" w:hAnsi="Arial"/>
                <w:sz w:val="15"/>
                <w:szCs w:val="15"/>
                <w:color w:val="auto"/>
              </w:rPr>
              <w:t>Distributions to noncontrolling</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(2,683)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(2,683)</w:t>
            </w:r>
          </w:p>
        </w:tc>
        <w:tc>
          <w:tcPr>
            <w:tcW w:w="0" w:type="dxa"/>
            <w:vAlign w:val="bottom"/>
          </w:tcPr>
          <w:p>
            <w:pPr>
              <w:spacing w:after="0"/>
              <w:rPr>
                <w:sz w:val="1"/>
                <w:szCs w:val="1"/>
                <w:color w:val="auto"/>
              </w:rPr>
            </w:pPr>
          </w:p>
        </w:tc>
      </w:tr>
      <w:tr>
        <w:trPr>
          <w:trHeight w:val="199"/>
        </w:trPr>
        <w:tc>
          <w:tcPr>
            <w:tcW w:w="2340" w:type="dxa"/>
            <w:vAlign w:val="bottom"/>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Contributions from noncontrolling</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94"/>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4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Balance, June 27,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89,211</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892</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1,109,904</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(762,319)</w:t>
            </w: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(202,188)</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6,618</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152,907</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December 27, 2020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1,132,808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(918,096)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(211,446)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10,957</w:t>
            </w:r>
          </w:p>
        </w:tc>
        <w:tc>
          <w:tcPr>
            <w:tcW w:w="0" w:type="dxa"/>
            <w:vAlign w:val="bottom"/>
          </w:tcPr>
          <w:p>
            <w:pPr>
              <w:spacing w:after="0"/>
              <w:rPr>
                <w:sz w:val="1"/>
                <w:szCs w:val="1"/>
                <w:color w:val="auto"/>
              </w:rPr>
            </w:pPr>
          </w:p>
        </w:tc>
      </w:tr>
      <w:tr>
        <w:trPr>
          <w:trHeight w:val="160"/>
        </w:trPr>
        <w:tc>
          <w:tcPr>
            <w:tcW w:w="2340" w:type="dxa"/>
            <w:vAlign w:val="bottom"/>
          </w:tcPr>
          <w:p>
            <w:pPr>
              <w:ind w:left="20"/>
              <w:spacing w:after="0" w:line="160" w:lineRule="exact"/>
              <w:rPr>
                <w:sz w:val="20"/>
                <w:szCs w:val="20"/>
                <w:color w:val="auto"/>
              </w:rPr>
            </w:pPr>
            <w:r>
              <w:rPr>
                <w:rFonts w:ascii="Arial" w:cs="Arial" w:eastAsia="Arial" w:hAnsi="Arial"/>
                <w:sz w:val="15"/>
                <w:szCs w:val="15"/>
                <w:color w:val="auto"/>
                <w:w w:val="98"/>
              </w:rPr>
              <w:t>Cumulative-effect from a change in</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(47,323)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4,370</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(42,953)</w:t>
            </w:r>
          </w:p>
        </w:tc>
        <w:tc>
          <w:tcPr>
            <w:tcW w:w="0" w:type="dxa"/>
            <w:vAlign w:val="bottom"/>
          </w:tcPr>
          <w:p>
            <w:pPr>
              <w:spacing w:after="0"/>
              <w:rPr>
                <w:sz w:val="1"/>
                <w:szCs w:val="1"/>
                <w:color w:val="auto"/>
              </w:rPr>
            </w:pPr>
          </w:p>
        </w:tc>
      </w:tr>
      <w:tr>
        <w:trPr>
          <w:trHeight w:val="199"/>
        </w:trPr>
        <w:tc>
          <w:tcPr>
            <w:tcW w:w="2340" w:type="dxa"/>
            <w:vAlign w:val="bottom"/>
          </w:tcPr>
          <w:p>
            <w:pPr>
              <w:ind w:left="20"/>
              <w:spacing w:after="0"/>
              <w:rPr>
                <w:sz w:val="20"/>
                <w:szCs w:val="20"/>
                <w:color w:val="auto"/>
              </w:rPr>
            </w:pPr>
            <w:r>
              <w:rPr>
                <w:rFonts w:ascii="Arial" w:cs="Arial" w:eastAsia="Arial" w:hAnsi="Arial"/>
                <w:sz w:val="15"/>
                <w:szCs w:val="15"/>
                <w:color w:val="auto"/>
              </w:rPr>
              <w:t>accounting principle, net of tax</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151,407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154,684</w:t>
            </w:r>
          </w:p>
        </w:tc>
        <w:tc>
          <w:tcPr>
            <w:tcW w:w="0" w:type="dxa"/>
            <w:vAlign w:val="bottom"/>
          </w:tcPr>
          <w:p>
            <w:pPr>
              <w:spacing w:after="0"/>
              <w:rPr>
                <w:sz w:val="1"/>
                <w:szCs w:val="1"/>
                <w:color w:val="auto"/>
              </w:rPr>
            </w:pPr>
          </w:p>
        </w:tc>
      </w:tr>
      <w:tr>
        <w:trPr>
          <w:trHeight w:val="160"/>
        </w:trPr>
        <w:tc>
          <w:tcPr>
            <w:tcW w:w="2340" w:type="dxa"/>
            <w:vAlign w:val="bottom"/>
          </w:tcPr>
          <w:p>
            <w:pPr>
              <w:ind w:left="20"/>
              <w:spacing w:after="0" w:line="160" w:lineRule="exact"/>
              <w:rPr>
                <w:sz w:val="20"/>
                <w:szCs w:val="20"/>
                <w:color w:val="auto"/>
              </w:rPr>
            </w:pPr>
            <w:r>
              <w:rPr>
                <w:rFonts w:ascii="Arial" w:cs="Arial" w:eastAsia="Arial" w:hAnsi="Arial"/>
                <w:sz w:val="15"/>
                <w:szCs w:val="15"/>
                <w:color w:val="auto"/>
                <w:w w:val="95"/>
              </w:rPr>
              <w:t>Other comprehensive income, net of</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9,258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9,258</w:t>
            </w:r>
          </w:p>
        </w:tc>
        <w:tc>
          <w:tcPr>
            <w:tcW w:w="0" w:type="dxa"/>
            <w:vAlign w:val="bottom"/>
          </w:tcPr>
          <w:p>
            <w:pPr>
              <w:spacing w:after="0"/>
              <w:rPr>
                <w:sz w:val="1"/>
                <w:szCs w:val="1"/>
                <w:color w:val="auto"/>
              </w:rPr>
            </w:pPr>
          </w:p>
        </w:tc>
      </w:tr>
      <w:tr>
        <w:trPr>
          <w:trHeight w:val="199"/>
        </w:trPr>
        <w:tc>
          <w:tcPr>
            <w:tcW w:w="2340" w:type="dxa"/>
            <w:vAlign w:val="bottom"/>
          </w:tcPr>
          <w:p>
            <w:pPr>
              <w:ind w:left="20"/>
              <w:spacing w:after="0"/>
              <w:rPr>
                <w:sz w:val="20"/>
                <w:szCs w:val="20"/>
                <w:color w:val="auto"/>
              </w:rPr>
            </w:pPr>
            <w:r>
              <w:rPr>
                <w:rFonts w:ascii="Arial" w:cs="Arial" w:eastAsia="Arial" w:hAnsi="Arial"/>
                <w:sz w:val="15"/>
                <w:szCs w:val="15"/>
                <w:color w:val="auto"/>
              </w:rPr>
              <w:t>tax</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14,507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14,507</w:t>
            </w:r>
          </w:p>
        </w:tc>
        <w:tc>
          <w:tcPr>
            <w:tcW w:w="0" w:type="dxa"/>
            <w:vAlign w:val="bottom"/>
          </w:tcPr>
          <w:p>
            <w:pPr>
              <w:spacing w:after="0"/>
              <w:rPr>
                <w:sz w:val="1"/>
                <w:szCs w:val="1"/>
                <w:color w:val="auto"/>
              </w:rPr>
            </w:pPr>
          </w:p>
        </w:tc>
      </w:tr>
      <w:tr>
        <w:trPr>
          <w:trHeight w:val="160"/>
        </w:trPr>
        <w:tc>
          <w:tcPr>
            <w:tcW w:w="2340" w:type="dxa"/>
            <w:vAlign w:val="bottom"/>
          </w:tcPr>
          <w:p>
            <w:pPr>
              <w:ind w:left="20"/>
              <w:spacing w:after="0" w:line="160" w:lineRule="exact"/>
              <w:rPr>
                <w:sz w:val="20"/>
                <w:szCs w:val="20"/>
                <w:color w:val="auto"/>
              </w:rPr>
            </w:pPr>
            <w:r>
              <w:rPr>
                <w:rFonts w:ascii="Arial" w:cs="Arial" w:eastAsia="Arial" w:hAnsi="Arial"/>
                <w:sz w:val="15"/>
                <w:szCs w:val="15"/>
                <w:color w:val="auto"/>
              </w:rPr>
              <w:t>Common stock issued under stock</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1,355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ind w:right="4"/>
              <w:spacing w:after="0"/>
              <w:rPr>
                <w:sz w:val="20"/>
                <w:szCs w:val="20"/>
                <w:color w:val="auto"/>
              </w:rPr>
            </w:pPr>
            <w:r>
              <w:rPr>
                <w:rFonts w:ascii="Arial" w:cs="Arial" w:eastAsia="Arial" w:hAnsi="Arial"/>
                <w:sz w:val="15"/>
                <w:szCs w:val="15"/>
                <w:color w:val="auto"/>
              </w:rPr>
              <w:t>9,912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9,925</w:t>
            </w:r>
          </w:p>
        </w:tc>
        <w:tc>
          <w:tcPr>
            <w:tcW w:w="0" w:type="dxa"/>
            <w:vAlign w:val="bottom"/>
          </w:tcPr>
          <w:p>
            <w:pPr>
              <w:spacing w:after="0"/>
              <w:rPr>
                <w:sz w:val="1"/>
                <w:szCs w:val="1"/>
                <w:color w:val="auto"/>
              </w:rPr>
            </w:pPr>
          </w:p>
        </w:tc>
      </w:tr>
      <w:tr>
        <w:trPr>
          <w:trHeight w:val="199"/>
        </w:trPr>
        <w:tc>
          <w:tcPr>
            <w:tcW w:w="2340" w:type="dxa"/>
            <w:vAlign w:val="bottom"/>
          </w:tcPr>
          <w:p>
            <w:pPr>
              <w:ind w:left="20"/>
              <w:spacing w:after="0"/>
              <w:rPr>
                <w:sz w:val="20"/>
                <w:szCs w:val="20"/>
                <w:color w:val="auto"/>
              </w:rPr>
            </w:pPr>
            <w:r>
              <w:rPr>
                <w:rFonts w:ascii="Arial" w:cs="Arial" w:eastAsia="Arial" w:hAnsi="Arial"/>
                <w:sz w:val="15"/>
                <w:szCs w:val="15"/>
                <w:color w:val="auto"/>
              </w:rPr>
              <w:t>plans (1)</w:t>
            </w: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Distributions to noncontrolling</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(4,141)</w:t>
            </w: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40" w:type="dxa"/>
            <w:vAlign w:val="bottom"/>
          </w:tcPr>
          <w:p>
            <w:pPr>
              <w:ind w:left="20"/>
              <w:spacing w:after="0" w:line="160" w:lineRule="exact"/>
              <w:rPr>
                <w:sz w:val="20"/>
                <w:szCs w:val="20"/>
                <w:color w:val="auto"/>
              </w:rPr>
            </w:pPr>
            <w:r>
              <w:rPr>
                <w:rFonts w:ascii="Arial" w:cs="Arial" w:eastAsia="Arial" w:hAnsi="Arial"/>
                <w:sz w:val="15"/>
                <w:szCs w:val="15"/>
                <w:color w:val="auto"/>
              </w:rPr>
              <w:t>Contributions from noncontrolling</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670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194"/>
        </w:trPr>
        <w:tc>
          <w:tcPr>
            <w:tcW w:w="2340" w:type="dxa"/>
            <w:vAlign w:val="bottom"/>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June 27,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89,211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1,109,904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(762,319)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(202,188)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152,907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BLOOMIN’ BRANDS, INC.</w:t>
            </w: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60" w:type="dxa"/>
            <w:vAlign w:val="bottom"/>
          </w:tcPr>
          <w:p>
            <w:pPr>
              <w:spacing w:after="0"/>
              <w:rPr>
                <w:sz w:val="23"/>
                <w:szCs w:val="23"/>
                <w:color w:val="auto"/>
              </w:rPr>
            </w:pPr>
          </w:p>
        </w:tc>
        <w:tc>
          <w:tcPr>
            <w:tcW w:w="1920" w:type="dxa"/>
            <w:vAlign w:val="bottom"/>
            <w:gridSpan w:val="4"/>
            <w:vMerge w:val="restart"/>
          </w:tcPr>
          <w:p>
            <w:pPr>
              <w:jc w:val="right"/>
              <w:ind w:right="30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w:t>
            </w: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360" w:type="dxa"/>
            <w:vAlign w:val="bottom"/>
          </w:tcPr>
          <w:p>
            <w:pPr>
              <w:spacing w:after="0"/>
              <w:rPr>
                <w:sz w:val="9"/>
                <w:szCs w:val="9"/>
                <w:color w:val="auto"/>
              </w:rPr>
            </w:pPr>
          </w:p>
        </w:tc>
        <w:tc>
          <w:tcPr>
            <w:tcW w:w="19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9"/>
                <w:szCs w:val="9"/>
                <w:color w:val="auto"/>
              </w:rPr>
            </w:pPr>
          </w:p>
        </w:tc>
        <w:tc>
          <w:tcPr>
            <w:tcW w:w="1040" w:type="dxa"/>
            <w:vAlign w:val="bottom"/>
            <w:gridSpan w:val="2"/>
          </w:tcPr>
          <w:p>
            <w:pPr>
              <w:ind w:left="100"/>
              <w:spacing w:after="0" w:line="109" w:lineRule="exact"/>
              <w:rPr>
                <w:sz w:val="20"/>
                <w:szCs w:val="20"/>
                <w:color w:val="auto"/>
              </w:rPr>
            </w:pPr>
            <w:r>
              <w:rPr>
                <w:rFonts w:ascii="Arial" w:cs="Arial" w:eastAsia="Arial" w:hAnsi="Arial"/>
                <w:sz w:val="11"/>
                <w:szCs w:val="11"/>
                <w:b w:val="1"/>
                <w:bCs w:val="1"/>
                <w:color w:val="auto"/>
              </w:rPr>
              <w:t>ULATED</w:t>
            </w:r>
          </w:p>
        </w:tc>
        <w:tc>
          <w:tcPr>
            <w:tcW w:w="178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auto"/>
              </w:rPr>
              <w:t>ACCUMULATED OTHER</w:t>
            </w:r>
          </w:p>
        </w:tc>
        <w:tc>
          <w:tcPr>
            <w:tcW w:w="1580" w:type="dxa"/>
            <w:vAlign w:val="bottom"/>
            <w:gridSpan w:val="3"/>
          </w:tcPr>
          <w:p>
            <w:pPr>
              <w:jc w:val="center"/>
              <w:ind w:right="100"/>
              <w:spacing w:after="0" w:line="109" w:lineRule="exact"/>
              <w:rPr>
                <w:sz w:val="20"/>
                <w:szCs w:val="20"/>
                <w:color w:val="auto"/>
              </w:rPr>
            </w:pPr>
            <w:r>
              <w:rPr>
                <w:rFonts w:ascii="Arial" w:cs="Arial" w:eastAsia="Arial" w:hAnsi="Arial"/>
                <w:sz w:val="11"/>
                <w:szCs w:val="11"/>
                <w:b w:val="1"/>
                <w:bCs w:val="1"/>
                <w:color w:val="auto"/>
              </w:rPr>
              <w:t>NON-CONTROLLING</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INTERESTS</w:t>
            </w:r>
          </w:p>
        </w:tc>
        <w:tc>
          <w:tcPr>
            <w:tcW w:w="160" w:type="dxa"/>
            <w:vAlign w:val="bottom"/>
          </w:tcPr>
          <w:p>
            <w:pPr>
              <w:spacing w:after="0"/>
              <w:rPr>
                <w:sz w:val="16"/>
                <w:szCs w:val="16"/>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March 29, 2020</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87,417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874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1,074,081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(793,992)</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(189,013)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8,193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100,143</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Net loss</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(92,256)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(92,428)</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Other comprehensive loss, net of tax</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(28,117)</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5,071</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issued under stock</w:t>
            </w: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(355)</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plans (1)</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Contributions from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Equity component value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60" w:type="dxa"/>
            <w:vAlign w:val="bottom"/>
          </w:tcPr>
          <w:p>
            <w:pPr>
              <w:ind w:left="20"/>
              <w:spacing w:after="0" w:line="155" w:lineRule="exact"/>
              <w:rPr>
                <w:sz w:val="20"/>
                <w:szCs w:val="20"/>
                <w:color w:val="auto"/>
              </w:rPr>
            </w:pPr>
            <w:r>
              <w:rPr>
                <w:rFonts w:ascii="Arial" w:cs="Arial" w:eastAsia="Arial" w:hAnsi="Arial"/>
                <w:sz w:val="15"/>
                <w:szCs w:val="15"/>
                <w:color w:val="auto"/>
                <w:w w:val="96"/>
              </w:rPr>
              <w:t>convertible note issuance, net of tax</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64,367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64,367</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of $650</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 of common stock warrant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46,690</w:t>
            </w:r>
          </w:p>
        </w:tc>
        <w:tc>
          <w:tcPr>
            <w:tcW w:w="0" w:type="dxa"/>
            <w:vAlign w:val="bottom"/>
          </w:tcPr>
          <w:p>
            <w:pPr>
              <w:spacing w:after="0"/>
              <w:rPr>
                <w:sz w:val="1"/>
                <w:szCs w:val="1"/>
                <w:color w:val="auto"/>
              </w:rPr>
            </w:pPr>
          </w:p>
        </w:tc>
      </w:tr>
      <w:tr>
        <w:trPr>
          <w:trHeight w:val="212"/>
        </w:trPr>
        <w:tc>
          <w:tcPr>
            <w:tcW w:w="2360" w:type="dxa"/>
            <w:vAlign w:val="bottom"/>
          </w:tcPr>
          <w:p>
            <w:pPr>
              <w:ind w:left="20"/>
              <w:spacing w:after="0"/>
              <w:rPr>
                <w:sz w:val="20"/>
                <w:szCs w:val="20"/>
                <w:color w:val="auto"/>
              </w:rPr>
            </w:pPr>
            <w:r>
              <w:rPr>
                <w:rFonts w:ascii="Arial" w:cs="Arial" w:eastAsia="Arial" w:hAnsi="Arial"/>
                <w:sz w:val="15"/>
                <w:szCs w:val="15"/>
                <w:color w:val="auto"/>
                <w:w w:val="98"/>
              </w:rPr>
              <w:t>Purchase of convertible note hedge</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(66,240)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(66,240)</w:t>
            </w:r>
          </w:p>
        </w:tc>
        <w:tc>
          <w:tcPr>
            <w:tcW w:w="0" w:type="dxa"/>
            <w:vAlign w:val="bottom"/>
          </w:tcPr>
          <w:p>
            <w:pPr>
              <w:spacing w:after="0"/>
              <w:rPr>
                <w:sz w:val="1"/>
                <w:szCs w:val="1"/>
                <w:color w:val="auto"/>
              </w:rPr>
            </w:pPr>
          </w:p>
        </w:tc>
      </w:tr>
      <w:tr>
        <w:trPr>
          <w:trHeight w:val="231"/>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June 28, 2020</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87,534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1,123,613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(886,248)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29,198</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3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December 29, 2019</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86,946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1,094,338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(755,089)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(169,776)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177,481</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w w:val="99"/>
              </w:rPr>
              <w:t>Cumulative-effect from a change in</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(4,292)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(4,292)</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accounting principle, net of tax</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income</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(126,867)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(126,842)</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w w:val="94"/>
              </w:rPr>
              <w:t>Other comprehensive loss, net of tax</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(47,871)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(48,018)</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8"/>
              </w:rPr>
              <w:t>Cash dividends declared, $0.20 per</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(17,480)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(17,480)</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share</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8,360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8,360</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9"/>
              </w:rPr>
              <w:t>Consideration for preferred stock in</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(3,496)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excess of carrying value, net of tax</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Common stock issued under stock</w:t>
            </w:r>
          </w:p>
        </w:tc>
        <w:tc>
          <w:tcPr>
            <w:tcW w:w="900" w:type="dxa"/>
            <w:vAlign w:val="bottom"/>
            <w:vMerge w:val="restart"/>
          </w:tcPr>
          <w:p>
            <w:pPr>
              <w:jc w:val="right"/>
              <w:ind w:right="3"/>
              <w:spacing w:after="0"/>
              <w:rPr>
                <w:sz w:val="20"/>
                <w:szCs w:val="20"/>
                <w:color w:val="auto"/>
              </w:rPr>
            </w:pPr>
            <w:r>
              <w:rPr>
                <w:rFonts w:ascii="Arial" w:cs="Arial" w:eastAsia="Arial" w:hAnsi="Arial"/>
                <w:sz w:val="15"/>
                <w:szCs w:val="15"/>
                <w:color w:val="auto"/>
              </w:rPr>
              <w:t>588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(2,868)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(2,862)</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plans (1)</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Purchase of noncontrolling interests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(338)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Contributions from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Equity component value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60" w:type="dxa"/>
            <w:vAlign w:val="bottom"/>
          </w:tcPr>
          <w:p>
            <w:pPr>
              <w:ind w:left="20"/>
              <w:spacing w:after="0" w:line="155" w:lineRule="exact"/>
              <w:rPr>
                <w:sz w:val="20"/>
                <w:szCs w:val="20"/>
                <w:color w:val="auto"/>
              </w:rPr>
            </w:pPr>
            <w:r>
              <w:rPr>
                <w:rFonts w:ascii="Arial" w:cs="Arial" w:eastAsia="Arial" w:hAnsi="Arial"/>
                <w:sz w:val="15"/>
                <w:szCs w:val="15"/>
                <w:color w:val="auto"/>
                <w:w w:val="96"/>
              </w:rPr>
              <w:t>convertible note issuance, net of tax</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64,367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64,367</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of $650</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 of common stock warrant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46,690</w:t>
            </w:r>
          </w:p>
        </w:tc>
        <w:tc>
          <w:tcPr>
            <w:tcW w:w="0" w:type="dxa"/>
            <w:vAlign w:val="bottom"/>
          </w:tcPr>
          <w:p>
            <w:pPr>
              <w:spacing w:after="0"/>
              <w:rPr>
                <w:sz w:val="1"/>
                <w:szCs w:val="1"/>
                <w:color w:val="auto"/>
              </w:rPr>
            </w:pPr>
          </w:p>
        </w:tc>
      </w:tr>
      <w:tr>
        <w:trPr>
          <w:trHeight w:val="212"/>
        </w:trPr>
        <w:tc>
          <w:tcPr>
            <w:tcW w:w="2360" w:type="dxa"/>
            <w:vAlign w:val="bottom"/>
          </w:tcPr>
          <w:p>
            <w:pPr>
              <w:ind w:left="20"/>
              <w:spacing w:after="0"/>
              <w:rPr>
                <w:sz w:val="20"/>
                <w:szCs w:val="20"/>
                <w:color w:val="auto"/>
              </w:rPr>
            </w:pPr>
            <w:r>
              <w:rPr>
                <w:rFonts w:ascii="Arial" w:cs="Arial" w:eastAsia="Arial" w:hAnsi="Arial"/>
                <w:sz w:val="15"/>
                <w:szCs w:val="15"/>
                <w:color w:val="auto"/>
                <w:w w:val="98"/>
              </w:rPr>
              <w:t>Purchase of convertible note hedge</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(66,240)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(66,240)</w:t>
            </w:r>
          </w:p>
        </w:tc>
        <w:tc>
          <w:tcPr>
            <w:tcW w:w="0" w:type="dxa"/>
            <w:vAlign w:val="bottom"/>
          </w:tcPr>
          <w:p>
            <w:pPr>
              <w:spacing w:after="0"/>
              <w:rPr>
                <w:sz w:val="1"/>
                <w:szCs w:val="1"/>
                <w:color w:val="auto"/>
              </w:rPr>
            </w:pPr>
          </w:p>
        </w:tc>
      </w:tr>
      <w:tr>
        <w:trPr>
          <w:trHeight w:val="231"/>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June 28, 2020</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87,534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1,123,613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(886,248)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29,198</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forfeitures and shares withheld for employee taxes.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7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27, 2021</w:t>
            </w:r>
          </w:p>
        </w:tc>
        <w:tc>
          <w:tcPr>
            <w:tcW w:w="260" w:type="dxa"/>
            <w:vAlign w:val="bottom"/>
          </w:tcPr>
          <w:p>
            <w:pPr>
              <w:spacing w:after="0"/>
              <w:rPr>
                <w:sz w:val="16"/>
                <w:szCs w:val="16"/>
                <w:color w:val="auto"/>
              </w:rPr>
            </w:pPr>
          </w:p>
        </w:tc>
        <w:tc>
          <w:tcPr>
            <w:tcW w:w="1520" w:type="dxa"/>
            <w:vAlign w:val="bottom"/>
          </w:tcPr>
          <w:p>
            <w:pPr>
              <w:jc w:val="right"/>
              <w:ind w:right="383"/>
              <w:spacing w:after="0"/>
              <w:rPr>
                <w:sz w:val="20"/>
                <w:szCs w:val="20"/>
                <w:color w:val="auto"/>
              </w:rPr>
            </w:pPr>
            <w:r>
              <w:rPr>
                <w:rFonts w:ascii="Arial" w:cs="Arial" w:eastAsia="Arial" w:hAnsi="Arial"/>
                <w:sz w:val="14"/>
                <w:szCs w:val="14"/>
                <w:b w:val="1"/>
                <w:bCs w:val="1"/>
                <w:color w:val="auto"/>
              </w:rPr>
              <w:t>JUNE 28, 2020</w:t>
            </w:r>
          </w:p>
        </w:tc>
      </w:tr>
      <w:tr>
        <w:trPr>
          <w:trHeight w:val="245"/>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provided by (used in) operating activities:</w:t>
            </w:r>
          </w:p>
        </w:tc>
        <w:tc>
          <w:tcPr>
            <w:tcW w:w="28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154,684</w:t>
            </w:r>
          </w:p>
        </w:tc>
        <w:tc>
          <w:tcPr>
            <w:tcW w:w="1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(126,842)</w:t>
            </w: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(loss) to cash provided by (used in) operating activities: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81,765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94,052</w:t>
            </w: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 of debt discounts and issuance costs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2,966</w:t>
            </w: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Amortization of deferred gift card sales commissions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14,436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11,592</w:t>
            </w: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Provision for impaired assets and restaurant closings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66,277</w:t>
            </w: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Amortization of unrealized loss on terminated interest rate swaps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1,981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Non-cash operating lease costs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36,230</w:t>
            </w: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Provision for expected credit losses and contingent lease liabilities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937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7,447</w:t>
            </w: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Inventory obsolescence and spoilage</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6,413</w:t>
            </w: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Stock-based and other non-cash compensation expense</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14,507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8,360</w:t>
            </w: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income tax expense (benefit)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(58,578)</w:t>
            </w: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(Gain) loss on disposal of property, fixtures and equipment</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(709)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1,014</w:t>
            </w: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net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w:t>
            </w:r>
          </w:p>
        </w:tc>
      </w:tr>
      <w:tr>
        <w:trPr>
          <w:trHeight w:val="199"/>
        </w:trPr>
        <w:tc>
          <w:tcPr>
            <w:tcW w:w="75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Change in assets and liabilities</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(43,067)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(51,253)</w:t>
            </w:r>
          </w:p>
        </w:tc>
      </w:tr>
      <w:tr>
        <w:trPr>
          <w:trHeight w:val="226"/>
        </w:trPr>
        <w:tc>
          <w:tcPr>
            <w:tcW w:w="75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Net cash provided by (used in)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283,182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(3,313)</w:t>
            </w:r>
          </w:p>
        </w:tc>
      </w:tr>
      <w:tr>
        <w:trPr>
          <w:trHeight w:val="189"/>
        </w:trPr>
        <w:tc>
          <w:tcPr>
            <w:tcW w:w="7560" w:type="dxa"/>
            <w:vAlign w:val="bottom"/>
          </w:tcPr>
          <w:p>
            <w:pPr>
              <w:ind w:left="20"/>
              <w:spacing w:after="0"/>
              <w:rPr>
                <w:sz w:val="20"/>
                <w:szCs w:val="20"/>
                <w:color w:val="auto"/>
              </w:rPr>
            </w:pPr>
            <w:r>
              <w:rPr>
                <w:rFonts w:ascii="Arial" w:cs="Arial" w:eastAsia="Arial" w:hAnsi="Arial"/>
                <w:sz w:val="15"/>
                <w:szCs w:val="15"/>
                <w:color w:val="auto"/>
              </w:rPr>
              <w:t>Cash flows used in investing activities:</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disposal of property, fixtures and equipment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w:t>
            </w: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Capital expenditures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(51,398)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(53,205)</w:t>
            </w:r>
          </w:p>
        </w:tc>
      </w:tr>
      <w:tr>
        <w:trPr>
          <w:trHeight w:val="215"/>
        </w:trPr>
        <w:tc>
          <w:tcPr>
            <w:tcW w:w="7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Other investments, net</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4,782</w:t>
            </w:r>
          </w:p>
        </w:tc>
      </w:tr>
      <w:tr>
        <w:trPr>
          <w:trHeight w:val="212"/>
        </w:trPr>
        <w:tc>
          <w:tcPr>
            <w:tcW w:w="7560" w:type="dxa"/>
            <w:vAlign w:val="bottom"/>
          </w:tcPr>
          <w:p>
            <w:pPr>
              <w:ind w:left="94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(42,625)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(48,001)</w:t>
            </w:r>
          </w:p>
        </w:tc>
      </w:tr>
    </w:tbl>
    <w:p>
      <w:pPr>
        <w:spacing w:after="0" w:line="237" w:lineRule="exact"/>
        <w:rPr>
          <w:sz w:val="20"/>
          <w:szCs w:val="20"/>
          <w:color w:val="auto"/>
        </w:rPr>
      </w:pPr>
    </w:p>
    <w:p>
      <w:pPr>
        <w:ind w:left="10100"/>
        <w:spacing w:after="0"/>
        <w:rPr>
          <w:sz w:val="20"/>
          <w:szCs w:val="20"/>
          <w:color w:val="auto"/>
        </w:rPr>
      </w:pPr>
      <w:r>
        <w:rPr>
          <w:rFonts w:ascii="Arial" w:cs="Arial" w:eastAsia="Arial" w:hAnsi="Arial"/>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7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27, 2021</w:t>
            </w:r>
          </w:p>
        </w:tc>
        <w:tc>
          <w:tcPr>
            <w:tcW w:w="260" w:type="dxa"/>
            <w:vAlign w:val="bottom"/>
          </w:tcPr>
          <w:p>
            <w:pPr>
              <w:spacing w:after="0"/>
              <w:rPr>
                <w:sz w:val="16"/>
                <w:szCs w:val="16"/>
                <w:color w:val="auto"/>
              </w:rPr>
            </w:pPr>
          </w:p>
        </w:tc>
        <w:tc>
          <w:tcPr>
            <w:tcW w:w="1520" w:type="dxa"/>
            <w:vAlign w:val="bottom"/>
          </w:tcPr>
          <w:p>
            <w:pPr>
              <w:jc w:val="right"/>
              <w:ind w:right="383"/>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245"/>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(used in) provided by financing activities:</w:t>
            </w:r>
          </w:p>
        </w:tc>
        <w:tc>
          <w:tcPr>
            <w:tcW w:w="28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Proceeds from issuance of long-term debt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200,000</w:t>
            </w:r>
          </w:p>
        </w:tc>
        <w:tc>
          <w:tcPr>
            <w:tcW w:w="1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Repayments of long-term debt and finance lease obligations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(425,564)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(13,242)</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Proceeds from borrowings on revolving credit facilities, net</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286,000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505,000</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Repayments of borrowings on revolving credit facilities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(489,000)</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Financing fees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(5,868)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(3,096)</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issuance of senior notes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Proceeds from issuance of convertible senior notes</w:t>
            </w:r>
          </w:p>
        </w:tc>
        <w:tc>
          <w:tcPr>
            <w:tcW w:w="2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230,000</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issuance of warrants</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46,690</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Purchase of convertible note hedge</w:t>
            </w:r>
          </w:p>
        </w:tc>
        <w:tc>
          <w:tcPr>
            <w:tcW w:w="2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(66,240)</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Issuance costs related to senior notes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(8,416)</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Proceeds (payments of taxes) from share-based compensation, net</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9,925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(2,862)</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Distributions to noncontrolling interests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Contributions from noncontrolling interests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Purchase of limited partnership and noncontrolling interests</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Payments for partner equity plan</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(4,494)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(9,976)</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dividends paid on common stock</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(17,480)</w:t>
            </w:r>
          </w:p>
        </w:tc>
        <w:tc>
          <w:tcPr>
            <w:tcW w:w="0" w:type="dxa"/>
            <w:vAlign w:val="bottom"/>
          </w:tcPr>
          <w:p>
            <w:pPr>
              <w:spacing w:after="0"/>
              <w:rPr>
                <w:sz w:val="1"/>
                <w:szCs w:val="1"/>
                <w:color w:val="auto"/>
              </w:rPr>
            </w:pPr>
          </w:p>
        </w:tc>
      </w:tr>
      <w:tr>
        <w:trPr>
          <w:trHeight w:val="212"/>
        </w:trPr>
        <w:tc>
          <w:tcPr>
            <w:tcW w:w="7560" w:type="dxa"/>
            <w:vAlign w:val="bottom"/>
          </w:tcPr>
          <w:p>
            <w:pPr>
              <w:ind w:left="320"/>
              <w:spacing w:after="0"/>
              <w:rPr>
                <w:sz w:val="20"/>
                <w:szCs w:val="20"/>
                <w:color w:val="auto"/>
              </w:rPr>
            </w:pPr>
            <w:r>
              <w:rPr>
                <w:rFonts w:ascii="Arial" w:cs="Arial" w:eastAsia="Arial" w:hAnsi="Arial"/>
                <w:sz w:val="15"/>
                <w:szCs w:val="15"/>
                <w:color w:val="auto"/>
              </w:rPr>
              <w:t>Redemption of subsidiary preferred stock</w:t>
            </w:r>
          </w:p>
        </w:tc>
        <w:tc>
          <w:tcPr>
            <w:tcW w:w="2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(1,475)</w:t>
            </w:r>
          </w:p>
        </w:tc>
        <w:tc>
          <w:tcPr>
            <w:tcW w:w="0" w:type="dxa"/>
            <w:vAlign w:val="bottom"/>
          </w:tcPr>
          <w:p>
            <w:pPr>
              <w:spacing w:after="0"/>
              <w:rPr>
                <w:sz w:val="1"/>
                <w:szCs w:val="1"/>
                <w:color w:val="auto"/>
              </w:rPr>
            </w:pPr>
          </w:p>
        </w:tc>
      </w:tr>
      <w:tr>
        <w:trPr>
          <w:trHeight w:val="226"/>
        </w:trPr>
        <w:tc>
          <w:tcPr>
            <w:tcW w:w="7560" w:type="dxa"/>
            <w:vAlign w:val="bottom"/>
            <w:tcBorders>
              <w:top w:val="single" w:sz="8" w:color="CCEEFF"/>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Net cash (used in) provided by financing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(248,018)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169,655</w:t>
            </w:r>
          </w:p>
        </w:tc>
        <w:tc>
          <w:tcPr>
            <w:tcW w:w="0" w:type="dxa"/>
            <w:vAlign w:val="bottom"/>
          </w:tcPr>
          <w:p>
            <w:pPr>
              <w:spacing w:after="0"/>
              <w:rPr>
                <w:sz w:val="1"/>
                <w:szCs w:val="1"/>
                <w:color w:val="auto"/>
              </w:rPr>
            </w:pPr>
          </w:p>
        </w:tc>
      </w:tr>
      <w:tr>
        <w:trPr>
          <w:trHeight w:val="18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(2,955)</w:t>
            </w:r>
          </w:p>
        </w:tc>
        <w:tc>
          <w:tcPr>
            <w:tcW w:w="0" w:type="dxa"/>
            <w:vAlign w:val="bottom"/>
          </w:tcPr>
          <w:p>
            <w:pPr>
              <w:spacing w:after="0"/>
              <w:rPr>
                <w:sz w:val="1"/>
                <w:szCs w:val="1"/>
                <w:color w:val="auto"/>
              </w:rPr>
            </w:pPr>
          </w:p>
        </w:tc>
      </w:tr>
      <w:tr>
        <w:trPr>
          <w:trHeight w:val="206"/>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115,386</w:t>
            </w:r>
          </w:p>
        </w:tc>
        <w:tc>
          <w:tcPr>
            <w:tcW w:w="0" w:type="dxa"/>
            <w:vAlign w:val="bottom"/>
          </w:tcPr>
          <w:p>
            <w:pPr>
              <w:spacing w:after="0"/>
              <w:rPr>
                <w:sz w:val="1"/>
                <w:szCs w:val="1"/>
                <w:color w:val="auto"/>
              </w:rPr>
            </w:pPr>
          </w:p>
        </w:tc>
      </w:tr>
      <w:tr>
        <w:trPr>
          <w:trHeight w:val="21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as of the beginning of the period</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110,408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67,145</w:t>
            </w:r>
          </w:p>
        </w:tc>
        <w:tc>
          <w:tcPr>
            <w:tcW w:w="0" w:type="dxa"/>
            <w:vAlign w:val="bottom"/>
          </w:tcPr>
          <w:p>
            <w:pPr>
              <w:spacing w:after="0"/>
              <w:rPr>
                <w:sz w:val="1"/>
                <w:szCs w:val="1"/>
                <w:color w:val="auto"/>
              </w:rPr>
            </w:pPr>
          </w:p>
        </w:tc>
      </w:tr>
      <w:tr>
        <w:trPr>
          <w:trHeight w:val="231"/>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as of the end of the period</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103,075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182,531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paid for interest</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23,595</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Cash paid for income taxes, net of refunds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11,883</w:t>
            </w:r>
          </w:p>
        </w:tc>
        <w:tc>
          <w:tcPr>
            <w:tcW w:w="1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5,287</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non-cash investing and financing activities: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Leased assets obtained in exchange for new operating lease liabilities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28,261</w:t>
            </w:r>
          </w:p>
        </w:tc>
        <w:tc>
          <w:tcPr>
            <w:tcW w:w="1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13,549</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Leased assets obtained in exchange for new finance lease liabilities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w:t>
            </w:r>
          </w:p>
        </w:tc>
        <w:tc>
          <w:tcPr>
            <w:tcW w:w="0" w:type="dxa"/>
            <w:vAlign w:val="bottom"/>
          </w:tcPr>
          <w:p>
            <w:pPr>
              <w:spacing w:after="0"/>
              <w:rPr>
                <w:sz w:val="1"/>
                <w:szCs w:val="1"/>
                <w:color w:val="auto"/>
              </w:rPr>
            </w:pPr>
          </w:p>
        </w:tc>
      </w:tr>
      <w:tr>
        <w:trPr>
          <w:trHeight w:val="201"/>
        </w:trPr>
        <w:tc>
          <w:tcPr>
            <w:tcW w:w="7560" w:type="dxa"/>
            <w:vAlign w:val="bottom"/>
          </w:tcPr>
          <w:p>
            <w:pPr>
              <w:ind w:left="320"/>
              <w:spacing w:after="0"/>
              <w:rPr>
                <w:sz w:val="20"/>
                <w:szCs w:val="20"/>
                <w:color w:val="auto"/>
              </w:rPr>
            </w:pPr>
            <w:r>
              <w:rPr>
                <w:rFonts w:ascii="Arial" w:cs="Arial" w:eastAsia="Arial" w:hAnsi="Arial"/>
                <w:sz w:val="15"/>
                <w:szCs w:val="15"/>
                <w:color w:val="auto"/>
              </w:rPr>
              <w:t>Decrease in liabilities from the acquisition of property, fixtures and equipment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(203)</w:t>
            </w:r>
          </w:p>
        </w:tc>
        <w:tc>
          <w:tcPr>
            <w:tcW w:w="1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(9,666)</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ind w:left="340" w:hanging="337"/>
        <w:spacing w:after="0"/>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Description of the Business and Basis of Presentation</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Description of the Business - </w:t>
      </w:r>
      <w:r>
        <w:rPr>
          <w:rFonts w:ascii="Arial" w:cs="Arial" w:eastAsia="Arial" w:hAnsi="Arial"/>
          <w:sz w:val="19"/>
          <w:szCs w:val="19"/>
          <w:color w:val="auto"/>
        </w:rPr>
        <w:t>Bloomin’ Brands (“Bloomin’ Brands” or the “Company”) owns and operates casual, upscale casual and fine dining</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interim unaudited consolidated financial statements have been prepared by the Company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27, 2020.</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i w:val="1"/>
          <w:iCs w:val="1"/>
          <w:color w:val="auto"/>
        </w:rPr>
        <w:t xml:space="preserve">Recently Adopted Financial Accounting Standards </w:t>
      </w:r>
      <w:r>
        <w:rPr>
          <w:rFonts w:ascii="Arial" w:cs="Arial" w:eastAsia="Arial" w:hAnsi="Arial"/>
          <w:sz w:val="19"/>
          <w:szCs w:val="19"/>
          <w:color w:val="auto"/>
        </w:rPr>
        <w:t>- On December 28, 2020, the Company adopted Accounting Standards Update (“ASU”) No.</w:t>
      </w:r>
      <w:r>
        <w:rPr>
          <w:rFonts w:ascii="Arial" w:cs="Arial" w:eastAsia="Arial" w:hAnsi="Arial"/>
          <w:sz w:val="19"/>
          <w:szCs w:val="19"/>
          <w:i w:val="1"/>
          <w:iCs w:val="1"/>
          <w:color w:val="auto"/>
        </w:rPr>
        <w:t xml:space="preserve"> </w:t>
      </w:r>
      <w:r>
        <w:rPr>
          <w:rFonts w:ascii="Arial" w:cs="Arial" w:eastAsia="Arial" w:hAnsi="Arial"/>
          <w:sz w:val="19"/>
          <w:szCs w:val="19"/>
          <w:color w:val="auto"/>
        </w:rPr>
        <w:t>2020-06, “Debt - Debt with Conversion and Other Options (Subtopic 470-20) and Derivatives and Hedging - Contracts in Entity’s Own Equity,” (“ASU No. 2020-06”) which removes the separation models for convertible debt with a cash conversion feature or convertible instruments with a beneficial conversion feature. ASU No. 2020-06 also requires the application of the if-converted method for calculating diluted earnings per share and the treasury stock method is no longer permitted for convertible instruments. The Company adopted ASU No. 2020-06 using the modified retrospective approach which resulted in a cumulative-effect adjustment that increased (decreased) the following Consolidated Balance Sheet accounts during the first quarter of 2021:</w:t>
      </w:r>
    </w:p>
    <w:tbl>
      <w:tblPr>
        <w:tblLayout w:type="fixed"/>
        <w:tblInd w:w="0" w:type="dxa"/>
        <w:tblCellMar>
          <w:top w:w="0" w:type="dxa"/>
          <w:left w:w="0" w:type="dxa"/>
          <w:bottom w:w="0" w:type="dxa"/>
          <w:right w:w="0" w:type="dxa"/>
        </w:tblCellMar>
      </w:tblPr>
      <w:tr>
        <w:trPr>
          <w:trHeight w:val="151"/>
        </w:trPr>
        <w:tc>
          <w:tcPr>
            <w:tcW w:w="478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ADJUSTMENT</w:t>
            </w:r>
          </w:p>
        </w:tc>
        <w:tc>
          <w:tcPr>
            <w:tcW w:w="100" w:type="dxa"/>
            <w:vAlign w:val="bottom"/>
            <w:vMerge w:val="restart"/>
          </w:tcPr>
          <w:p>
            <w:pPr>
              <w:spacing w:after="0"/>
              <w:rPr>
                <w:sz w:val="13"/>
                <w:szCs w:val="13"/>
                <w:color w:val="auto"/>
              </w:rPr>
            </w:pPr>
          </w:p>
        </w:tc>
        <w:tc>
          <w:tcPr>
            <w:tcW w:w="47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CONSOLIDATED BALANCE SHEET CLASSIFICATION</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385"/>
              <w:spacing w:after="0" w:line="151"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6"/>
        </w:trPr>
        <w:tc>
          <w:tcPr>
            <w:tcW w:w="4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06"/>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tax impact of cumulative-effect adjustment</w:t>
            </w: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income tax assets, net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203"/>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Debt discount reclassification</w:t>
            </w:r>
          </w:p>
        </w:tc>
        <w:tc>
          <w:tcPr>
            <w:tcW w:w="4860" w:type="dxa"/>
            <w:vAlign w:val="bottom"/>
            <w:gridSpan w:val="2"/>
          </w:tcPr>
          <w:p>
            <w:pPr>
              <w:ind w:left="20"/>
              <w:spacing w:after="0"/>
              <w:rPr>
                <w:sz w:val="20"/>
                <w:szCs w:val="20"/>
                <w:color w:val="auto"/>
              </w:rPr>
            </w:pPr>
            <w:r>
              <w:rPr>
                <w:rFonts w:ascii="Arial" w:cs="Arial" w:eastAsia="Arial" w:hAnsi="Arial"/>
                <w:sz w:val="15"/>
                <w:szCs w:val="15"/>
                <w:color w:val="auto"/>
              </w:rPr>
              <w:t>Long-term debt, net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59.9</w:t>
            </w:r>
          </w:p>
        </w:tc>
        <w:tc>
          <w:tcPr>
            <w:tcW w:w="0" w:type="dxa"/>
            <w:vAlign w:val="bottom"/>
          </w:tcPr>
          <w:p>
            <w:pPr>
              <w:spacing w:after="0"/>
              <w:rPr>
                <w:sz w:val="1"/>
                <w:szCs w:val="1"/>
                <w:color w:val="auto"/>
              </w:rPr>
            </w:pPr>
          </w:p>
        </w:tc>
      </w:tr>
      <w:tr>
        <w:trPr>
          <w:trHeight w:val="20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issuance costs reclassification</w:t>
            </w: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3"/>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Debt discount amortization reclassification, net of tax</w:t>
            </w:r>
          </w:p>
        </w:tc>
        <w:tc>
          <w:tcPr>
            <w:tcW w:w="4860" w:type="dxa"/>
            <w:vAlign w:val="bottom"/>
            <w:gridSpan w:val="2"/>
          </w:tcPr>
          <w:p>
            <w:pPr>
              <w:ind w:left="20"/>
              <w:spacing w:after="0"/>
              <w:rPr>
                <w:sz w:val="20"/>
                <w:szCs w:val="20"/>
                <w:color w:val="auto"/>
              </w:rPr>
            </w:pPr>
            <w:r>
              <w:rPr>
                <w:rFonts w:ascii="Arial" w:cs="Arial" w:eastAsia="Arial" w:hAnsi="Arial"/>
                <w:sz w:val="15"/>
                <w:szCs w:val="15"/>
                <w:color w:val="auto"/>
              </w:rPr>
              <w:t>Accumulated deficit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Reversal of separated equity component, net of tax</w:t>
            </w: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After adopting ASU No. 2020-06, the Company’s convertible senior notes due 2025 (the “2025 Notes”) are reflected entirely as a liability since the embedded conversion feature is no longer separately presented within stockholders’ equity. During 2020, the Company recognized debt discount amortization of $6.3 million within Interest expense, net related to its 2025 Notes.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 February 2021, the Company made an irrevocable election under the indenture to require the principal portion of its 2025 Notes to be settled in cash and any excess in shares. Following the irrevocable notice, only the amounts expected to be settled in excess of the principal will be considered in diluted earnings per share under the if-converted method.</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Recently Issued Financial Accounting Standards Not Yet Adopted </w:t>
      </w:r>
      <w:r>
        <w:rPr>
          <w:rFonts w:ascii="Arial" w:cs="Arial" w:eastAsia="Arial" w:hAnsi="Arial"/>
          <w:sz w:val="19"/>
          <w:szCs w:val="19"/>
          <w:color w:val="auto"/>
        </w:rPr>
        <w:t>- Recent accounting guidance not discussed herein is not applicable, did not have,</w:t>
      </w:r>
      <w:r>
        <w:rPr>
          <w:rFonts w:ascii="Arial" w:cs="Arial" w:eastAsia="Arial" w:hAnsi="Arial"/>
          <w:sz w:val="19"/>
          <w:szCs w:val="19"/>
          <w:i w:val="1"/>
          <w:iCs w:val="1"/>
          <w:color w:val="auto"/>
        </w:rPr>
        <w:t xml:space="preserve"> </w:t>
      </w:r>
      <w:r>
        <w:rPr>
          <w:rFonts w:ascii="Arial" w:cs="Arial" w:eastAsia="Arial" w:hAnsi="Arial"/>
          <w:sz w:val="19"/>
          <w:szCs w:val="19"/>
          <w:color w:val="auto"/>
        </w:rPr>
        <w:t>or is not expected to have a material impact to the Company.</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Reclassifications </w:t>
      </w:r>
      <w:r>
        <w:rPr>
          <w:rFonts w:ascii="Arial" w:cs="Arial" w:eastAsia="Arial" w:hAnsi="Arial"/>
          <w:sz w:val="19"/>
          <w:szCs w:val="19"/>
          <w:color w:val="auto"/>
        </w:rPr>
        <w:t>- 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These reclassifications had no effect on previously reported net income.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ind w:left="340" w:hanging="337"/>
        <w:spacing w:after="0"/>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COVID-19 Charges</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March 2020, the Company temporarily closed all restaurant dining rooms in the U.S. to comply with state and local regulations in response to the COVID-19 pandemic (“COVID-19”). Following is a summary of charges recorded in connection with the COVID-19 pandemic for the periods indicated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THIRTEEN WEEKS</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TWENTY-SIX WEEKS</w:t>
            </w:r>
          </w:p>
        </w:tc>
      </w:tr>
      <w:tr>
        <w:trPr>
          <w:trHeight w:val="186"/>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gridSpan w:val="2"/>
          </w:tcPr>
          <w:p>
            <w:pPr>
              <w:ind w:left="540"/>
              <w:spacing w:after="0"/>
              <w:rPr>
                <w:sz w:val="20"/>
                <w:szCs w:val="20"/>
                <w:color w:val="auto"/>
              </w:rPr>
            </w:pPr>
            <w:r>
              <w:rPr>
                <w:rFonts w:ascii="Arial" w:cs="Arial" w:eastAsia="Arial" w:hAnsi="Arial"/>
                <w:sz w:val="14"/>
                <w:szCs w:val="14"/>
                <w:b w:val="1"/>
                <w:bCs w:val="1"/>
                <w:color w:val="auto"/>
              </w:rPr>
              <w:t>CONSOLIDATED STATEMENTS OF OPERATIONS AND</w:t>
            </w:r>
          </w:p>
        </w:tc>
        <w:tc>
          <w:tcPr>
            <w:tcW w:w="10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ENDED</w:t>
            </w:r>
          </w:p>
        </w:tc>
        <w:tc>
          <w:tcPr>
            <w:tcW w:w="200" w:type="dxa"/>
            <w:vAlign w:val="bottom"/>
          </w:tcPr>
          <w:p>
            <w:pPr>
              <w:spacing w:after="0"/>
              <w:rPr>
                <w:sz w:val="16"/>
                <w:szCs w:val="16"/>
                <w:color w:val="auto"/>
              </w:rPr>
            </w:pPr>
          </w:p>
        </w:tc>
        <w:tc>
          <w:tcPr>
            <w:tcW w:w="1320" w:type="dxa"/>
            <w:vAlign w:val="bottom"/>
          </w:tcPr>
          <w:p>
            <w:pPr>
              <w:jc w:val="center"/>
              <w:ind w:right="124"/>
              <w:spacing w:after="0"/>
              <w:rPr>
                <w:sz w:val="20"/>
                <w:szCs w:val="20"/>
                <w:color w:val="auto"/>
              </w:rPr>
            </w:pPr>
            <w:r>
              <w:rPr>
                <w:rFonts w:ascii="Arial" w:cs="Arial" w:eastAsia="Arial" w:hAnsi="Arial"/>
                <w:sz w:val="14"/>
                <w:szCs w:val="14"/>
                <w:b w:val="1"/>
                <w:bCs w:val="1"/>
                <w:color w:val="auto"/>
                <w:w w:val="97"/>
              </w:rPr>
              <w:t>ENDED</w:t>
            </w:r>
          </w:p>
        </w:tc>
      </w:tr>
      <w:tr>
        <w:trPr>
          <w:trHeight w:val="194"/>
        </w:trPr>
        <w:tc>
          <w:tcPr>
            <w:tcW w:w="33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CHARGES</w:t>
            </w:r>
          </w:p>
        </w:tc>
        <w:tc>
          <w:tcPr>
            <w:tcW w:w="100" w:type="dxa"/>
            <w:vAlign w:val="bottom"/>
            <w:tcBorders>
              <w:bottom w:val="single" w:sz="8" w:color="CCEEFF"/>
            </w:tcBorders>
          </w:tcPr>
          <w:p>
            <w:pPr>
              <w:spacing w:after="0"/>
              <w:rPr>
                <w:sz w:val="16"/>
                <w:szCs w:val="16"/>
                <w:color w:val="auto"/>
              </w:rPr>
            </w:pPr>
          </w:p>
        </w:tc>
        <w:tc>
          <w:tcPr>
            <w:tcW w:w="46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COMPREHENSIVE INCOME (LOSS) CLASSIFICATION</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1"/>
              </w:rPr>
              <w:t>JUNE 28, 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JUNE 28, 2020</w:t>
            </w:r>
          </w:p>
        </w:tc>
      </w:tr>
      <w:tr>
        <w:trPr>
          <w:trHeight w:val="20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Inventory obsolescence and spoilage (1)</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7,345</w:t>
            </w: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Compensation for idle employees (2)</w:t>
            </w:r>
          </w:p>
        </w:tc>
        <w:tc>
          <w:tcPr>
            <w:tcW w:w="4720" w:type="dxa"/>
            <w:vAlign w:val="bottom"/>
            <w:gridSpan w:val="2"/>
          </w:tcPr>
          <w:p>
            <w:pPr>
              <w:ind w:left="20"/>
              <w:spacing w:after="0"/>
              <w:rPr>
                <w:sz w:val="20"/>
                <w:szCs w:val="20"/>
                <w:color w:val="auto"/>
              </w:rPr>
            </w:pPr>
            <w:r>
              <w:rPr>
                <w:rFonts w:ascii="Arial" w:cs="Arial" w:eastAsia="Arial" w:hAnsi="Arial"/>
                <w:sz w:val="15"/>
                <w:szCs w:val="15"/>
                <w:color w:val="auto"/>
              </w:rPr>
              <w:t>Labor and other related</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11,388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27,574</w:t>
            </w:r>
          </w:p>
        </w:tc>
      </w:tr>
      <w:tr>
        <w:trPr>
          <w:trHeight w:val="20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operating charges</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2,467</w:t>
            </w: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Lease guarantee contingent liabilities (3)</w:t>
            </w:r>
          </w:p>
        </w:tc>
        <w:tc>
          <w:tcPr>
            <w:tcW w:w="472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w:t>
            </w:r>
          </w:p>
        </w:tc>
        <w:tc>
          <w:tcPr>
            <w:tcW w:w="10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4,188</w:t>
            </w:r>
          </w:p>
        </w:tc>
      </w:tr>
      <w:tr>
        <w:trPr>
          <w:trHeight w:val="20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Allowance for expected credit losses (4)</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3,334</w:t>
            </w: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Other charges</w:t>
            </w:r>
          </w:p>
        </w:tc>
        <w:tc>
          <w:tcPr>
            <w:tcW w:w="472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1,789</w:t>
            </w:r>
          </w:p>
        </w:tc>
      </w:tr>
      <w:tr>
        <w:trPr>
          <w:trHeight w:val="20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Right-of-use asset impairment (5)</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25,757</w:t>
            </w: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Fixed asset impairment (5)</w:t>
            </w:r>
          </w:p>
        </w:tc>
        <w:tc>
          <w:tcPr>
            <w:tcW w:w="4720" w:type="dxa"/>
            <w:vAlign w:val="bottom"/>
            <w:gridSpan w:val="2"/>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19,611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31,339</w:t>
            </w:r>
          </w:p>
        </w:tc>
      </w:tr>
      <w:tr>
        <w:trPr>
          <w:trHeight w:val="202"/>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Goodwill and other impairment (6)</w:t>
            </w:r>
          </w:p>
        </w:tc>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2,999</w:t>
            </w:r>
          </w:p>
        </w:tc>
      </w:t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41,729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106,792</w:t>
            </w:r>
          </w:p>
        </w:tc>
      </w:tr>
      <w:tr>
        <w:trPr>
          <w:trHeight w:val="21"/>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the write-off of value-added tax credits during the twenty-six weeks ended June 28, 2020 related to the purchase of inventory by the Company’s Brazil subsidiary.</w:t>
      </w:r>
    </w:p>
    <w:p>
      <w:pPr>
        <w:spacing w:after="0" w:line="19" w:lineRule="exact"/>
        <w:rPr>
          <w:rFonts w:ascii="Arial" w:cs="Arial" w:eastAsia="Arial" w:hAnsi="Arial"/>
          <w:sz w:val="14"/>
          <w:szCs w:val="14"/>
          <w:color w:val="auto"/>
        </w:rPr>
      </w:pPr>
    </w:p>
    <w:p>
      <w:pPr>
        <w:ind w:left="620" w:hanging="617"/>
        <w:spacing w:after="0" w:line="251" w:lineRule="auto"/>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relief pay for hourly employees impacted by the closure of dining rooms, net of $13.7 million of employee retention tax credits earned during the thirteen and twenty-six weeks ended June 28, 2020.</w:t>
      </w:r>
    </w:p>
    <w:p>
      <w:pPr>
        <w:ind w:left="620" w:hanging="617"/>
        <w:spacing w:after="0"/>
        <w:tabs>
          <w:tab w:leader="none" w:pos="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additional contingent liabilities recorded for lease guarantees related to certain former restaurant locations now operated by franchisees or other third parties.</w:t>
      </w:r>
    </w:p>
    <w:p>
      <w:pPr>
        <w:spacing w:after="0" w:line="19" w:lineRule="exact"/>
        <w:rPr>
          <w:rFonts w:ascii="Arial" w:cs="Arial" w:eastAsia="Arial" w:hAnsi="Arial"/>
          <w:sz w:val="14"/>
          <w:szCs w:val="14"/>
          <w:color w:val="auto"/>
        </w:rPr>
      </w:pPr>
    </w:p>
    <w:p>
      <w:pPr>
        <w:ind w:left="620" w:hanging="617"/>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additional reserves to reflect an increase in expected credit losses, primarily related to franchise receivables.</w:t>
      </w:r>
    </w:p>
    <w:p>
      <w:pPr>
        <w:spacing w:after="0" w:line="8" w:lineRule="exact"/>
        <w:rPr>
          <w:rFonts w:ascii="Arial" w:cs="Arial" w:eastAsia="Arial" w:hAnsi="Arial"/>
          <w:sz w:val="15"/>
          <w:szCs w:val="15"/>
          <w:color w:val="auto"/>
        </w:rPr>
      </w:pPr>
    </w:p>
    <w:p>
      <w:pPr>
        <w:ind w:left="620" w:hanging="617"/>
        <w:spacing w:after="0" w:line="251" w:lineRule="auto"/>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impairments resulting from the remeasurement of assets utilizing projected future cash flows revised for then current economic conditions, restructuring charges and the closure of certain restaurants.</w:t>
      </w:r>
    </w:p>
    <w:p>
      <w:pPr>
        <w:ind w:left="620" w:hanging="617"/>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impairment of goodwill for the Company’s Hong Kong subsidiary during the twenty-six weeks ended June 28, 2020.</w:t>
      </w:r>
    </w:p>
    <w:p>
      <w:pPr>
        <w:spacing w:after="0" w:line="219" w:lineRule="exact"/>
        <w:rPr>
          <w:sz w:val="20"/>
          <w:szCs w:val="20"/>
          <w:color w:val="auto"/>
        </w:rPr>
      </w:pPr>
    </w:p>
    <w:p>
      <w:pPr>
        <w:ind w:left="340" w:hanging="337"/>
        <w:spacing w:after="0"/>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Revenue Recognition</w:t>
      </w:r>
    </w:p>
    <w:p>
      <w:pPr>
        <w:spacing w:after="0" w:line="2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includes the categories of revenue included in the Company’s Consolidated Statements of Operations and Comprehensive Income (Loss)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4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28, 2020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28, 2020</w:t>
            </w:r>
          </w:p>
        </w:tc>
      </w:tr>
      <w:tr>
        <w:trPr>
          <w:trHeight w:val="19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
              <w:spacing w:after="0"/>
              <w:rPr>
                <w:sz w:val="20"/>
                <w:szCs w:val="20"/>
                <w:color w:val="auto"/>
              </w:rPr>
            </w:pPr>
            <w:r>
              <w:rPr>
                <w:rFonts w:ascii="Arial" w:cs="Arial" w:eastAsia="Arial" w:hAnsi="Arial"/>
                <w:sz w:val="15"/>
                <w:szCs w:val="15"/>
                <w:color w:val="auto"/>
              </w:rPr>
              <w:t>1,055,227</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576,261</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2,034,678</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1,572,498</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3"/>
        </w:trPr>
        <w:tc>
          <w:tcPr>
            <w:tcW w:w="4860" w:type="dxa"/>
            <w:vAlign w:val="bottom"/>
          </w:tcPr>
          <w:p>
            <w:pPr>
              <w:ind w:left="220"/>
              <w:spacing w:after="0"/>
              <w:rPr>
                <w:sz w:val="20"/>
                <w:szCs w:val="20"/>
                <w:color w:val="auto"/>
              </w:rPr>
            </w:pPr>
            <w:r>
              <w:rPr>
                <w:rFonts w:ascii="Arial" w:cs="Arial" w:eastAsia="Arial" w:hAnsi="Arial"/>
                <w:sz w:val="15"/>
                <w:szCs w:val="15"/>
                <w:color w:val="auto"/>
              </w:rPr>
              <w:t>Franchise revenue</w:t>
            </w:r>
          </w:p>
        </w:tc>
        <w:tc>
          <w:tcPr>
            <w:tcW w:w="200" w:type="dxa"/>
            <w:vAlign w:val="bottom"/>
          </w:tcPr>
          <w:p>
            <w:pPr>
              <w:spacing w:after="0"/>
              <w:rPr>
                <w:sz w:val="17"/>
                <w:szCs w:val="17"/>
                <w:color w:val="auto"/>
              </w:rPr>
            </w:pPr>
          </w:p>
        </w:tc>
        <w:tc>
          <w:tcPr>
            <w:tcW w:w="1320" w:type="dxa"/>
            <w:vAlign w:val="bottom"/>
          </w:tcPr>
          <w:p>
            <w:pPr>
              <w:jc w:val="right"/>
              <w:ind w:right="5"/>
              <w:spacing w:after="0"/>
              <w:rPr>
                <w:sz w:val="20"/>
                <w:szCs w:val="20"/>
                <w:color w:val="auto"/>
              </w:rPr>
            </w:pPr>
            <w:r>
              <w:rPr>
                <w:rFonts w:ascii="Arial" w:cs="Arial" w:eastAsia="Arial" w:hAnsi="Arial"/>
                <w:sz w:val="15"/>
                <w:szCs w:val="15"/>
                <w:color w:val="auto"/>
              </w:rPr>
              <w:t>12,221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1,951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19,010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11,500</w:t>
            </w:r>
          </w:p>
        </w:tc>
      </w:tr>
      <w:tr>
        <w:trPr>
          <w:trHeight w:val="215"/>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revenues (1)</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9,918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11,151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2,798</w:t>
            </w:r>
          </w:p>
        </w:tc>
      </w:tr>
      <w:tr>
        <w:trPr>
          <w:trHeight w:val="212"/>
        </w:trPr>
        <w:tc>
          <w:tcPr>
            <w:tcW w:w="48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Franchise and other revenues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22,139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14,298</w:t>
            </w:r>
          </w:p>
        </w:tc>
      </w:tr>
      <w:tr>
        <w:trPr>
          <w:trHeight w:val="231"/>
        </w:trPr>
        <w:tc>
          <w:tcPr>
            <w:tcW w:w="48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revenues</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1,077,366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578,459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2,064,839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1,586,796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56"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During the thirteen and twenty-six weeks ended June 27, 2021, the Company recognized $6.3 million of other revenues in connection with favorable court rulings in Brazil regarding the calculation methodology and taxable base of Program of Social Integration (“PIS”) and Contribution for the Financing of Social Security (“COFINS”) taxes. The amount recognized as a result of the favorable court rulings primarily represents refundable PIS and COFINS taxes for prior years, including accrued interest, and will be recovered by offsetting future PIS and COFINS taxes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following tables include disaggregation of Restaurant sales and franchise revenue, by restaurant concept and major international market,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8"/>
              </w:rPr>
              <w:t>THIRTEEN WEEKS ENDED</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80" w:type="dxa"/>
            <w:vAlign w:val="bottom"/>
            <w:gridSpan w:val="5"/>
          </w:tcPr>
          <w:p>
            <w:pPr>
              <w:ind w:left="680"/>
              <w:spacing w:after="0"/>
              <w:rPr>
                <w:sz w:val="20"/>
                <w:szCs w:val="20"/>
                <w:color w:val="auto"/>
              </w:rPr>
            </w:pPr>
            <w:r>
              <w:rPr>
                <w:rFonts w:ascii="Arial" w:cs="Arial" w:eastAsia="Arial" w:hAnsi="Arial"/>
                <w:sz w:val="14"/>
                <w:szCs w:val="14"/>
                <w:b w:val="1"/>
                <w:bCs w:val="1"/>
                <w:color w:val="auto"/>
              </w:rPr>
              <w:t>JUNE 27, 2021</w:t>
            </w:r>
          </w:p>
        </w:tc>
        <w:tc>
          <w:tcPr>
            <w:tcW w:w="480" w:type="dxa"/>
            <w:vAlign w:val="bottom"/>
          </w:tcPr>
          <w:p>
            <w:pPr>
              <w:spacing w:after="0"/>
              <w:rPr>
                <w:sz w:val="16"/>
                <w:szCs w:val="16"/>
                <w:color w:val="auto"/>
              </w:rPr>
            </w:pPr>
          </w:p>
        </w:tc>
        <w:tc>
          <w:tcPr>
            <w:tcW w:w="2680" w:type="dxa"/>
            <w:vAlign w:val="bottom"/>
            <w:gridSpan w:val="4"/>
          </w:tcPr>
          <w:p>
            <w:pPr>
              <w:jc w:val="right"/>
              <w:ind w:right="1064"/>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129"/>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5"/>
              <w:spacing w:after="0" w:line="129" w:lineRule="exact"/>
              <w:rPr>
                <w:sz w:val="20"/>
                <w:szCs w:val="20"/>
                <w:color w:val="auto"/>
              </w:rPr>
            </w:pPr>
            <w:r>
              <w:rPr>
                <w:rFonts w:ascii="Arial" w:cs="Arial" w:eastAsia="Arial" w:hAnsi="Arial"/>
                <w:sz w:val="14"/>
                <w:szCs w:val="14"/>
                <w:b w:val="1"/>
                <w:bCs w:val="1"/>
                <w:color w:val="auto"/>
                <w:w w:val="97"/>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4"/>
              <w:spacing w:after="0" w:line="129" w:lineRule="exact"/>
              <w:rPr>
                <w:sz w:val="20"/>
                <w:szCs w:val="20"/>
                <w:color w:val="auto"/>
              </w:rPr>
            </w:pPr>
            <w:r>
              <w:rPr>
                <w:rFonts w:ascii="Arial" w:cs="Arial" w:eastAsia="Arial" w:hAnsi="Arial"/>
                <w:sz w:val="14"/>
                <w:szCs w:val="14"/>
                <w:b w:val="1"/>
                <w:bCs w:val="1"/>
                <w:color w:val="auto"/>
                <w:w w:val="97"/>
              </w:rPr>
              <w:t>FRANCHISE</w:t>
            </w:r>
          </w:p>
        </w:tc>
        <w:tc>
          <w:tcPr>
            <w:tcW w:w="0" w:type="dxa"/>
            <w:vAlign w:val="bottom"/>
          </w:tcPr>
          <w:p>
            <w:pPr>
              <w:spacing w:after="0"/>
              <w:rPr>
                <w:sz w:val="1"/>
                <w:szCs w:val="1"/>
                <w:color w:val="auto"/>
              </w:rPr>
            </w:pPr>
          </w:p>
        </w:tc>
      </w:tr>
      <w:tr>
        <w:trPr>
          <w:trHeight w:val="186"/>
        </w:trPr>
        <w:tc>
          <w:tcPr>
            <w:tcW w:w="4840" w:type="dxa"/>
            <w:vAlign w:val="bottom"/>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REVENUE</w:t>
            </w:r>
          </w:p>
        </w:tc>
        <w:tc>
          <w:tcPr>
            <w:tcW w:w="16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4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9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579,096</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8,418</w:t>
            </w:r>
          </w:p>
        </w:tc>
        <w:tc>
          <w:tcPr>
            <w:tcW w:w="100" w:type="dxa"/>
            <w:vAlign w:val="bottom"/>
          </w:tcPr>
          <w:p>
            <w:pPr>
              <w:spacing w:after="0"/>
              <w:rPr>
                <w:sz w:val="17"/>
                <w:szCs w:val="17"/>
                <w:color w:val="auto"/>
              </w:rPr>
            </w:pP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346,553</w:t>
            </w:r>
          </w:p>
        </w:tc>
        <w:tc>
          <w:tcPr>
            <w:tcW w:w="12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171,408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149,036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63,744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Pr>
          <w:p>
            <w:pPr>
              <w:ind w:left="140"/>
              <w:spacing w:after="0"/>
              <w:rPr>
                <w:sz w:val="20"/>
                <w:szCs w:val="20"/>
                <w:color w:val="auto"/>
              </w:rPr>
            </w:pPr>
            <w:r>
              <w:rPr>
                <w:rFonts w:ascii="Arial" w:cs="Arial" w:eastAsia="Arial" w:hAnsi="Arial"/>
                <w:sz w:val="15"/>
                <w:szCs w:val="15"/>
                <w:color w:val="auto"/>
              </w:rPr>
              <w:t>Other</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990,293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9,257</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536,767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Brazil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(1)</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15,491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1,804</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64,934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39,494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1,804</w:t>
            </w:r>
          </w:p>
        </w:tc>
        <w:tc>
          <w:tcPr>
            <w:tcW w:w="0" w:type="dxa"/>
            <w:vAlign w:val="bottom"/>
          </w:tcPr>
          <w:p>
            <w:pPr>
              <w:spacing w:after="0"/>
              <w:rPr>
                <w:sz w:val="1"/>
                <w:szCs w:val="1"/>
                <w:color w:val="auto"/>
              </w:rPr>
            </w:pPr>
          </w:p>
        </w:tc>
      </w:tr>
      <w:tr>
        <w:trPr>
          <w:trHeight w:val="206"/>
        </w:trPr>
        <w:tc>
          <w:tcPr>
            <w:tcW w:w="4840" w:type="dxa"/>
            <w:vAlign w:val="bottom"/>
          </w:tcPr>
          <w:p>
            <w:pPr>
              <w:ind w:left="44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1,055,227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12,221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576,261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8"/>
              </w:rPr>
              <w:t>TWENTY-SIX WEEKS ENDED</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80" w:type="dxa"/>
            <w:vAlign w:val="bottom"/>
            <w:gridSpan w:val="5"/>
          </w:tcPr>
          <w:p>
            <w:pPr>
              <w:ind w:left="680"/>
              <w:spacing w:after="0"/>
              <w:rPr>
                <w:sz w:val="20"/>
                <w:szCs w:val="20"/>
                <w:color w:val="auto"/>
              </w:rPr>
            </w:pPr>
            <w:r>
              <w:rPr>
                <w:rFonts w:ascii="Arial" w:cs="Arial" w:eastAsia="Arial" w:hAnsi="Arial"/>
                <w:sz w:val="14"/>
                <w:szCs w:val="14"/>
                <w:b w:val="1"/>
                <w:bCs w:val="1"/>
                <w:color w:val="auto"/>
              </w:rPr>
              <w:t>JUNE 27, 2021</w:t>
            </w:r>
          </w:p>
        </w:tc>
        <w:tc>
          <w:tcPr>
            <w:tcW w:w="480" w:type="dxa"/>
            <w:vAlign w:val="bottom"/>
          </w:tcPr>
          <w:p>
            <w:pPr>
              <w:spacing w:after="0"/>
              <w:rPr>
                <w:sz w:val="16"/>
                <w:szCs w:val="16"/>
                <w:color w:val="auto"/>
              </w:rPr>
            </w:pPr>
          </w:p>
        </w:tc>
        <w:tc>
          <w:tcPr>
            <w:tcW w:w="2680" w:type="dxa"/>
            <w:vAlign w:val="bottom"/>
            <w:gridSpan w:val="4"/>
          </w:tcPr>
          <w:p>
            <w:pPr>
              <w:jc w:val="right"/>
              <w:ind w:right="1064"/>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129"/>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5"/>
              <w:spacing w:after="0" w:line="129" w:lineRule="exact"/>
              <w:rPr>
                <w:sz w:val="20"/>
                <w:szCs w:val="20"/>
                <w:color w:val="auto"/>
              </w:rPr>
            </w:pPr>
            <w:r>
              <w:rPr>
                <w:rFonts w:ascii="Arial" w:cs="Arial" w:eastAsia="Arial" w:hAnsi="Arial"/>
                <w:sz w:val="14"/>
                <w:szCs w:val="14"/>
                <w:b w:val="1"/>
                <w:bCs w:val="1"/>
                <w:color w:val="auto"/>
                <w:w w:val="97"/>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4"/>
              <w:spacing w:after="0" w:line="129" w:lineRule="exact"/>
              <w:rPr>
                <w:sz w:val="20"/>
                <w:szCs w:val="20"/>
                <w:color w:val="auto"/>
              </w:rPr>
            </w:pPr>
            <w:r>
              <w:rPr>
                <w:rFonts w:ascii="Arial" w:cs="Arial" w:eastAsia="Arial" w:hAnsi="Arial"/>
                <w:sz w:val="14"/>
                <w:szCs w:val="14"/>
                <w:b w:val="1"/>
                <w:bCs w:val="1"/>
                <w:color w:val="auto"/>
                <w:w w:val="97"/>
              </w:rPr>
              <w:t>FRANCHISE</w:t>
            </w:r>
          </w:p>
        </w:tc>
        <w:tc>
          <w:tcPr>
            <w:tcW w:w="0" w:type="dxa"/>
            <w:vAlign w:val="bottom"/>
          </w:tcPr>
          <w:p>
            <w:pPr>
              <w:spacing w:after="0"/>
              <w:rPr>
                <w:sz w:val="1"/>
                <w:szCs w:val="1"/>
                <w:color w:val="auto"/>
              </w:rPr>
            </w:pPr>
          </w:p>
        </w:tc>
      </w:tr>
      <w:tr>
        <w:trPr>
          <w:trHeight w:val="186"/>
        </w:trPr>
        <w:tc>
          <w:tcPr>
            <w:tcW w:w="4840" w:type="dxa"/>
            <w:vAlign w:val="bottom"/>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REVENUE</w:t>
            </w:r>
          </w:p>
        </w:tc>
        <w:tc>
          <w:tcPr>
            <w:tcW w:w="16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4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9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1,126,291</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11,374</w:t>
            </w:r>
          </w:p>
        </w:tc>
        <w:tc>
          <w:tcPr>
            <w:tcW w:w="100" w:type="dxa"/>
            <w:vAlign w:val="bottom"/>
          </w:tcPr>
          <w:p>
            <w:pPr>
              <w:spacing w:after="0"/>
              <w:rPr>
                <w:sz w:val="17"/>
                <w:szCs w:val="17"/>
                <w:color w:val="auto"/>
              </w:rPr>
            </w:pP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877,238</w:t>
            </w:r>
          </w:p>
        </w:tc>
        <w:tc>
          <w:tcPr>
            <w:tcW w:w="12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6,677</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329,094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240,613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276,010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304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198,816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Pr>
          <w:p>
            <w:pPr>
              <w:ind w:left="140"/>
              <w:spacing w:after="0"/>
              <w:rPr>
                <w:sz w:val="20"/>
                <w:szCs w:val="20"/>
                <w:color w:val="auto"/>
              </w:rPr>
            </w:pPr>
            <w:r>
              <w:rPr>
                <w:rFonts w:ascii="Arial" w:cs="Arial" w:eastAsia="Arial" w:hAnsi="Arial"/>
                <w:sz w:val="15"/>
                <w:szCs w:val="15"/>
                <w:color w:val="auto"/>
              </w:rPr>
              <w:t>Other</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4,545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1,890,352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12,960</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1,421,656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7,285</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Brazil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115,593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(1)</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35,249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4,215</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144,326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6,050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150,842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4,215</w:t>
            </w:r>
          </w:p>
        </w:tc>
        <w:tc>
          <w:tcPr>
            <w:tcW w:w="0" w:type="dxa"/>
            <w:vAlign w:val="bottom"/>
          </w:tcPr>
          <w:p>
            <w:pPr>
              <w:spacing w:after="0"/>
              <w:rPr>
                <w:sz w:val="1"/>
                <w:szCs w:val="1"/>
                <w:color w:val="auto"/>
              </w:rPr>
            </w:pPr>
          </w:p>
        </w:tc>
      </w:tr>
      <w:tr>
        <w:trPr>
          <w:trHeight w:val="206"/>
        </w:trPr>
        <w:tc>
          <w:tcPr>
            <w:tcW w:w="4840" w:type="dxa"/>
            <w:vAlign w:val="bottom"/>
          </w:tcPr>
          <w:p>
            <w:pPr>
              <w:ind w:left="44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2,034,678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19,010</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1,572,498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11,500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Restaurant sales for the Company’s Abbraccio concept in Brazil.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includes a detail of assets and liabilities from contracts with customers included on the Company’s Consolidated Balance Sheets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7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Pr>
          <w:p>
            <w:pPr>
              <w:spacing w:after="0"/>
              <w:rPr>
                <w:sz w:val="17"/>
                <w:szCs w:val="17"/>
                <w:color w:val="auto"/>
              </w:rPr>
            </w:pPr>
          </w:p>
        </w:tc>
        <w:tc>
          <w:tcPr>
            <w:tcW w:w="1740" w:type="dxa"/>
            <w:vAlign w:val="bottom"/>
          </w:tcPr>
          <w:p>
            <w:pPr>
              <w:jc w:val="right"/>
              <w:ind w:right="244"/>
              <w:spacing w:after="0"/>
              <w:rPr>
                <w:sz w:val="20"/>
                <w:szCs w:val="20"/>
                <w:color w:val="auto"/>
              </w:rPr>
            </w:pPr>
            <w:r>
              <w:rPr>
                <w:rFonts w:ascii="Arial" w:cs="Arial" w:eastAsia="Arial" w:hAnsi="Arial"/>
                <w:sz w:val="14"/>
                <w:szCs w:val="14"/>
                <w:b w:val="1"/>
                <w:bCs w:val="1"/>
                <w:color w:val="auto"/>
              </w:rPr>
              <w:t>DECEMBER 27, 2020</w:t>
            </w:r>
          </w:p>
        </w:tc>
      </w:tr>
      <w:tr>
        <w:trPr>
          <w:trHeight w:val="19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current assets, net</w:t>
            </w:r>
          </w:p>
        </w:tc>
        <w:tc>
          <w:tcPr>
            <w:tcW w:w="32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r>
      <w:tr>
        <w:trPr>
          <w:trHeight w:val="203"/>
        </w:trPr>
        <w:tc>
          <w:tcPr>
            <w:tcW w:w="7220" w:type="dxa"/>
            <w:vAlign w:val="bottom"/>
          </w:tcPr>
          <w:p>
            <w:pPr>
              <w:ind w:left="140"/>
              <w:spacing w:after="0"/>
              <w:rPr>
                <w:sz w:val="20"/>
                <w:szCs w:val="20"/>
                <w:color w:val="auto"/>
              </w:rPr>
            </w:pPr>
            <w:r>
              <w:rPr>
                <w:rFonts w:ascii="Arial" w:cs="Arial" w:eastAsia="Arial" w:hAnsi="Arial"/>
                <w:sz w:val="15"/>
                <w:szCs w:val="15"/>
                <w:color w:val="auto"/>
              </w:rPr>
              <w:t>Deferred gift card sales commissions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12,548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19,300</w:t>
            </w:r>
          </w:p>
        </w:tc>
      </w:tr>
      <w:tr>
        <w:trPr>
          <w:trHeight w:val="248"/>
        </w:trPr>
        <w:tc>
          <w:tcPr>
            <w:tcW w:w="7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Unearned revenue</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gift card revenue</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293,955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373,048</w:t>
            </w:r>
          </w:p>
        </w:tc>
      </w:tr>
      <w:tr>
        <w:trPr>
          <w:trHeight w:val="203"/>
        </w:trPr>
        <w:tc>
          <w:tcPr>
            <w:tcW w:w="7220" w:type="dxa"/>
            <w:vAlign w:val="bottom"/>
          </w:tcPr>
          <w:p>
            <w:pPr>
              <w:ind w:left="140"/>
              <w:spacing w:after="0"/>
              <w:rPr>
                <w:sz w:val="20"/>
                <w:szCs w:val="20"/>
                <w:color w:val="auto"/>
              </w:rPr>
            </w:pPr>
            <w:r>
              <w:rPr>
                <w:rFonts w:ascii="Arial" w:cs="Arial" w:eastAsia="Arial" w:hAnsi="Arial"/>
                <w:sz w:val="15"/>
                <w:szCs w:val="15"/>
                <w:color w:val="auto"/>
              </w:rPr>
              <w:t>Deferred loyalty revenue</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8,604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8,099</w:t>
            </w:r>
          </w:p>
        </w:tc>
      </w:tr>
      <w:tr>
        <w:trPr>
          <w:trHeight w:val="202"/>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Deferred franchise fees - current</w:t>
            </w:r>
          </w:p>
        </w:tc>
        <w:tc>
          <w:tcPr>
            <w:tcW w:w="3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w:t>
            </w:r>
          </w:p>
        </w:tc>
      </w:tr>
      <w:tr>
        <w:trPr>
          <w:trHeight w:val="206"/>
        </w:trPr>
        <w:tc>
          <w:tcPr>
            <w:tcW w:w="7220" w:type="dxa"/>
            <w:vAlign w:val="bottom"/>
          </w:tcPr>
          <w:p>
            <w:pPr>
              <w:ind w:left="440"/>
              <w:spacing w:after="0"/>
              <w:rPr>
                <w:sz w:val="20"/>
                <w:szCs w:val="20"/>
                <w:color w:val="auto"/>
              </w:rPr>
            </w:pPr>
            <w:r>
              <w:rPr>
                <w:rFonts w:ascii="Arial" w:cs="Arial" w:eastAsia="Arial" w:hAnsi="Arial"/>
                <w:sz w:val="15"/>
                <w:szCs w:val="15"/>
                <w:color w:val="auto"/>
              </w:rPr>
              <w:t>Total Unearned revenue</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302,996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381,616</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1"/>
        </w:trPr>
        <w:tc>
          <w:tcPr>
            <w:tcW w:w="7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Other long-term liabilities, net</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franchise fees - non-current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4,301</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deferred gift card sales commissions for the periods indicated:</w:t>
      </w:r>
    </w:p>
    <w:p>
      <w:pPr>
        <w:sectPr>
          <w:pgSz w:w="11900" w:h="16838" w:orient="portrait"/>
          <w:cols w:equalWidth="0" w:num="1">
            <w:col w:w="11240"/>
          </w:cols>
          <w:pgMar w:left="320" w:top="122" w:right="339" w:bottom="1440" w:gutter="0" w:footer="0" w:header="0"/>
        </w:sect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beginning of period</w:t>
      </w:r>
    </w:p>
    <w:p>
      <w:pPr>
        <w:spacing w:after="0" w:line="34" w:lineRule="exact"/>
        <w:rPr>
          <w:sz w:val="20"/>
          <w:szCs w:val="20"/>
          <w:color w:val="auto"/>
        </w:rPr>
      </w:pPr>
    </w:p>
    <w:p>
      <w:pPr>
        <w:jc w:val="both"/>
        <w:ind w:left="140" w:right="820"/>
        <w:spacing w:after="0" w:line="310" w:lineRule="auto"/>
        <w:rPr>
          <w:sz w:val="20"/>
          <w:szCs w:val="20"/>
          <w:color w:val="auto"/>
        </w:rPr>
      </w:pPr>
      <w:r>
        <w:rPr>
          <w:rFonts w:ascii="Arial" w:cs="Arial" w:eastAsia="Arial" w:hAnsi="Arial"/>
          <w:sz w:val="15"/>
          <w:szCs w:val="15"/>
          <w:color w:val="auto"/>
        </w:rPr>
        <w:t>Deferred gift card sales commissions amortization Deferred gift card sales commissions capitalization Other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end of period</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00" w:type="dxa"/>
            <w:vAlign w:val="bottom"/>
          </w:tcPr>
          <w:p>
            <w:pPr>
              <w:spacing w:after="0"/>
              <w:rPr>
                <w:sz w:val="17"/>
                <w:szCs w:val="17"/>
                <w:color w:val="auto"/>
              </w:rPr>
            </w:pPr>
          </w:p>
        </w:tc>
        <w:tc>
          <w:tcPr>
            <w:tcW w:w="30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4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28, 2020</w:t>
            </w:r>
          </w:p>
        </w:tc>
      </w:tr>
      <w:tr>
        <w:trPr>
          <w:trHeight w:val="201"/>
        </w:trPr>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13,502</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13,049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19,300</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18,554</w:t>
            </w:r>
          </w:p>
        </w:tc>
      </w:tr>
      <w:tr>
        <w:trPr>
          <w:trHeight w:val="206"/>
        </w:trPr>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(5,711)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(14,436)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(11,592)</w:t>
            </w:r>
          </w:p>
        </w:tc>
      </w:tr>
      <w:tr>
        <w:trPr>
          <w:trHeight w:val="206"/>
        </w:trPr>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5,297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3,142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8,796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7,466</w:t>
            </w:r>
          </w:p>
        </w:tc>
      </w:tr>
      <w:tr>
        <w:trPr>
          <w:trHeight w:val="218"/>
        </w:trPr>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(804)</w:t>
            </w:r>
          </w:p>
        </w:tc>
      </w:tr>
      <w:tr>
        <w:trPr>
          <w:trHeight w:val="203"/>
        </w:trPr>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12,548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13,624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12,548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13,624</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-711835</wp:posOffset>
            </wp:positionV>
            <wp:extent cx="713867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-441325</wp:posOffset>
            </wp:positionV>
            <wp:extent cx="7138670" cy="130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-171450</wp:posOffset>
            </wp:positionV>
            <wp:extent cx="7138670" cy="155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122" w:right="3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unearned gift card revenue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4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28, 2020</w:t>
            </w:r>
          </w:p>
        </w:tc>
      </w:tr>
      <w:tr>
        <w:trPr>
          <w:trHeight w:val="20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beginning of period</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306,075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277,518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373,048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358,757</w:t>
            </w: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Gift card sales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63,921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41,649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108,090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100,088</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Gift card redemptions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(176,799)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(170,585)</w:t>
            </w:r>
          </w:p>
        </w:tc>
      </w:tr>
      <w:tr>
        <w:trPr>
          <w:trHeight w:val="212"/>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Gift card breakage</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(10,384)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(8,287)</w:t>
            </w:r>
          </w:p>
        </w:tc>
      </w:tr>
      <w:tr>
        <w:trPr>
          <w:trHeight w:val="23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end of period</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293,955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279,973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293,955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279,973</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ind w:left="340" w:hanging="337"/>
        <w:spacing w:after="0"/>
        <w:tabs>
          <w:tab w:leader="none" w:pos="3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Impairments and Exit Costs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components of Provision for impaired assets and restaurant closings are as follows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00" w:type="dxa"/>
            <w:vAlign w:val="bottom"/>
            <w:gridSpan w:val="4"/>
          </w:tcPr>
          <w:p>
            <w:pPr>
              <w:jc w:val="right"/>
              <w:ind w:right="524"/>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JUNE 28, 2020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19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Impairment losses</w:t>
            </w:r>
          </w:p>
        </w:tc>
        <w:tc>
          <w:tcPr>
            <w:tcW w:w="2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rPr>
                <w:sz w:val="20"/>
                <w:szCs w:val="20"/>
                <w:color w:val="auto"/>
              </w:rPr>
            </w:pPr>
            <w:r>
              <w:rPr>
                <w:rFonts w:ascii="Arial" w:cs="Arial" w:eastAsia="Arial" w:hAnsi="Arial"/>
                <w:sz w:val="15"/>
                <w:szCs w:val="15"/>
                <w:color w:val="auto"/>
              </w:rPr>
              <w:t>U.S. (1)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5,768</w:t>
            </w:r>
          </w:p>
        </w:tc>
        <w:tc>
          <w:tcPr>
            <w:tcW w:w="10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23,741</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7,174</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54,713</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 (1)(2)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3,468</w:t>
            </w:r>
          </w:p>
        </w:tc>
        <w:tc>
          <w:tcPr>
            <w:tcW w:w="0" w:type="dxa"/>
            <w:vAlign w:val="bottom"/>
          </w:tcPr>
          <w:p>
            <w:pPr>
              <w:spacing w:after="0"/>
              <w:rPr>
                <w:sz w:val="1"/>
                <w:szCs w:val="1"/>
                <w:color w:val="auto"/>
              </w:rPr>
            </w:pPr>
          </w:p>
        </w:tc>
      </w:tr>
      <w:tr>
        <w:trPr>
          <w:trHeight w:val="212"/>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Corporate (3)</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6,161</w:t>
            </w:r>
          </w:p>
        </w:tc>
        <w:tc>
          <w:tcPr>
            <w:tcW w:w="0" w:type="dxa"/>
            <w:vAlign w:val="bottom"/>
          </w:tcPr>
          <w:p>
            <w:pPr>
              <w:spacing w:after="0"/>
              <w:rPr>
                <w:sz w:val="1"/>
                <w:szCs w:val="1"/>
                <w:color w:val="auto"/>
              </w:rPr>
            </w:pPr>
          </w:p>
        </w:tc>
      </w:tr>
      <w:tr>
        <w:trPr>
          <w:trHeight w:val="226"/>
        </w:trPr>
        <w:tc>
          <w:tcPr>
            <w:tcW w:w="4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impairment losses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5,422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23,918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7,564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64,342</w:t>
            </w: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Arial" w:cs="Arial" w:eastAsia="Arial" w:hAnsi="Arial"/>
                <w:sz w:val="15"/>
                <w:szCs w:val="15"/>
                <w:color w:val="auto"/>
              </w:rPr>
              <w:t>Restaurant closure charges</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1,762</w:t>
            </w:r>
          </w:p>
        </w:tc>
        <w:tc>
          <w:tcPr>
            <w:tcW w:w="0" w:type="dxa"/>
            <w:vAlign w:val="bottom"/>
          </w:tcPr>
          <w:p>
            <w:pPr>
              <w:spacing w:after="0"/>
              <w:rPr>
                <w:sz w:val="1"/>
                <w:szCs w:val="1"/>
                <w:color w:val="auto"/>
              </w:rPr>
            </w:pPr>
          </w:p>
        </w:tc>
      </w:tr>
      <w:tr>
        <w:trPr>
          <w:trHeight w:val="212"/>
        </w:trPr>
        <w:tc>
          <w:tcPr>
            <w:tcW w:w="4820" w:type="dxa"/>
            <w:vAlign w:val="bottom"/>
          </w:tcPr>
          <w:p>
            <w:pPr>
              <w:ind w:left="220"/>
              <w:spacing w:after="0"/>
              <w:rPr>
                <w:sz w:val="20"/>
                <w:szCs w:val="20"/>
                <w:color w:val="auto"/>
              </w:rPr>
            </w:pPr>
            <w:r>
              <w:rPr>
                <w:rFonts w:ascii="Arial" w:cs="Arial" w:eastAsia="Arial" w:hAnsi="Arial"/>
                <w:sz w:val="15"/>
                <w:szCs w:val="15"/>
                <w:color w:val="auto"/>
              </w:rPr>
              <w:t>International (1)</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12"/>
        </w:trPr>
        <w:tc>
          <w:tcPr>
            <w:tcW w:w="48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restaurant closure charges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1,935</w:t>
            </w:r>
          </w:p>
        </w:tc>
        <w:tc>
          <w:tcPr>
            <w:tcW w:w="0" w:type="dxa"/>
            <w:vAlign w:val="bottom"/>
          </w:tcPr>
          <w:p>
            <w:pPr>
              <w:spacing w:after="0"/>
              <w:rPr>
                <w:sz w:val="1"/>
                <w:szCs w:val="1"/>
                <w:color w:val="auto"/>
              </w:rPr>
            </w:pPr>
          </w:p>
        </w:tc>
      </w:tr>
      <w:tr>
        <w:trPr>
          <w:trHeight w:val="206"/>
        </w:trPr>
        <w:tc>
          <w:tcPr>
            <w:tcW w:w="4820" w:type="dxa"/>
            <w:vAlign w:val="bottom"/>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5,177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24,959</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7,377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66,277</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5"/>
                <w:szCs w:val="15"/>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620" w:hanging="617"/>
        <w:spacing w:after="0" w:line="251" w:lineRule="auto"/>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U.S. and international impairment and closure charges for the thirteen and twenty-six weeks ended June 28, 2020 primarily relate to the COVID-19 pandemic, including charges related to the COVID-19 Restructuring discussed below. See Note 2 - </w:t>
      </w:r>
      <w:r>
        <w:rPr>
          <w:rFonts w:ascii="Arial" w:cs="Arial" w:eastAsia="Arial" w:hAnsi="Arial"/>
          <w:sz w:val="15"/>
          <w:szCs w:val="15"/>
          <w:i w:val="1"/>
          <w:iCs w:val="1"/>
          <w:color w:val="auto"/>
        </w:rPr>
        <w:t>COVID-19 Charges</w:t>
      </w:r>
      <w:r>
        <w:rPr>
          <w:rFonts w:ascii="Arial" w:cs="Arial" w:eastAsia="Arial" w:hAnsi="Arial"/>
          <w:sz w:val="15"/>
          <w:szCs w:val="15"/>
          <w:color w:val="auto"/>
        </w:rPr>
        <w:t xml:space="preserve"> for details regarding the impact of the COVID-19 pandemic on the Company’s financial results.</w:t>
      </w:r>
    </w:p>
    <w:p>
      <w:pPr>
        <w:ind w:left="620" w:hanging="61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goodwill impairment charges of $2.0 million during the twenty-six weeks ended June 28, 2020.</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Corporate impairment charges for the twenty-six weeks ended June 28, 2020 primarily relate to transformational initiatives.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COVID-19 Restructuring - </w:t>
      </w:r>
      <w:r>
        <w:rPr>
          <w:rFonts w:ascii="Arial" w:cs="Arial" w:eastAsia="Arial" w:hAnsi="Arial"/>
          <w:sz w:val="18"/>
          <w:szCs w:val="18"/>
          <w:color w:val="auto"/>
        </w:rPr>
        <w:t>During the thirteen and twenty-six weeks ended June 28, 2020, the Company recognized pre-tax asset impairments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charges in connection with the closure of 22 restaurants and from the update of certain cash flow assumptions, including lease renewal considerations (the “COVID-19 Restructuring”). Following is a summary of the COVID-19 Restructuring charges recognized in the Consolidated Statements of Operations and Comprehensive Income (Loss) for the periods indicated (dollars in thousands):</w:t>
      </w:r>
    </w:p>
    <w:p>
      <w:pPr>
        <w:sectPr>
          <w:pgSz w:w="11900" w:h="16838" w:orient="portrait"/>
          <w:cols w:equalWidth="0" w:num="1">
            <w:col w:w="11240"/>
          </w:cols>
          <w:pgMar w:left="320" w:top="122" w:right="339" w:bottom="1440" w:gutter="0" w:footer="0" w:header="0"/>
        </w:sect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5160" w:type="dxa"/>
            <w:vAlign w:val="bottom"/>
          </w:tcPr>
          <w:p>
            <w:pPr>
              <w:jc w:val="center"/>
              <w:spacing w:after="0"/>
              <w:rPr>
                <w:sz w:val="20"/>
                <w:szCs w:val="20"/>
                <w:color w:val="auto"/>
              </w:rPr>
            </w:pPr>
            <w:r>
              <w:rPr>
                <w:rFonts w:ascii="Arial" w:cs="Arial" w:eastAsia="Arial" w:hAnsi="Arial"/>
                <w:sz w:val="14"/>
                <w:szCs w:val="14"/>
                <w:b w:val="1"/>
                <w:bCs w:val="1"/>
                <w:color w:val="auto"/>
                <w:w w:val="97"/>
              </w:rPr>
              <w:t>CONSOLIDATED STATEMENTS OF OPERATIONS AND COMPREHENSIVE</w:t>
            </w:r>
          </w:p>
        </w:tc>
        <w:tc>
          <w:tcPr>
            <w:tcW w:w="0" w:type="dxa"/>
            <w:vAlign w:val="bottom"/>
          </w:tcPr>
          <w:p>
            <w:pPr>
              <w:spacing w:after="0"/>
              <w:rPr>
                <w:sz w:val="1"/>
                <w:szCs w:val="1"/>
                <w:color w:val="auto"/>
              </w:rPr>
            </w:pPr>
          </w:p>
        </w:tc>
      </w:tr>
      <w:tr>
        <w:trPr>
          <w:trHeight w:val="186"/>
        </w:trPr>
        <w:tc>
          <w:tcPr>
            <w:tcW w:w="3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INCOME (LOSS) CLASSIFICATION</w:t>
            </w:r>
          </w:p>
        </w:tc>
        <w:tc>
          <w:tcPr>
            <w:tcW w:w="0" w:type="dxa"/>
            <w:vAlign w:val="bottom"/>
          </w:tcPr>
          <w:p>
            <w:pPr>
              <w:spacing w:after="0"/>
              <w:rPr>
                <w:sz w:val="1"/>
                <w:szCs w:val="1"/>
                <w:color w:val="auto"/>
              </w:rPr>
            </w:pPr>
          </w:p>
        </w:tc>
      </w:tr>
      <w:tr>
        <w:trPr>
          <w:trHeight w:val="201"/>
        </w:trPr>
        <w:tc>
          <w:tcPr>
            <w:tcW w:w="3860" w:type="dxa"/>
            <w:vAlign w:val="bottom"/>
          </w:tcPr>
          <w:p>
            <w:pPr>
              <w:ind w:left="20"/>
              <w:spacing w:after="0"/>
              <w:rPr>
                <w:sz w:val="20"/>
                <w:szCs w:val="20"/>
                <w:color w:val="auto"/>
              </w:rPr>
            </w:pPr>
            <w:r>
              <w:rPr>
                <w:rFonts w:ascii="Arial" w:cs="Arial" w:eastAsia="Arial" w:hAnsi="Arial"/>
                <w:sz w:val="15"/>
                <w:szCs w:val="15"/>
                <w:color w:val="auto"/>
              </w:rPr>
              <w:t>Property, fixtures and equipment impairments</w:t>
            </w:r>
          </w:p>
        </w:tc>
        <w:tc>
          <w:tcPr>
            <w:tcW w:w="10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0" w:type="dxa"/>
            <w:vAlign w:val="bottom"/>
          </w:tcPr>
          <w:p>
            <w:pPr>
              <w:spacing w:after="0"/>
              <w:rPr>
                <w:sz w:val="1"/>
                <w:szCs w:val="1"/>
                <w:color w:val="auto"/>
              </w:rPr>
            </w:pPr>
          </w:p>
        </w:tc>
      </w:tr>
      <w:tr>
        <w:trPr>
          <w:trHeight w:val="206"/>
        </w:trPr>
        <w:tc>
          <w:tcPr>
            <w:tcW w:w="3860" w:type="dxa"/>
            <w:vAlign w:val="bottom"/>
          </w:tcPr>
          <w:p>
            <w:pPr>
              <w:ind w:left="20"/>
              <w:spacing w:after="0"/>
              <w:rPr>
                <w:sz w:val="20"/>
                <w:szCs w:val="20"/>
                <w:color w:val="auto"/>
              </w:rPr>
            </w:pPr>
            <w:r>
              <w:rPr>
                <w:rFonts w:ascii="Arial" w:cs="Arial" w:eastAsia="Arial" w:hAnsi="Arial"/>
                <w:sz w:val="15"/>
                <w:szCs w:val="15"/>
                <w:color w:val="auto"/>
              </w:rPr>
              <w:t>Lease right-of-use asset impairments and closing costs</w:t>
            </w:r>
          </w:p>
        </w:tc>
        <w:tc>
          <w:tcPr>
            <w:tcW w:w="10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0" w:type="dxa"/>
            <w:vAlign w:val="bottom"/>
          </w:tcPr>
          <w:p>
            <w:pPr>
              <w:spacing w:after="0"/>
              <w:rPr>
                <w:sz w:val="1"/>
                <w:szCs w:val="1"/>
                <w:color w:val="auto"/>
              </w:rPr>
            </w:pPr>
          </w:p>
        </w:tc>
      </w:tr>
      <w:tr>
        <w:trPr>
          <w:trHeight w:val="219"/>
        </w:trPr>
        <w:tc>
          <w:tcPr>
            <w:tcW w:w="3860" w:type="dxa"/>
            <w:vAlign w:val="bottom"/>
          </w:tcPr>
          <w:p>
            <w:pPr>
              <w:ind w:left="20"/>
              <w:spacing w:after="0"/>
              <w:rPr>
                <w:sz w:val="20"/>
                <w:szCs w:val="20"/>
                <w:color w:val="auto"/>
              </w:rPr>
            </w:pPr>
            <w:r>
              <w:rPr>
                <w:rFonts w:ascii="Arial" w:cs="Arial" w:eastAsia="Arial" w:hAnsi="Arial"/>
                <w:sz w:val="15"/>
                <w:szCs w:val="15"/>
                <w:color w:val="auto"/>
              </w:rPr>
              <w:t>Severance and other expenses</w:t>
            </w:r>
          </w:p>
        </w:tc>
        <w:tc>
          <w:tcPr>
            <w:tcW w:w="10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-405130</wp:posOffset>
            </wp:positionV>
            <wp:extent cx="713867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left="-19" w:right="20"/>
        <w:spacing w:after="0" w:line="229" w:lineRule="auto"/>
        <w:rPr>
          <w:sz w:val="20"/>
          <w:szCs w:val="20"/>
          <w:color w:val="auto"/>
        </w:rPr>
      </w:pPr>
      <w:r>
        <w:rPr>
          <w:rFonts w:ascii="Arial" w:cs="Arial" w:eastAsia="Arial" w:hAnsi="Arial"/>
          <w:sz w:val="14"/>
          <w:szCs w:val="14"/>
          <w:b w:val="1"/>
          <w:bCs w:val="1"/>
          <w:color w:val="auto"/>
        </w:rPr>
        <w:t>THIRTEEN AND TWENTY-SIX WEEKS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JUNE 28, 2020</w:t>
            </w:r>
          </w:p>
        </w:tc>
      </w:tr>
      <w:tr>
        <w:trPr>
          <w:trHeight w:val="201"/>
        </w:trPr>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16,932</w:t>
            </w:r>
          </w:p>
        </w:tc>
      </w:tr>
      <w:tr>
        <w:trPr>
          <w:trHeight w:val="206"/>
        </w:trPr>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3,920</w:t>
            </w:r>
          </w:p>
        </w:tc>
      </w:tr>
      <w:tr>
        <w:trPr>
          <w:trHeight w:val="218"/>
        </w:trPr>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1,160</w:t>
            </w:r>
          </w:p>
        </w:tc>
      </w:tr>
      <w:tr>
        <w:trPr>
          <w:trHeight w:val="203"/>
        </w:trPr>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22,012</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9120" w:space="100"/>
            <w:col w:w="2020"/>
          </w:cols>
          <w:pgMar w:left="320" w:top="122"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remaining impairment and closure charges during the periods presented resulted primarily from locations identified for relocation or closure.</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Annual Goodwill and Intangible Asset Impairment Assessment </w:t>
      </w:r>
      <w:r>
        <w:rPr>
          <w:rFonts w:ascii="Arial" w:cs="Arial" w:eastAsia="Arial" w:hAnsi="Arial"/>
          <w:sz w:val="18"/>
          <w:szCs w:val="18"/>
          <w:color w:val="auto"/>
        </w:rPr>
        <w:t>- The Company performs its annual assessment for impairment of goodwill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indefinite-lived intangible assets during its second fiscal quarter. The Company’s 2021 assessment was qualitative and its 2020 assessment was quantitative. In connection with these assessments, the Company did not record any impairment charges.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58" w:lineRule="auto"/>
        <w:rPr>
          <w:sz w:val="20"/>
          <w:szCs w:val="20"/>
          <w:color w:val="auto"/>
        </w:rPr>
      </w:pPr>
      <w:r>
        <w:rPr>
          <w:rFonts w:ascii="Arial" w:cs="Arial" w:eastAsia="Arial" w:hAnsi="Arial"/>
          <w:sz w:val="19"/>
          <w:szCs w:val="19"/>
          <w:i w:val="1"/>
          <w:iCs w:val="1"/>
          <w:color w:val="auto"/>
        </w:rPr>
        <w:t xml:space="preserve">Accrued Facility Closure and Other Costs Rollforward </w:t>
      </w:r>
      <w:r>
        <w:rPr>
          <w:rFonts w:ascii="Arial" w:cs="Arial" w:eastAsia="Arial" w:hAnsi="Arial"/>
          <w:sz w:val="19"/>
          <w:szCs w:val="19"/>
          <w:color w:val="auto"/>
        </w:rPr>
        <w:t>- The following table is a rollforward of the Company’s closed facility lease liabilities and</w:t>
      </w:r>
      <w:r>
        <w:rPr>
          <w:rFonts w:ascii="Arial" w:cs="Arial" w:eastAsia="Arial" w:hAnsi="Arial"/>
          <w:sz w:val="19"/>
          <w:szCs w:val="19"/>
          <w:i w:val="1"/>
          <w:iCs w:val="1"/>
          <w:color w:val="auto"/>
        </w:rPr>
        <w:t xml:space="preserve"> </w:t>
      </w:r>
      <w:r>
        <w:rPr>
          <w:rFonts w:ascii="Arial" w:cs="Arial" w:eastAsia="Arial" w:hAnsi="Arial"/>
          <w:sz w:val="19"/>
          <w:szCs w:val="19"/>
          <w:color w:val="auto"/>
        </w:rPr>
        <w:t>other accrued costs associated with the closure and restructuring initiatives, for the period indicated:</w:t>
      </w:r>
    </w:p>
    <w:p>
      <w:pPr>
        <w:sectPr>
          <w:pgSz w:w="11900" w:h="16838" w:orient="portrait"/>
          <w:cols w:equalWidth="0" w:num="1">
            <w:col w:w="11240"/>
          </w:cols>
          <w:pgMar w:left="320" w:top="122" w:right="339" w:bottom="1440" w:gutter="0" w:footer="0" w:header="0"/>
        </w:sectPr>
      </w:pPr>
    </w:p>
    <w:p>
      <w:pPr>
        <w:spacing w:after="0" w:line="1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beginning of the period</w: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Cash payments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Accretion</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Adjustments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end of the period (1)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00" w:type="dxa"/>
            <w:vAlign w:val="bottom"/>
          </w:tcPr>
          <w:p>
            <w:pPr>
              <w:spacing w:after="0"/>
              <w:rPr>
                <w:sz w:val="15"/>
                <w:szCs w:val="15"/>
                <w:color w:val="auto"/>
              </w:rPr>
            </w:pPr>
          </w:p>
        </w:tc>
        <w:tc>
          <w:tcPr>
            <w:tcW w:w="2640" w:type="dxa"/>
            <w:vAlign w:val="bottom"/>
          </w:tcPr>
          <w:p>
            <w:pPr>
              <w:jc w:val="right"/>
              <w:ind w:right="425"/>
              <w:spacing w:after="0"/>
              <w:rPr>
                <w:sz w:val="20"/>
                <w:szCs w:val="20"/>
                <w:color w:val="auto"/>
              </w:rPr>
            </w:pPr>
            <w:r>
              <w:rPr>
                <w:rFonts w:ascii="Arial" w:cs="Arial" w:eastAsia="Arial" w:hAnsi="Arial"/>
                <w:sz w:val="14"/>
                <w:szCs w:val="14"/>
                <w:b w:val="1"/>
                <w:bCs w:val="1"/>
                <w:color w:val="auto"/>
              </w:rPr>
              <w:t>TWENTY-SIX WEEKS ENDED</w:t>
            </w:r>
          </w:p>
        </w:tc>
      </w:tr>
      <w:tr>
        <w:trPr>
          <w:trHeight w:val="198"/>
        </w:trPr>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ind w:right="945"/>
              <w:spacing w:after="0"/>
              <w:rPr>
                <w:sz w:val="20"/>
                <w:szCs w:val="20"/>
                <w:color w:val="auto"/>
              </w:rPr>
            </w:pPr>
            <w:r>
              <w:rPr>
                <w:rFonts w:ascii="Arial" w:cs="Arial" w:eastAsia="Arial" w:hAnsi="Arial"/>
                <w:sz w:val="14"/>
                <w:szCs w:val="14"/>
                <w:b w:val="1"/>
                <w:bCs w:val="1"/>
                <w:color w:val="auto"/>
              </w:rPr>
              <w:t>JUNE 27, 2021</w:t>
            </w:r>
          </w:p>
        </w:tc>
      </w:tr>
      <w:tr>
        <w:trPr>
          <w:trHeight w:val="201"/>
        </w:trPr>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2640" w:type="dxa"/>
            <w:vAlign w:val="bottom"/>
          </w:tcPr>
          <w:p>
            <w:pPr>
              <w:jc w:val="right"/>
              <w:spacing w:after="0"/>
              <w:rPr>
                <w:sz w:val="20"/>
                <w:szCs w:val="20"/>
                <w:color w:val="auto"/>
              </w:rPr>
            </w:pPr>
            <w:r>
              <w:rPr>
                <w:rFonts w:ascii="Arial" w:cs="Arial" w:eastAsia="Arial" w:hAnsi="Arial"/>
                <w:sz w:val="15"/>
                <w:szCs w:val="15"/>
                <w:color w:val="auto"/>
              </w:rPr>
              <w:t>12,879</w:t>
            </w:r>
          </w:p>
        </w:tc>
      </w:tr>
      <w:tr>
        <w:trPr>
          <w:trHeight w:val="206"/>
        </w:trPr>
        <w:tc>
          <w:tcPr>
            <w:tcW w:w="30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Arial" w:cs="Arial" w:eastAsia="Arial" w:hAnsi="Arial"/>
                <w:sz w:val="15"/>
                <w:szCs w:val="15"/>
                <w:color w:val="auto"/>
              </w:rPr>
              <w:t>(2,239)</w:t>
            </w:r>
          </w:p>
        </w:tc>
      </w:tr>
      <w:tr>
        <w:trPr>
          <w:trHeight w:val="206"/>
        </w:trPr>
        <w:tc>
          <w:tcPr>
            <w:tcW w:w="30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Arial" w:cs="Arial" w:eastAsia="Arial" w:hAnsi="Arial"/>
                <w:sz w:val="15"/>
                <w:szCs w:val="15"/>
                <w:color w:val="auto"/>
              </w:rPr>
              <w:t>488</w:t>
            </w:r>
          </w:p>
        </w:tc>
      </w:tr>
      <w:tr>
        <w:trPr>
          <w:trHeight w:val="218"/>
        </w:trPr>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(790)</w:t>
            </w:r>
          </w:p>
        </w:tc>
      </w:tr>
      <w:tr>
        <w:trPr>
          <w:trHeight w:val="203"/>
        </w:trPr>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10,338</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-5267960</wp:posOffset>
            </wp:positionH>
            <wp:positionV relativeFrom="paragraph">
              <wp:posOffset>-711835</wp:posOffset>
            </wp:positionV>
            <wp:extent cx="7138670" cy="13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-441325</wp:posOffset>
            </wp:positionV>
            <wp:extent cx="7138670" cy="130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-171450</wp:posOffset>
            </wp:positionV>
            <wp:extent cx="7138670" cy="155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7580" w:space="720"/>
            <w:col w:w="2940"/>
          </w:cols>
          <w:pgMar w:left="320" w:top="122" w:right="339" w:bottom="1440" w:gutter="0" w:footer="0" w:header="0"/>
          <w:type w:val="continuous"/>
        </w:sect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As of June 27, 2021, the Company had exit-related accruals related to certain closure and restructuring initiatives of $3.6 million recorded in Accrued and other current liabilities and $6.7 million recorded in Non-current operating lease liabilities on its Consolidated Balance Sheet.</w:t>
      </w:r>
    </w:p>
    <w:p>
      <w:pPr>
        <w:spacing w:after="0" w:line="190" w:lineRule="exact"/>
        <w:rPr>
          <w:sz w:val="20"/>
          <w:szCs w:val="20"/>
          <w:color w:val="auto"/>
        </w:rPr>
      </w:pPr>
    </w:p>
    <w:p>
      <w:pPr>
        <w:ind w:left="340" w:hanging="337"/>
        <w:spacing w:after="0"/>
        <w:tabs>
          <w:tab w:leader="none" w:pos="3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Earnings (Loss) Per Share</w:t>
      </w:r>
    </w:p>
    <w:p>
      <w:pPr>
        <w:spacing w:after="0" w:line="233"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The dilutive effect of the 2025 Notes is calculated using the if-converted method which was required upon the Company’s adoption of ASU No. 2020-06. To the extent the Company has the ability to settle its 2025 Notes in shares of its common stock, the principal and conversion spread on the 2025 Notes will have a dilutive impact on diluted earnings per share when the average market price of the Company’s common stock for a given period exceeds the conversion price of $11.89 per share of common stock. In February 2021, the Company provided the trustee of its 2025 Notes notice of the Company’s irrevocable election to settle the principal portion of the 2025 Notes in cash and any excess in shares. As a result, subsequent to the election, only the amounts in excess of the principal amount are considered in diluted earnings per share under the if-converted method.</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connection with the offering of the 2025 Notes, the Company entered into the </w:t>
      </w:r>
      <w:r>
        <w:rPr>
          <w:rFonts w:ascii="Arial" w:cs="Arial" w:eastAsia="Arial" w:hAnsi="Arial"/>
          <w:sz w:val="18"/>
          <w:szCs w:val="18"/>
          <w:color w:val="252525"/>
        </w:rPr>
        <w:t>Convertible Note Hedge Transactions and Warrant Transactions</w:t>
      </w:r>
      <w:r>
        <w:rPr>
          <w:rFonts w:ascii="Arial" w:cs="Arial" w:eastAsia="Arial" w:hAnsi="Arial"/>
          <w:sz w:val="18"/>
          <w:szCs w:val="18"/>
          <w:color w:val="auto"/>
        </w:rPr>
        <w:t xml:space="preserve"> described in Note 10 -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xml:space="preserve"> However, the </w:t>
      </w:r>
      <w:r>
        <w:rPr>
          <w:rFonts w:ascii="Arial" w:cs="Arial" w:eastAsia="Arial" w:hAnsi="Arial"/>
          <w:sz w:val="18"/>
          <w:szCs w:val="18"/>
          <w:color w:val="252525"/>
        </w:rPr>
        <w:t>Convertible Note Hedge Transactions</w:t>
      </w:r>
      <w:r>
        <w:rPr>
          <w:rFonts w:ascii="Arial" w:cs="Arial" w:eastAsia="Arial" w:hAnsi="Arial"/>
          <w:sz w:val="18"/>
          <w:szCs w:val="18"/>
          <w:color w:val="auto"/>
        </w:rPr>
        <w:t xml:space="preserve"> are not considered when calculating dilutive shares given their impact is anti-dilutive. The impact of the </w:t>
      </w:r>
      <w:r>
        <w:rPr>
          <w:rFonts w:ascii="Arial" w:cs="Arial" w:eastAsia="Arial" w:hAnsi="Arial"/>
          <w:sz w:val="18"/>
          <w:szCs w:val="18"/>
          <w:color w:val="252525"/>
        </w:rPr>
        <w:t>Convertible Note Hedge Transactions</w:t>
      </w:r>
      <w:r>
        <w:rPr>
          <w:rFonts w:ascii="Arial" w:cs="Arial" w:eastAsia="Arial" w:hAnsi="Arial"/>
          <w:sz w:val="18"/>
          <w:szCs w:val="18"/>
          <w:color w:val="auto"/>
        </w:rPr>
        <w:t xml:space="preserve"> would offset the dilutive impact of the shares underlying the 2025 Notes. </w:t>
      </w:r>
      <w:r>
        <w:rPr>
          <w:rFonts w:ascii="Arial" w:cs="Arial" w:eastAsia="Arial" w:hAnsi="Arial"/>
          <w:sz w:val="18"/>
          <w:szCs w:val="18"/>
          <w:color w:val="252525"/>
        </w:rPr>
        <w:t>The Warrant Transactions have a dilutive effect on the Company’s common stock to the extent that the price of its</w:t>
      </w:r>
      <w:r>
        <w:rPr>
          <w:rFonts w:ascii="Arial" w:cs="Arial" w:eastAsia="Arial" w:hAnsi="Arial"/>
          <w:sz w:val="18"/>
          <w:szCs w:val="18"/>
          <w:color w:val="auto"/>
        </w:rPr>
        <w:t xml:space="preserve"> </w:t>
      </w:r>
      <w:r>
        <w:rPr>
          <w:rFonts w:ascii="Arial" w:cs="Arial" w:eastAsia="Arial" w:hAnsi="Arial"/>
          <w:sz w:val="18"/>
          <w:szCs w:val="18"/>
          <w:color w:val="252525"/>
        </w:rPr>
        <w:t xml:space="preserve">common stock exceeds the $16.64 strike price of the Warrant Transactions. </w:t>
      </w:r>
      <w:r>
        <w:rPr>
          <w:rFonts w:ascii="Arial" w:cs="Arial" w:eastAsia="Arial" w:hAnsi="Arial"/>
          <w:sz w:val="18"/>
          <w:szCs w:val="18"/>
          <w:color w:val="000000"/>
        </w:rPr>
        <w:t>See Note 10 -</w:t>
      </w:r>
      <w:r>
        <w:rPr>
          <w:rFonts w:ascii="Arial" w:cs="Arial" w:eastAsia="Arial" w:hAnsi="Arial"/>
          <w:sz w:val="18"/>
          <w:szCs w:val="18"/>
          <w:color w:val="252525"/>
        </w:rPr>
        <w:t xml:space="preserve"> </w:t>
      </w:r>
      <w:r>
        <w:rPr>
          <w:rFonts w:ascii="Arial" w:cs="Arial" w:eastAsia="Arial" w:hAnsi="Arial"/>
          <w:sz w:val="18"/>
          <w:szCs w:val="18"/>
          <w:i w:val="1"/>
          <w:iCs w:val="1"/>
          <w:color w:val="000000"/>
        </w:rPr>
        <w:t>Convertible Senior Notes</w:t>
      </w:r>
      <w:r>
        <w:rPr>
          <w:rFonts w:ascii="Arial" w:cs="Arial" w:eastAsia="Arial" w:hAnsi="Arial"/>
          <w:sz w:val="18"/>
          <w:szCs w:val="18"/>
          <w:color w:val="252525"/>
        </w:rPr>
        <w:t xml:space="preserve"> </w:t>
      </w:r>
      <w:r>
        <w:rPr>
          <w:rFonts w:ascii="Arial" w:cs="Arial" w:eastAsia="Arial" w:hAnsi="Arial"/>
          <w:sz w:val="18"/>
          <w:szCs w:val="18"/>
          <w:color w:val="000000"/>
        </w:rPr>
        <w:t>for additional information</w:t>
      </w:r>
      <w:r>
        <w:rPr>
          <w:rFonts w:ascii="Arial" w:cs="Arial" w:eastAsia="Arial" w:hAnsi="Arial"/>
          <w:sz w:val="18"/>
          <w:szCs w:val="18"/>
          <w:color w:val="252525"/>
        </w:rPr>
        <w:t xml:space="preserve"> </w:t>
      </w:r>
      <w:r>
        <w:rPr>
          <w:rFonts w:ascii="Arial" w:cs="Arial" w:eastAsia="Arial" w:hAnsi="Arial"/>
          <w:sz w:val="18"/>
          <w:szCs w:val="18"/>
          <w:color w:val="000000"/>
        </w:rPr>
        <w:t xml:space="preserve">regarding the 2025 Notes, </w:t>
      </w:r>
      <w:r>
        <w:rPr>
          <w:rFonts w:ascii="Arial" w:cs="Arial" w:eastAsia="Arial" w:hAnsi="Arial"/>
          <w:sz w:val="18"/>
          <w:szCs w:val="18"/>
          <w:color w:val="252525"/>
        </w:rPr>
        <w:t>Convertible Note Hedge Transactions</w:t>
      </w:r>
      <w:r>
        <w:rPr>
          <w:rFonts w:ascii="Arial" w:cs="Arial" w:eastAsia="Arial" w:hAnsi="Arial"/>
          <w:sz w:val="18"/>
          <w:szCs w:val="18"/>
          <w:color w:val="000000"/>
        </w:rPr>
        <w:t xml:space="preserve"> and </w:t>
      </w:r>
      <w:r>
        <w:rPr>
          <w:rFonts w:ascii="Arial" w:cs="Arial" w:eastAsia="Arial" w:hAnsi="Arial"/>
          <w:sz w:val="18"/>
          <w:szCs w:val="18"/>
          <w:color w:val="252525"/>
        </w:rPr>
        <w:t>Warrant Transactions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presents the computation of basic and diluted earnings (loss) per share attributable to common stockholders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78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8"/>
              </w:rPr>
              <w:t>JUNE 28, 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8"/>
              </w:rPr>
              <w:t>JUNE 28, 2020</w:t>
            </w:r>
          </w:p>
        </w:tc>
      </w:tr>
      <w:tr>
        <w:trPr>
          <w:trHeight w:val="212"/>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Bloomin’ Brands</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151,407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(126,867)</w:t>
            </w:r>
          </w:p>
        </w:tc>
      </w:tr>
      <w:tr>
        <w:trPr>
          <w:trHeight w:val="212"/>
        </w:trPr>
        <w:tc>
          <w:tcPr>
            <w:tcW w:w="5220" w:type="dxa"/>
            <w:vAlign w:val="bottom"/>
          </w:tcPr>
          <w:p>
            <w:pPr>
              <w:ind w:left="120"/>
              <w:spacing w:after="0"/>
              <w:rPr>
                <w:sz w:val="20"/>
                <w:szCs w:val="20"/>
                <w:color w:val="auto"/>
              </w:rPr>
            </w:pPr>
            <w:r>
              <w:rPr>
                <w:rFonts w:ascii="Arial" w:cs="Arial" w:eastAsia="Arial" w:hAnsi="Arial"/>
                <w:sz w:val="15"/>
                <w:szCs w:val="15"/>
                <w:color w:val="auto"/>
              </w:rPr>
              <w:t>Redemption of preferred stock in excess of carrying value (1)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(3,496)</w:t>
            </w:r>
          </w:p>
        </w:tc>
      </w:tr>
      <w:tr>
        <w:trPr>
          <w:trHeight w:val="212"/>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common stockholders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151,407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(130,363)</w:t>
            </w:r>
          </w:p>
        </w:tc>
      </w:tr>
      <w:tr>
        <w:trPr>
          <w:trHeight w:val="212"/>
        </w:trPr>
        <w:tc>
          <w:tcPr>
            <w:tcW w:w="5220" w:type="dxa"/>
            <w:vAlign w:val="bottom"/>
          </w:tcPr>
          <w:p>
            <w:pPr>
              <w:ind w:left="120"/>
              <w:spacing w:after="0"/>
              <w:rPr>
                <w:sz w:val="20"/>
                <w:szCs w:val="20"/>
                <w:color w:val="auto"/>
              </w:rPr>
            </w:pPr>
            <w:r>
              <w:rPr>
                <w:rFonts w:ascii="Arial" w:cs="Arial" w:eastAsia="Arial" w:hAnsi="Arial"/>
                <w:sz w:val="15"/>
                <w:szCs w:val="15"/>
                <w:color w:val="auto"/>
                <w:w w:val="97"/>
              </w:rPr>
              <w:t>Convertible senior notes if-converted method interest adjustment, net of tax (2)</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net income (loss) attributable to common stockholders</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(92,256)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152,098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(130,363)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common shares outstanding</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89,075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87,496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88,721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87,312</w:t>
            </w:r>
          </w:p>
        </w:tc>
      </w:tr>
      <w:tr>
        <w:trPr>
          <w:trHeight w:val="206"/>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dilutive securities: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Stock options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937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Nonvested restricted stock units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Nonvested performance-based share units</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Convertible senior notes (2)(3)</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5220" w:type="dxa"/>
            <w:vAlign w:val="bottom"/>
          </w:tcPr>
          <w:p>
            <w:pPr>
              <w:ind w:left="140"/>
              <w:spacing w:after="0"/>
              <w:rPr>
                <w:sz w:val="20"/>
                <w:szCs w:val="20"/>
                <w:color w:val="auto"/>
              </w:rPr>
            </w:pPr>
            <w:r>
              <w:rPr>
                <w:rFonts w:ascii="Arial" w:cs="Arial" w:eastAsia="Arial" w:hAnsi="Arial"/>
                <w:sz w:val="15"/>
                <w:szCs w:val="15"/>
                <w:color w:val="auto"/>
              </w:rPr>
              <w:t>Warrants (3)</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7,983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6,879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weighted average common shares outstanding</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109,805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87,496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110,223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87,312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earnings (loss) per share attributable to common stockholders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r>
      <w:tr>
        <w:trPr>
          <w:trHeight w:val="201"/>
        </w:trPr>
        <w:tc>
          <w:tcPr>
            <w:tcW w:w="5220" w:type="dxa"/>
            <w:vAlign w:val="bottom"/>
          </w:tcPr>
          <w:p>
            <w:pPr>
              <w:ind w:left="20"/>
              <w:spacing w:after="0"/>
              <w:rPr>
                <w:sz w:val="20"/>
                <w:szCs w:val="20"/>
                <w:color w:val="auto"/>
              </w:rPr>
            </w:pPr>
            <w:r>
              <w:rPr>
                <w:rFonts w:ascii="Arial" w:cs="Arial" w:eastAsia="Arial" w:hAnsi="Arial"/>
                <w:sz w:val="15"/>
                <w:szCs w:val="15"/>
                <w:color w:val="auto"/>
              </w:rPr>
              <w:t>Diluted earnings (loss) per share attributable to common stockholders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0.75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(1.49)</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9" w:lineRule="auto"/>
        <w:tabs>
          <w:tab w:leader="none" w:pos="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Consideration paid in excess of carrying value for the redemption of preferred stock is considered a deemed dividend and, for purposes of calculating earnings per share, reduces net income attributable to common stockholders for the twenty-six weeks ended June 28, 2020. See Note 12 - </w:t>
      </w:r>
      <w:r>
        <w:rPr>
          <w:rFonts w:ascii="Arial" w:cs="Arial" w:eastAsia="Arial" w:hAnsi="Arial"/>
          <w:sz w:val="14"/>
          <w:szCs w:val="14"/>
          <w:i w:val="1"/>
          <w:iCs w:val="1"/>
          <w:color w:val="auto"/>
        </w:rPr>
        <w:t>Stockholders’ Equity</w:t>
      </w:r>
      <w:r>
        <w:rPr>
          <w:rFonts w:ascii="Arial" w:cs="Arial" w:eastAsia="Arial" w:hAnsi="Arial"/>
          <w:sz w:val="14"/>
          <w:szCs w:val="14"/>
          <w:color w:val="auto"/>
        </w:rPr>
        <w:t xml:space="preserve"> for additional details.</w:t>
      </w:r>
    </w:p>
    <w:p>
      <w:pPr>
        <w:jc w:val="both"/>
        <w:ind w:left="620" w:hanging="617"/>
        <w:spacing w:after="0" w:line="251"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Adjustment for interest related to the 2025 Notes weighted for the portion of the period prior to the Company’s election under the 2025 Notes indenture to settle the principal portion of its 2025 Notes in cash. Effective with the Company’s election, there will be no further numerator adjustments for interest or denominator adjustments for shares required to settle the principal portion.</w:t>
      </w:r>
    </w:p>
    <w:p>
      <w:pPr>
        <w:ind w:left="620" w:hanging="617"/>
        <w:spacing w:after="0" w:line="266"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Due to the Company’s net loss during the thirteen and twenty-six weeks ended June 28, 2020, dilutive excess shares, if applicable, and warrants were excluded from the computation of diluted earnings per share as their effect would be antidilutive.</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Share-based compensation-related weighted-average securities outstanding not included in the computation of net earnings (loss) per share attributable to common stockholders because their effect was antidilutive were as follows,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3060" w:type="dxa"/>
            <w:vAlign w:val="bottom"/>
            <w:gridSpan w:val="4"/>
          </w:tcPr>
          <w:p>
            <w:pPr>
              <w:ind w:left="580"/>
              <w:spacing w:after="0"/>
              <w:rPr>
                <w:sz w:val="20"/>
                <w:szCs w:val="20"/>
                <w:color w:val="auto"/>
              </w:rPr>
            </w:pPr>
            <w:r>
              <w:rPr>
                <w:rFonts w:ascii="Arial" w:cs="Arial" w:eastAsia="Arial" w:hAnsi="Arial"/>
                <w:sz w:val="14"/>
                <w:szCs w:val="14"/>
                <w:b w:val="1"/>
                <w:bCs w:val="1"/>
                <w:color w:val="auto"/>
              </w:rPr>
              <w:t>THIRTEEN WEEKS ENDED</w:t>
            </w:r>
          </w:p>
        </w:tc>
        <w:tc>
          <w:tcPr>
            <w:tcW w:w="2960" w:type="dxa"/>
            <w:vAlign w:val="bottom"/>
            <w:gridSpan w:val="3"/>
          </w:tcPr>
          <w:p>
            <w:pPr>
              <w:jc w:val="right"/>
              <w:ind w:right="445"/>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42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JUNE 28, 2020</w:t>
            </w: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682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5,009</w:t>
            </w: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Nonvested restricted stock units</w:t>
            </w:r>
          </w:p>
        </w:tc>
        <w:tc>
          <w:tcPr>
            <w:tcW w:w="142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990</w:t>
            </w:r>
          </w:p>
        </w:tc>
        <w:tc>
          <w:tcPr>
            <w:tcW w:w="100" w:type="dxa"/>
            <w:vAlign w:val="bottom"/>
          </w:tcPr>
          <w:p>
            <w:pPr>
              <w:spacing w:after="0"/>
              <w:rPr>
                <w:sz w:val="17"/>
                <w:szCs w:val="17"/>
                <w:color w:val="auto"/>
              </w:rPr>
            </w:pP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821</w:t>
            </w: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performance-based share units</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448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ind w:left="340" w:hanging="337"/>
        <w:spacing w:after="0"/>
        <w:tabs>
          <w:tab w:leader="none" w:pos="3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Stock-based Compensation Plans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Company recognized stock-based compensation expense as follows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4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28, 2020</w:t>
            </w:r>
          </w:p>
        </w:tc>
      </w:tr>
      <w:tr>
        <w:trPr>
          <w:trHeight w:val="20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1,870</w:t>
            </w: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1,964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4,330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4,023</w:t>
            </w:r>
          </w:p>
        </w:tc>
      </w:tr>
      <w:tr>
        <w:trPr>
          <w:trHeight w:val="20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Performance-based share units (1)</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2,392</w:t>
            </w:r>
          </w:p>
        </w:tc>
      </w:tr>
      <w:tr>
        <w:trPr>
          <w:trHeight w:val="203"/>
        </w:trPr>
        <w:tc>
          <w:tcPr>
            <w:tcW w:w="484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9,751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14,451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8,285</w:t>
            </w:r>
          </w:p>
        </w:tc>
      </w:tr>
      <w:tr>
        <w:trPr>
          <w:trHeight w:val="21"/>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thirteen and twenty-six weeks ended June 27, 2021 includes a cumulative life-to-date adjustment for PSUs granted in fiscal years 2019, 2020 and 2021 based on revised Company performance projections of performance criteria set forth in the award agreements.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February 2021, the Company granted 0.3 million performance-based share units (“PSUs”). These PSUs maintain a three-year cliff vesting period and the underlying adjusted diluted earnings per share performance metric can range from zero to 200% of the annual target grant. The grants additionally included a Relative Total Shareholder Return (“Relative TSR”) modifier to the final payout outcome, which can adjust the payout by 75%, 100% or 125% of the achieved performance metric, with the overall payout capped at 200% of the annual target grant. The Relative TSR is measured by comparing the Company’s Relative TSR to that of the constituents of the S&amp;P 1500 Restaurants index. The fair value of PSUs granted was estimated using the Monte Carlo simulation model. The Monte Carlo simulation model utilizes multiple input variables to estimate the probability that the market conditions will be achieved and was applied to the trading price of the Company’s common stock on the date of the grant. Assumptions used in the Monte Carlo simulation model and the grant date fair value of PSUs granted were as follows for the period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0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TWENTY-SIX WEEKS ENDED</w:t>
            </w:r>
          </w:p>
        </w:tc>
      </w:tr>
      <w:tr>
        <w:trPr>
          <w:trHeight w:val="198"/>
        </w:trPr>
        <w:tc>
          <w:tcPr>
            <w:tcW w:w="9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9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Assumptions:</w:t>
            </w:r>
          </w:p>
        </w:tc>
        <w:tc>
          <w:tcPr>
            <w:tcW w:w="3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03"/>
        </w:trPr>
        <w:tc>
          <w:tcPr>
            <w:tcW w:w="9200" w:type="dxa"/>
            <w:vAlign w:val="bottom"/>
          </w:tcPr>
          <w:p>
            <w:pPr>
              <w:ind w:left="140"/>
              <w:spacing w:after="0"/>
              <w:rPr>
                <w:sz w:val="20"/>
                <w:szCs w:val="20"/>
                <w:color w:val="auto"/>
              </w:rPr>
            </w:pPr>
            <w:r>
              <w:rPr>
                <w:rFonts w:ascii="Arial" w:cs="Arial" w:eastAsia="Arial" w:hAnsi="Arial"/>
                <w:sz w:val="15"/>
                <w:szCs w:val="15"/>
                <w:color w:val="auto"/>
              </w:rPr>
              <w:t>Risk-free interest rate (1)</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0.20 %</w:t>
            </w:r>
          </w:p>
        </w:tc>
      </w:tr>
      <w:tr>
        <w:trPr>
          <w:trHeight w:val="209"/>
        </w:trPr>
        <w:tc>
          <w:tcPr>
            <w:tcW w:w="9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Volatility (2)</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48.45 %</w:t>
            </w:r>
          </w:p>
        </w:tc>
      </w:tr>
      <w:tr>
        <w:trPr>
          <w:trHeight w:val="245"/>
        </w:trPr>
        <w:tc>
          <w:tcPr>
            <w:tcW w:w="9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6"/>
        </w:trPr>
        <w:tc>
          <w:tcPr>
            <w:tcW w:w="9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 date fair value per unit (3)</w:t>
            </w:r>
          </w:p>
        </w:tc>
        <w:tc>
          <w:tcPr>
            <w:tcW w:w="34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29.73</w:t>
            </w:r>
          </w:p>
        </w:tc>
      </w:tr>
      <w:tr>
        <w:trPr>
          <w:trHeight w:val="275"/>
        </w:trPr>
        <w:tc>
          <w:tcPr>
            <w:tcW w:w="9200" w:type="dxa"/>
            <w:vAlign w:val="bottom"/>
          </w:tcPr>
          <w:p>
            <w:pPr>
              <w:spacing w:after="0"/>
              <w:rPr>
                <w:sz w:val="20"/>
                <w:szCs w:val="20"/>
                <w:color w:val="auto"/>
              </w:rPr>
            </w:pPr>
            <w:r>
              <w:rPr>
                <w:rFonts w:ascii="Arial" w:cs="Arial" w:eastAsia="Arial" w:hAnsi="Arial"/>
                <w:sz w:val="15"/>
                <w:szCs w:val="15"/>
                <w:color w:val="auto"/>
              </w:rPr>
              <w:t>________________</w:t>
            </w:r>
          </w:p>
        </w:tc>
        <w:tc>
          <w:tcPr>
            <w:tcW w:w="340" w:type="dxa"/>
            <w:vAlign w:val="bottom"/>
          </w:tcPr>
          <w:p>
            <w:pPr>
              <w:spacing w:after="0"/>
              <w:rPr>
                <w:sz w:val="23"/>
                <w:szCs w:val="23"/>
                <w:color w:val="auto"/>
              </w:rPr>
            </w:pPr>
          </w:p>
        </w:tc>
        <w:tc>
          <w:tcPr>
            <w:tcW w:w="1700" w:type="dxa"/>
            <w:vAlign w:val="bottom"/>
          </w:tcPr>
          <w:p>
            <w:pPr>
              <w:spacing w:after="0"/>
              <w:rPr>
                <w:sz w:val="23"/>
                <w:szCs w:val="23"/>
                <w:color w:val="auto"/>
              </w:rPr>
            </w:pPr>
          </w:p>
        </w:tc>
      </w:tr>
    </w:tbl>
    <w:p>
      <w:pPr>
        <w:ind w:left="620" w:hanging="61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Risk-free interest rate is the U.S. Treasury yield curve in effect as of the grant date for the performance period of the unit.</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the historical volatility of the Company’s stock over the last seven years.</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a 14.3% premium above the per share value of the Company’s common stock as of the grant date.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unrecognized stock-based compensation expense and the remaining weighted-average vesting period as of June 27,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UNRECOGNIZED COMPENSATION</w:t>
            </w:r>
          </w:p>
        </w:tc>
        <w:tc>
          <w:tcPr>
            <w:tcW w:w="250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rPr>
              <w:t>REMAINING WEIGHTED-AVERAGE</w:t>
            </w:r>
          </w:p>
        </w:tc>
        <w:tc>
          <w:tcPr>
            <w:tcW w:w="0" w:type="dxa"/>
            <w:vAlign w:val="bottom"/>
          </w:tcPr>
          <w:p>
            <w:pPr>
              <w:spacing w:after="0"/>
              <w:rPr>
                <w:sz w:val="1"/>
                <w:szCs w:val="1"/>
                <w:color w:val="auto"/>
              </w:rPr>
            </w:pPr>
          </w:p>
        </w:tc>
      </w:tr>
      <w:tr>
        <w:trPr>
          <w:trHeight w:val="129"/>
        </w:trPr>
        <w:tc>
          <w:tcPr>
            <w:tcW w:w="6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EXPENSE</w:t>
            </w: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(dollars in thousands)</w:t>
            </w:r>
          </w:p>
        </w:tc>
        <w:tc>
          <w:tcPr>
            <w:tcW w:w="2500" w:type="dxa"/>
            <w:vAlign w:val="bottom"/>
          </w:tcPr>
          <w:p>
            <w:pPr>
              <w:jc w:val="right"/>
              <w:ind w:right="286"/>
              <w:spacing w:after="0"/>
              <w:rPr>
                <w:sz w:val="20"/>
                <w:szCs w:val="20"/>
                <w:color w:val="auto"/>
              </w:rPr>
            </w:pPr>
            <w:r>
              <w:rPr>
                <w:rFonts w:ascii="Arial" w:cs="Arial" w:eastAsia="Arial" w:hAnsi="Arial"/>
                <w:sz w:val="14"/>
                <w:szCs w:val="14"/>
                <w:b w:val="1"/>
                <w:bCs w:val="1"/>
                <w:color w:val="auto"/>
              </w:rPr>
              <w:t>VESTING PERIOD (in years)</w:t>
            </w:r>
          </w:p>
        </w:tc>
        <w:tc>
          <w:tcPr>
            <w:tcW w:w="0" w:type="dxa"/>
            <w:vAlign w:val="bottom"/>
          </w:tcPr>
          <w:p>
            <w:pPr>
              <w:spacing w:after="0"/>
              <w:rPr>
                <w:sz w:val="1"/>
                <w:szCs w:val="1"/>
                <w:color w:val="auto"/>
              </w:rPr>
            </w:pPr>
          </w:p>
        </w:tc>
      </w:tr>
      <w:tr>
        <w:trPr>
          <w:trHeight w:val="20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1,556</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03"/>
        </w:trPr>
        <w:tc>
          <w:tcPr>
            <w:tcW w:w="612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tcPr>
          <w:p>
            <w:pPr>
              <w:jc w:val="right"/>
              <w:spacing w:after="0"/>
              <w:rPr>
                <w:sz w:val="20"/>
                <w:szCs w:val="20"/>
                <w:color w:val="auto"/>
              </w:rPr>
            </w:pPr>
            <w:r>
              <w:rPr>
                <w:rFonts w:ascii="Arial" w:cs="Arial" w:eastAsia="Arial" w:hAnsi="Arial"/>
                <w:sz w:val="15"/>
                <w:szCs w:val="15"/>
                <w:color w:val="auto"/>
              </w:rPr>
              <w:t>13,678</w:t>
            </w: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Performance-based share units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24,264</w:t>
            </w: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7.</w:t>
      </w:r>
      <w:r>
        <w:rPr>
          <w:sz w:val="20"/>
          <w:szCs w:val="20"/>
          <w:color w:val="auto"/>
        </w:rPr>
        <w:tab/>
      </w:r>
      <w:r>
        <w:rPr>
          <w:rFonts w:ascii="Arial" w:cs="Arial" w:eastAsia="Arial" w:hAnsi="Arial"/>
          <w:sz w:val="17"/>
          <w:szCs w:val="17"/>
          <w:color w:val="auto"/>
        </w:rPr>
        <w:t>Other Current Assets,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Other current assets, net,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Pr>
          <w:p>
            <w:pPr>
              <w:spacing w:after="0"/>
              <w:rPr>
                <w:sz w:val="17"/>
                <w:szCs w:val="17"/>
                <w:color w:val="auto"/>
              </w:rPr>
            </w:pPr>
          </w:p>
        </w:tc>
        <w:tc>
          <w:tcPr>
            <w:tcW w:w="1760" w:type="dxa"/>
            <w:vAlign w:val="bottom"/>
          </w:tcPr>
          <w:p>
            <w:pPr>
              <w:jc w:val="right"/>
              <w:ind w:right="244"/>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Prepaid expenses</w:t>
            </w: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22,668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12,148</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Accounts receivable - gift cards, net (1)</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16,177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76,808</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 vendors, net (1)</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8,886</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Accounts receivable - franchisees, net (1)</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1,007</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 other, net (1)</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16,782</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Deferred gift card sales commissions</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12,548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19,300</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 held for sale</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3,831</w:t>
            </w:r>
          </w:p>
        </w:tc>
      </w:tr>
      <w:tr>
        <w:trPr>
          <w:trHeight w:val="21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current assets, net</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12,756</w:t>
            </w:r>
          </w:p>
        </w:tc>
      </w:tr>
      <w:tr>
        <w:trPr>
          <w:trHeight w:val="228"/>
        </w:trPr>
        <w:tc>
          <w:tcPr>
            <w:tcW w:w="7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84,984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151,518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See Note 16 - </w:t>
      </w:r>
      <w:r>
        <w:rPr>
          <w:rFonts w:ascii="Arial" w:cs="Arial" w:eastAsia="Arial" w:hAnsi="Arial"/>
          <w:sz w:val="15"/>
          <w:szCs w:val="15"/>
          <w:i w:val="1"/>
          <w:iCs w:val="1"/>
          <w:color w:val="auto"/>
        </w:rPr>
        <w:t>Allowance for Expected Credit Losses</w:t>
      </w:r>
      <w:r>
        <w:rPr>
          <w:rFonts w:ascii="Arial" w:cs="Arial" w:eastAsia="Arial" w:hAnsi="Arial"/>
          <w:sz w:val="15"/>
          <w:szCs w:val="15"/>
          <w:color w:val="auto"/>
        </w:rPr>
        <w:t xml:space="preserve"> for a rollforward of the related allowance for expected credit losses.</w:t>
      </w:r>
    </w:p>
    <w:p>
      <w:pPr>
        <w:spacing w:after="0" w:line="271"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color w:val="auto"/>
        </w:rPr>
        <w:t>8.</w:t>
      </w:r>
      <w:r>
        <w:rPr>
          <w:sz w:val="20"/>
          <w:szCs w:val="20"/>
          <w:color w:val="auto"/>
        </w:rPr>
        <w:tab/>
      </w:r>
      <w:r>
        <w:rPr>
          <w:rFonts w:ascii="Arial" w:cs="Arial" w:eastAsia="Arial" w:hAnsi="Arial"/>
          <w:sz w:val="17"/>
          <w:szCs w:val="17"/>
          <w:color w:val="auto"/>
        </w:rPr>
        <w:t>Accrued and Other Current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Accrued and other current liabilities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Pr>
          <w:p>
            <w:pPr>
              <w:spacing w:after="0"/>
              <w:rPr>
                <w:sz w:val="17"/>
                <w:szCs w:val="17"/>
                <w:color w:val="auto"/>
              </w:rPr>
            </w:pPr>
          </w:p>
        </w:tc>
        <w:tc>
          <w:tcPr>
            <w:tcW w:w="1720" w:type="dxa"/>
            <w:vAlign w:val="bottom"/>
          </w:tcPr>
          <w:p>
            <w:pPr>
              <w:jc w:val="right"/>
              <w:ind w:right="224"/>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rent and current operating lease liabilities</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184,486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192,369</w:t>
            </w:r>
          </w:p>
        </w:tc>
      </w:tr>
      <w:tr>
        <w:trPr>
          <w:trHeight w:val="203"/>
        </w:trPr>
        <w:tc>
          <w:tcPr>
            <w:tcW w:w="7300" w:type="dxa"/>
            <w:vAlign w:val="bottom"/>
          </w:tcPr>
          <w:p>
            <w:pPr>
              <w:ind w:left="20"/>
              <w:spacing w:after="0"/>
              <w:rPr>
                <w:sz w:val="20"/>
                <w:szCs w:val="20"/>
                <w:color w:val="auto"/>
              </w:rPr>
            </w:pPr>
            <w:r>
              <w:rPr>
                <w:rFonts w:ascii="Arial" w:cs="Arial" w:eastAsia="Arial" w:hAnsi="Arial"/>
                <w:sz w:val="15"/>
                <w:szCs w:val="15"/>
                <w:color w:val="auto"/>
              </w:rPr>
              <w:t>Accrued payroll and other compensation (1)</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116,951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79,291</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insurance</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20,648</w:t>
            </w:r>
          </w:p>
        </w:tc>
      </w:tr>
      <w:tr>
        <w:trPr>
          <w:trHeight w:val="21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current liabilities (2)</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115,445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96,013</w:t>
            </w:r>
          </w:p>
        </w:tc>
      </w:tr>
      <w:tr>
        <w:trPr>
          <w:trHeight w:val="228"/>
        </w:trPr>
        <w:tc>
          <w:tcPr>
            <w:tcW w:w="7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439,296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388,321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51" w:lineRule="auto"/>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During the twenty-six weeks ended June 27, 2021, the Company reclassified $27.3 million of payroll taxes deferred under the Coronavirus, Aid, Relief and Economic Security Act (“CARES Act”) to current.</w:t>
      </w:r>
    </w:p>
    <w:p>
      <w:pPr>
        <w:ind w:left="620" w:hanging="617"/>
        <w:spacing w:after="0" w:line="266" w:lineRule="auto"/>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During the twenty-six weeks ended June 27, 2021, sales tax payable and income tax payable increased by $8.7 million and $6.4 million, respectively, due to increased sales and pre-tax income during the period.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ind w:left="340" w:hanging="337"/>
        <w:spacing w:after="0"/>
        <w:tabs>
          <w:tab w:leader="none" w:pos="3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Long-term Debt,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outstanding long-term debt,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3"/>
          </w:tcPr>
          <w:p>
            <w:pPr>
              <w:jc w:val="right"/>
              <w:ind w:right="1111"/>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891"/>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12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1"/>
                <w:szCs w:val="11"/>
                <w:color w:val="auto"/>
              </w:rPr>
            </w:pPr>
          </w:p>
        </w:tc>
        <w:tc>
          <w:tcPr>
            <w:tcW w:w="1340" w:type="dxa"/>
            <w:vAlign w:val="bottom"/>
          </w:tcPr>
          <w:p>
            <w:pPr>
              <w:jc w:val="right"/>
              <w:ind w:right="164"/>
              <w:spacing w:after="0" w:line="12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7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1"/>
                <w:szCs w:val="11"/>
                <w:color w:val="auto"/>
              </w:rPr>
            </w:pPr>
          </w:p>
        </w:tc>
        <w:tc>
          <w:tcPr>
            <w:tcW w:w="1340" w:type="dxa"/>
            <w:vAlign w:val="bottom"/>
          </w:tcPr>
          <w:p>
            <w:pPr>
              <w:jc w:val="right"/>
              <w:ind w:right="164"/>
              <w:spacing w:after="0" w:line="12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34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34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w:t>
            </w: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480"/>
              <w:spacing w:after="0"/>
              <w:rPr>
                <w:sz w:val="20"/>
                <w:szCs w:val="20"/>
                <w:color w:val="auto"/>
              </w:rPr>
            </w:pPr>
            <w:r>
              <w:rPr>
                <w:rFonts w:ascii="Arial" w:cs="Arial" w:eastAsia="Arial" w:hAnsi="Arial"/>
                <w:sz w:val="15"/>
                <w:szCs w:val="15"/>
                <w:color w:val="auto"/>
              </w:rPr>
              <w:t>Term loan A (1)</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200,000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2.59 %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Revolving credit facility (1)</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134,000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2.59 %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Total Senior Secured Credit Facility</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334,000</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Former Credit Facility:</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480"/>
              <w:spacing w:after="0"/>
              <w:rPr>
                <w:sz w:val="20"/>
                <w:szCs w:val="20"/>
                <w:color w:val="auto"/>
              </w:rPr>
            </w:pPr>
            <w:r>
              <w:rPr>
                <w:rFonts w:ascii="Arial" w:cs="Arial" w:eastAsia="Arial" w:hAnsi="Arial"/>
                <w:sz w:val="15"/>
                <w:szCs w:val="15"/>
                <w:color w:val="auto"/>
              </w:rPr>
              <w:t>Term loan A (1)</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425,000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2.88 %</w:t>
            </w:r>
          </w:p>
        </w:tc>
        <w:tc>
          <w:tcPr>
            <w:tcW w:w="0" w:type="dxa"/>
            <w:vAlign w:val="bottom"/>
          </w:tcPr>
          <w:p>
            <w:pPr>
              <w:spacing w:after="0"/>
              <w:rPr>
                <w:sz w:val="1"/>
                <w:szCs w:val="1"/>
                <w:color w:val="auto"/>
              </w:rPr>
            </w:pPr>
          </w:p>
        </w:tc>
      </w:tr>
      <w:tr>
        <w:trPr>
          <w:trHeight w:val="215"/>
        </w:trPr>
        <w:tc>
          <w:tcPr>
            <w:tcW w:w="4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Revolving credit facility (1)</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2.88 %</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Total Former Credit Facility</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872,000</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 Notes (2)</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5"/>
                <w:szCs w:val="15"/>
                <w:color w:val="auto"/>
              </w:rPr>
              <w:t>2029 Notes</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300,000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5.13 %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 liabilities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1,794</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5"/>
                <w:szCs w:val="15"/>
                <w:color w:val="auto"/>
              </w:rPr>
              <w:t>Less: unamortized debt discount and issuance costs (3)</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(15,576)</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(67,704)</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finance lease interest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5"/>
                <w:szCs w:val="15"/>
                <w:color w:val="auto"/>
              </w:rPr>
              <w:t>Total debt, net</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850,063</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1,036,480</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 of 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(11,022)</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(38,710)</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tcPr>
          <w:p>
            <w:pPr>
              <w:ind w:left="20"/>
              <w:spacing w:after="0"/>
              <w:rPr>
                <w:sz w:val="20"/>
                <w:szCs w:val="20"/>
                <w:color w:val="auto"/>
              </w:rPr>
            </w:pPr>
            <w:r>
              <w:rPr>
                <w:rFonts w:ascii="Arial" w:cs="Arial" w:eastAsia="Arial" w:hAnsi="Arial"/>
                <w:sz w:val="15"/>
                <w:szCs w:val="15"/>
                <w:color w:val="auto"/>
              </w:rPr>
              <w:t>Long-term debt, net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839,041</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997,770</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5"/>
                <w:szCs w:val="15"/>
                <w:color w:val="auto"/>
              </w:rPr>
              <w:t>________________</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Interest rate represents the weighted-average interest rate as of the respective periods.</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See Note 10 - </w:t>
      </w:r>
      <w:r>
        <w:rPr>
          <w:rFonts w:ascii="Arial" w:cs="Arial" w:eastAsia="Arial" w:hAnsi="Arial"/>
          <w:sz w:val="15"/>
          <w:szCs w:val="15"/>
          <w:i w:val="1"/>
          <w:iCs w:val="1"/>
          <w:color w:val="auto"/>
        </w:rPr>
        <w:t>Convertible Senior Notes</w:t>
      </w:r>
      <w:r>
        <w:rPr>
          <w:rFonts w:ascii="Arial" w:cs="Arial" w:eastAsia="Arial" w:hAnsi="Arial"/>
          <w:sz w:val="15"/>
          <w:szCs w:val="15"/>
          <w:color w:val="auto"/>
        </w:rPr>
        <w:t xml:space="preserve"> for details regarding the 2025 Notes and related hedge and warrant transactions.</w:t>
      </w:r>
    </w:p>
    <w:p>
      <w:pPr>
        <w:spacing w:after="0" w:line="8" w:lineRule="exact"/>
        <w:rPr>
          <w:rFonts w:ascii="Arial" w:cs="Arial" w:eastAsia="Arial" w:hAnsi="Arial"/>
          <w:sz w:val="15"/>
          <w:szCs w:val="15"/>
          <w:color w:val="auto"/>
        </w:rPr>
      </w:pPr>
    </w:p>
    <w:p>
      <w:pPr>
        <w:ind w:left="620" w:hanging="617"/>
        <w:spacing w:after="0" w:line="266"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connection with the adoption of ASU No. 2020-06, debt discount of $59.9 million related to the 2025 Notes was de-recognized and $2.1 million of equity issuance costs were reclassified as debt issuance costs during the twenty-six weeks ended June 27, 2021.</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2029 Notes </w:t>
      </w:r>
      <w:r>
        <w:rPr>
          <w:rFonts w:ascii="Arial" w:cs="Arial" w:eastAsia="Arial" w:hAnsi="Arial"/>
          <w:sz w:val="19"/>
          <w:szCs w:val="19"/>
          <w:color w:val="auto"/>
        </w:rPr>
        <w:t>- On April 16, 2021, the Company and its wholly-owned subsidiary OSI Restaurant Partners, LLC (“OSI”), as co-issuers, issued $300.0</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aggregate principal amount of senior unsecured notes due 2029 (the “2029 Notes”).</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2029 Notes were issued pursuant to an Indenture, dated April 16, 2021 (the “Indenture”), by and among the Company, the guarantors named therein, and Wells Fargo Bank, National Association, as trustee. The 2029 Notes are guaranteed by each of the Company’s existing and future domestic restricted subsidiaries (other than OSI) that are guarantors or borrowers under its Senior Secured Credit Facility (as defined below) or certain other indebtedness. The 2029 Notes will mature on April 15, 2029, unless earlier redeemed or purchased by the Company. The 2029 Notes bear cash interest at an annual rate of 5.125% payable semi-annually in arrears on April 15 and October 15 of each year, beginning on October 15, 2021.</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redeem some or all of the 2029 Notes at any time on or after April 15, 2024, at the redemption prices set forth in the Indenture, plus accrued and unpaid interest. The Company may also redeem up to 40% of the 2029 Notes in an amount not greater than the proceeds of certain equity offerings completed before April 15, 2024, at a redemption price equal to 105.125% of the principal amount thereof, plus accrued and unpaid interest. In addition, at any time prior to April 15, 2024, the Company may redeem some or all of the 2029 Notes at a price equal to 100% of the principal amount, plus a make-whole premium, plus accrued and unpaid interest.</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Indenture contains restrictive covenants that limit the ability of the Company and its restricted subsidiaries to, among other things, incur additional indebtedness or issue certain preferred stock; pay dividends, redeem stock or make other distributions; make certain investments; create restrictions on the ability of the Company’s restricted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subsidiaries to pay dividends or make other payments to the Company; create certain liens; transfer or sell certain assets; merge or consolidate; enter into certain transactions with the Company’s affiliates; and designate subsidiaries as unrestricted subsidiaries. These covenants are subject to a number of exceptions and qualifications as set forth in the Indenture.</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net proceeds from the 2029 Notes offering were approximately $294.5 million, after deducting the initial purchaser’s discount and the Company’s offering expenses. The net proceeds were used to repay a portion of the Company’s outstanding Term loan A and revolving credit facility in conjunction with the refinancing of its Former Credit Facility.</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i w:val="1"/>
          <w:iCs w:val="1"/>
          <w:color w:val="auto"/>
        </w:rPr>
        <w:t xml:space="preserve">Second Amended and Restated Credit Agreement </w:t>
      </w:r>
      <w:r>
        <w:rPr>
          <w:rFonts w:ascii="Arial" w:cs="Arial" w:eastAsia="Arial" w:hAnsi="Arial"/>
          <w:sz w:val="19"/>
          <w:szCs w:val="19"/>
          <w:color w:val="auto"/>
        </w:rPr>
        <w:t>- On April 16, 2021, the Company and OSI, as co-borrowers, entered into the Second Amended</w:t>
      </w:r>
      <w:r>
        <w:rPr>
          <w:rFonts w:ascii="Arial" w:cs="Arial" w:eastAsia="Arial" w:hAnsi="Arial"/>
          <w:sz w:val="19"/>
          <w:szCs w:val="19"/>
          <w:i w:val="1"/>
          <w:iCs w:val="1"/>
          <w:color w:val="auto"/>
        </w:rPr>
        <w:t xml:space="preserve"> </w:t>
      </w:r>
      <w:r>
        <w:rPr>
          <w:rFonts w:ascii="Arial" w:cs="Arial" w:eastAsia="Arial" w:hAnsi="Arial"/>
          <w:sz w:val="19"/>
          <w:szCs w:val="19"/>
          <w:color w:val="auto"/>
        </w:rPr>
        <w:t>and Restated Credit Agreement (the “Second Amended and Restated Credit Agreement”), which provides for senior secured financing of up to $1.0 billion consisting of a $200.0 million Term loan A and an $800.0 million revolving credit facility (the “Senior Secured Credit Facility”). The Senior Secured Credit Facility matures on April 16, 2026 and replaced the Company’s prior senior secured financing of up to $1.5 billion (the “Former Credit Facility”).</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commitments under the Senior Secured Credit Facility may be increased in an aggregate principal amount of up to: (i) $425.0 million or (ii) at the Company’s option, up to an unlimited amount of incremental facilities, so long as the Consolidated Senior Secured Net Leverage Ratio (“CSSNLR”), as defined in the Second Amended and Restated Credit Agreement, is no more than 3.00 to 1.00 as of the last day of the most recent period of four consecutive fiscal quarters ended.</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may elect an interest rate at each reset period based on the Base Rate or the Eurocurrency Rate, plus an applicable spread. The Base Rate option is the highest of: (i) the prime rate of Wells Fargo Bank, National Association, (ii) the federal funds effective rate plus 0.5 of 1.0% or</w:t>
      </w:r>
    </w:p>
    <w:p>
      <w:pPr>
        <w:spacing w:after="0" w:line="1" w:lineRule="exact"/>
        <w:rPr>
          <w:sz w:val="20"/>
          <w:szCs w:val="20"/>
          <w:color w:val="auto"/>
        </w:rPr>
      </w:pPr>
    </w:p>
    <w:p>
      <w:pPr>
        <w:ind w:left="340" w:hanging="337"/>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Eurocurrency rate with a one-month interest period plus 1.0% (the “Base Rate”). The Eurocurrency Rate option is the seven, 30, 60, 90 or</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180-day Eurocurrency rate, subject to a 0% floor (the “Eurocurrency Rate”). The interest rates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bottom w:val="single" w:sz="8" w:color="CCEEFF"/>
            </w:tcBorders>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BASE RATE ELECTION</w:t>
            </w:r>
          </w:p>
        </w:tc>
        <w:tc>
          <w:tcPr>
            <w:tcW w:w="120" w:type="dxa"/>
            <w:vAlign w:val="bottom"/>
            <w:tcBorders>
              <w:bottom w:val="single" w:sz="8" w:color="CCEEFF"/>
            </w:tcBorders>
          </w:tcPr>
          <w:p>
            <w:pPr>
              <w:spacing w:after="0"/>
              <w:rPr>
                <w:sz w:val="17"/>
                <w:szCs w:val="17"/>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EUROCURRENCY RATE ELECTION</w:t>
            </w: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 loan A and revolving credit facility</w:t>
            </w:r>
          </w:p>
        </w:tc>
        <w:tc>
          <w:tcPr>
            <w:tcW w:w="34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1"/>
              </w:rPr>
              <w:t>50 to 150 basis points over the Base Rate</w:t>
            </w:r>
          </w:p>
        </w:tc>
        <w:tc>
          <w:tcPr>
            <w:tcW w:w="4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150 to 250 basis points over the Eurocurrency Rate</w:t>
            </w:r>
          </w:p>
        </w:tc>
      </w:tr>
    </w:tbl>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Fees on letters of credit and daily unused availability under the revolving credit facility will be 150 to 250 basis points and 25 to 40 basis points,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required quarterly amortization payments for the Term loan A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00" w:type="dxa"/>
            <w:vAlign w:val="bottom"/>
            <w:gridSpan w:val="4"/>
          </w:tcPr>
          <w:p>
            <w:pPr>
              <w:ind w:left="20"/>
              <w:spacing w:after="0"/>
              <w:rPr>
                <w:sz w:val="20"/>
                <w:szCs w:val="20"/>
                <w:color w:val="auto"/>
              </w:rPr>
            </w:pPr>
            <w:r>
              <w:rPr>
                <w:rFonts w:ascii="Arial" w:cs="Arial" w:eastAsia="Arial" w:hAnsi="Arial"/>
                <w:sz w:val="14"/>
                <w:szCs w:val="14"/>
                <w:b w:val="1"/>
                <w:bCs w:val="1"/>
                <w:color w:val="auto"/>
              </w:rPr>
              <w:t>SCHEDULED QUARTERLY PAYMENT DATES</w:t>
            </w:r>
          </w:p>
        </w:tc>
        <w:tc>
          <w:tcPr>
            <w:tcW w:w="160" w:type="dxa"/>
            <w:vAlign w:val="bottom"/>
          </w:tcPr>
          <w:p>
            <w:pPr>
              <w:spacing w:after="0"/>
              <w:rPr>
                <w:sz w:val="17"/>
                <w:szCs w:val="17"/>
                <w:color w:val="auto"/>
              </w:rPr>
            </w:pPr>
          </w:p>
        </w:tc>
        <w:tc>
          <w:tcPr>
            <w:tcW w:w="1280" w:type="dxa"/>
            <w:vAlign w:val="bottom"/>
          </w:tcPr>
          <w:p>
            <w:pPr>
              <w:jc w:val="right"/>
              <w:ind w:right="145"/>
              <w:spacing w:after="0"/>
              <w:rPr>
                <w:sz w:val="20"/>
                <w:szCs w:val="20"/>
                <w:color w:val="auto"/>
              </w:rPr>
            </w:pPr>
            <w:r>
              <w:rPr>
                <w:rFonts w:ascii="Arial" w:cs="Arial" w:eastAsia="Arial" w:hAnsi="Arial"/>
                <w:sz w:val="14"/>
                <w:szCs w:val="14"/>
                <w:b w:val="1"/>
                <w:bCs w:val="1"/>
                <w:color w:val="auto"/>
              </w:rPr>
              <w:t>TERM LOAN A</w:t>
            </w:r>
          </w:p>
        </w:tc>
      </w:tr>
      <w:tr>
        <w:trPr>
          <w:trHeight w:val="206"/>
        </w:trPr>
        <w:tc>
          <w:tcPr>
            <w:tcW w:w="2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w w:val="91"/>
              </w:rPr>
              <w:t>September 26, 2021 through June 30,</w:t>
            </w:r>
          </w:p>
        </w:tc>
        <w:tc>
          <w:tcPr>
            <w:tcW w:w="7340" w:type="dxa"/>
            <w:vAlign w:val="bottom"/>
            <w:tcBorders>
              <w:top w:val="single" w:sz="8" w:color="auto"/>
            </w:tcBorders>
            <w:shd w:val="clear" w:color="auto" w:fill="CCEEFF"/>
          </w:tcPr>
          <w:p>
            <w:pPr>
              <w:jc w:val="right"/>
              <w:ind w:right="6943"/>
              <w:spacing w:after="0"/>
              <w:rPr>
                <w:sz w:val="20"/>
                <w:szCs w:val="20"/>
                <w:color w:val="auto"/>
              </w:rPr>
            </w:pPr>
            <w:r>
              <w:rPr>
                <w:rFonts w:ascii="Arial" w:cs="Arial" w:eastAsia="Arial" w:hAnsi="Arial"/>
                <w:sz w:val="15"/>
                <w:szCs w:val="15"/>
                <w:color w:val="auto"/>
                <w:w w:val="89"/>
              </w:rPr>
              <w:t>2024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2,500</w:t>
            </w:r>
          </w:p>
        </w:tc>
      </w:tr>
      <w:tr>
        <w:trPr>
          <w:trHeight w:val="203"/>
        </w:trPr>
        <w:tc>
          <w:tcPr>
            <w:tcW w:w="940" w:type="dxa"/>
            <w:vAlign w:val="bottom"/>
          </w:tcPr>
          <w:p>
            <w:pPr>
              <w:ind w:left="20"/>
              <w:spacing w:after="0"/>
              <w:rPr>
                <w:sz w:val="20"/>
                <w:szCs w:val="20"/>
                <w:color w:val="auto"/>
              </w:rPr>
            </w:pPr>
            <w:r>
              <w:rPr>
                <w:rFonts w:ascii="Arial" w:cs="Arial" w:eastAsia="Arial" w:hAnsi="Arial"/>
                <w:sz w:val="15"/>
                <w:szCs w:val="15"/>
                <w:color w:val="auto"/>
                <w:w w:val="91"/>
              </w:rPr>
              <w:t>September 29,</w:t>
            </w:r>
          </w:p>
        </w:tc>
        <w:tc>
          <w:tcPr>
            <w:tcW w:w="1420" w:type="dxa"/>
            <w:vAlign w:val="bottom"/>
          </w:tcPr>
          <w:p>
            <w:pPr>
              <w:ind w:left="20"/>
              <w:spacing w:after="0"/>
              <w:rPr>
                <w:sz w:val="20"/>
                <w:szCs w:val="20"/>
                <w:color w:val="auto"/>
              </w:rPr>
            </w:pPr>
            <w:r>
              <w:rPr>
                <w:rFonts w:ascii="Arial" w:cs="Arial" w:eastAsia="Arial" w:hAnsi="Arial"/>
                <w:sz w:val="15"/>
                <w:szCs w:val="15"/>
                <w:color w:val="auto"/>
                <w:w w:val="91"/>
              </w:rPr>
              <w:t>2024 through June 29,</w:t>
            </w:r>
          </w:p>
        </w:tc>
        <w:tc>
          <w:tcPr>
            <w:tcW w:w="7340" w:type="dxa"/>
            <w:vAlign w:val="bottom"/>
          </w:tcPr>
          <w:p>
            <w:pPr>
              <w:jc w:val="right"/>
              <w:ind w:right="6943"/>
              <w:spacing w:after="0"/>
              <w:rPr>
                <w:sz w:val="20"/>
                <w:szCs w:val="20"/>
                <w:color w:val="auto"/>
              </w:rPr>
            </w:pPr>
            <w:r>
              <w:rPr>
                <w:rFonts w:ascii="Arial" w:cs="Arial" w:eastAsia="Arial" w:hAnsi="Arial"/>
                <w:sz w:val="15"/>
                <w:szCs w:val="15"/>
                <w:color w:val="auto"/>
                <w:w w:val="89"/>
              </w:rPr>
              <w:t>2025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3,750</w:t>
            </w:r>
          </w:p>
        </w:tc>
      </w:tr>
      <w:tr>
        <w:trPr>
          <w:trHeight w:val="209"/>
        </w:trPr>
        <w:tc>
          <w:tcPr>
            <w:tcW w:w="9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1"/>
              </w:rPr>
              <w:t>September 28,</w:t>
            </w:r>
          </w:p>
        </w:tc>
        <w:tc>
          <w:tcPr>
            <w:tcW w:w="88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2025 and December 28, 2025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r>
    </w:tbl>
    <w:p>
      <w:pPr>
        <w:spacing w:after="0" w:line="30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Senior Secured Credit Facility contains mandatory prepayment requirements for the Term loan A, including the requirement that the Company prepay outstanding amounts under these loans with 50% of its annual excess cash flow, as defined in the Second Amended and Restated Credit Agreement, commencing with the fiscal year ending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December 25, 2022. The amount of outstanding loans required to be prepaid in accordance with the debt covenants may vary based on the Company’s CSSNLR and year end results.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Total Net Leverage Ratio (“TNLR”) is the ratio of Consolidated Total Debt (Current portion of long-term debt and Long-term debt, net of cash, excluding the 2025 Notes) to Consolidated EBITDA (earnings before interest, taxes, depreciation and amortization and certain other adjustments as defined in the Second Amended and Restated Credit Agreement). The Second Amended and Restated Credit Agreement requires a TNLR not to exceed the following thresholds for the periods indicated: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QUARTERLY PERIOD ENDED</w:t>
            </w:r>
          </w:p>
        </w:tc>
        <w:tc>
          <w:tcPr>
            <w:tcW w:w="100" w:type="dxa"/>
            <w:vAlign w:val="bottom"/>
            <w:tcBorders>
              <w:bottom w:val="single" w:sz="8" w:color="CCEEFF"/>
            </w:tcBorders>
          </w:tcPr>
          <w:p>
            <w:pPr>
              <w:spacing w:after="0"/>
              <w:rPr>
                <w:sz w:val="15"/>
                <w:szCs w:val="15"/>
                <w:color w:val="auto"/>
              </w:rPr>
            </w:pPr>
          </w:p>
        </w:tc>
        <w:tc>
          <w:tcPr>
            <w:tcW w:w="188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4"/>
                <w:szCs w:val="14"/>
                <w:b w:val="1"/>
                <w:bCs w:val="1"/>
                <w:color w:val="auto"/>
              </w:rPr>
              <w:t>MAXIMUM RATIO</w:t>
            </w:r>
          </w:p>
        </w:tc>
      </w:tr>
      <w:tr>
        <w:trPr>
          <w:trHeight w:val="206"/>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June 27, 2021 (1)</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w:t>
            </w:r>
          </w:p>
        </w:tc>
        <w:tc>
          <w:tcPr>
            <w:tcW w:w="8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1.00</w:t>
            </w:r>
          </w:p>
        </w:tc>
      </w:tr>
      <w:tr>
        <w:trPr>
          <w:trHeight w:val="201"/>
        </w:trPr>
        <w:tc>
          <w:tcPr>
            <w:tcW w:w="9360" w:type="dxa"/>
            <w:vAlign w:val="bottom"/>
            <w:gridSpan w:val="2"/>
          </w:tcPr>
          <w:p>
            <w:pPr>
              <w:ind w:left="20"/>
              <w:spacing w:after="0"/>
              <w:rPr>
                <w:sz w:val="20"/>
                <w:szCs w:val="20"/>
                <w:color w:val="auto"/>
              </w:rPr>
            </w:pPr>
            <w:r>
              <w:rPr>
                <w:rFonts w:ascii="Arial" w:cs="Arial" w:eastAsia="Arial" w:hAnsi="Arial"/>
                <w:sz w:val="15"/>
                <w:szCs w:val="15"/>
                <w:color w:val="auto"/>
              </w:rPr>
              <w:t>September 26, 2021 (2) and thereafter</w:t>
            </w:r>
          </w:p>
        </w:tc>
        <w:tc>
          <w:tcPr>
            <w:tcW w:w="760" w:type="dxa"/>
            <w:vAlign w:val="bottom"/>
          </w:tcPr>
          <w:p>
            <w:pPr>
              <w:jc w:val="right"/>
              <w:spacing w:after="0"/>
              <w:rPr>
                <w:sz w:val="20"/>
                <w:szCs w:val="20"/>
                <w:color w:val="auto"/>
              </w:rPr>
            </w:pPr>
            <w:r>
              <w:rPr>
                <w:rFonts w:ascii="Arial" w:cs="Arial" w:eastAsia="Arial" w:hAnsi="Arial"/>
                <w:sz w:val="15"/>
                <w:szCs w:val="15"/>
                <w:color w:val="auto"/>
              </w:rPr>
              <w:t>4.50</w:t>
            </w:r>
          </w:p>
        </w:tc>
        <w:tc>
          <w:tcPr>
            <w:tcW w:w="260" w:type="dxa"/>
            <w:vAlign w:val="bottom"/>
          </w:tcPr>
          <w:p>
            <w:pPr>
              <w:ind w:left="40"/>
              <w:spacing w:after="0"/>
              <w:rPr>
                <w:sz w:val="20"/>
                <w:szCs w:val="20"/>
                <w:color w:val="auto"/>
              </w:rPr>
            </w:pPr>
            <w:r>
              <w:rPr>
                <w:rFonts w:ascii="Arial" w:cs="Arial" w:eastAsia="Arial" w:hAnsi="Arial"/>
                <w:sz w:val="15"/>
                <w:szCs w:val="15"/>
                <w:color w:val="auto"/>
              </w:rPr>
              <w:t>to</w:t>
            </w: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1.00</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Seasonally annualized Consolidated EBITDA calculated as Consolidated EBITDA for the two consecutive quarters ending June 27, 2021 divided by 58.5%.</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Seasonally annualized Consolidated EBITDA calculated as Consolidated EBITDA for the three consecutive quarters ending September 26, 2021 divided by 77.0%.</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Second Amended and Restated Credit Agreement limits, subject to certain exceptions, the Company’s ability and the ability of its subsidiaries to: incur additional indebtedness; make significant payments; sell assets; pay dividends and other restricted payments; make certain investments; acquire certain assets; effect mergers and similar transactions; and effect certain other transactions with affiliates. The Company is also limited to $200.0 million of aggregate capital expenditures during the year ended December 26, 2021. The Second Amended and Restated Credit Agreement also prohibits the Company from paying certain dividends and making certain restricted payments and acquisitions until the Company is in compliance with its TNLR covenant for the period ended September 26, 2021.</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As of June 27, 2021 and December 27, 2020, the Company was in compliance with its debt covenants.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principal payments of the Company’s total consolidated debt outstanding as of the period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1</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11,051</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Year 2</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10,250</w:t>
            </w:r>
          </w:p>
        </w:tc>
      </w:tr>
      <w:tr>
        <w:trPr>
          <w:trHeight w:val="209"/>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3</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10,188</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Year 4</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245,175</w:t>
            </w:r>
          </w:p>
        </w:tc>
      </w:tr>
      <w:tr>
        <w:trPr>
          <w:trHeight w:val="209"/>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5</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289,130</w:t>
            </w:r>
          </w:p>
        </w:tc>
      </w:tr>
      <w:tr>
        <w:trPr>
          <w:trHeight w:val="212"/>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300,000</w:t>
            </w:r>
          </w:p>
        </w:tc>
      </w:tr>
      <w:tr>
        <w:trPr>
          <w:trHeight w:val="206"/>
        </w:trPr>
        <w:tc>
          <w:tcPr>
            <w:tcW w:w="9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payments</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865,794</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Less: unamortized debt discount and issuance costs</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(15,576)</w:t>
            </w:r>
          </w:p>
        </w:tc>
      </w:tr>
      <w:tr>
        <w:trPr>
          <w:trHeight w:val="215"/>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finance lease interest</w:t>
            </w:r>
          </w:p>
        </w:tc>
        <w:tc>
          <w:tcPr>
            <w:tcW w:w="3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w:t>
            </w:r>
          </w:p>
        </w:tc>
      </w:tr>
      <w:tr>
        <w:trPr>
          <w:trHeight w:val="206"/>
        </w:trPr>
        <w:tc>
          <w:tcPr>
            <w:tcW w:w="9320" w:type="dxa"/>
            <w:vAlign w:val="bottom"/>
          </w:tcPr>
          <w:p>
            <w:pPr>
              <w:ind w:left="120"/>
              <w:spacing w:after="0"/>
              <w:rPr>
                <w:sz w:val="20"/>
                <w:szCs w:val="20"/>
                <w:color w:val="auto"/>
              </w:rPr>
            </w:pPr>
            <w:r>
              <w:rPr>
                <w:rFonts w:ascii="Arial" w:cs="Arial" w:eastAsia="Arial" w:hAnsi="Arial"/>
                <w:sz w:val="15"/>
                <w:szCs w:val="15"/>
                <w:color w:val="auto"/>
              </w:rPr>
              <w:t>Total principal payments</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850,063</w:t>
            </w:r>
          </w:p>
        </w:tc>
      </w:tr>
      <w:tr>
        <w:trPr>
          <w:trHeight w:val="20"/>
        </w:trPr>
        <w:tc>
          <w:tcPr>
            <w:tcW w:w="9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Deferred Financing Fees - </w:t>
      </w:r>
      <w:r>
        <w:rPr>
          <w:rFonts w:ascii="Arial" w:cs="Arial" w:eastAsia="Arial" w:hAnsi="Arial"/>
          <w:sz w:val="19"/>
          <w:szCs w:val="19"/>
          <w:color w:val="auto"/>
        </w:rPr>
        <w:t>During the thirteen weeks ended June 27, 2021,</w:t>
      </w:r>
      <w:r>
        <w:rPr>
          <w:rFonts w:ascii="Arial" w:cs="Arial" w:eastAsia="Arial" w:hAnsi="Arial"/>
          <w:sz w:val="19"/>
          <w:szCs w:val="19"/>
          <w:i w:val="1"/>
          <w:iCs w:val="1"/>
          <w:color w:val="auto"/>
        </w:rPr>
        <w:t xml:space="preserve"> </w:t>
      </w:r>
      <w:r>
        <w:rPr>
          <w:rFonts w:ascii="Arial" w:cs="Arial" w:eastAsia="Arial" w:hAnsi="Arial"/>
          <w:sz w:val="15"/>
          <w:szCs w:val="15"/>
          <w:color w:val="auto"/>
        </w:rPr>
        <w:t>t</w:t>
      </w:r>
      <w:r>
        <w:rPr>
          <w:rFonts w:ascii="Arial" w:cs="Arial" w:eastAsia="Arial" w:hAnsi="Arial"/>
          <w:sz w:val="19"/>
          <w:szCs w:val="19"/>
          <w:color w:val="auto"/>
        </w:rPr>
        <w:t>he Company deferred $5.5 million and $5.9 million of financing costs</w:t>
      </w:r>
      <w:r>
        <w:rPr>
          <w:rFonts w:ascii="Arial" w:cs="Arial" w:eastAsia="Arial" w:hAnsi="Arial"/>
          <w:sz w:val="19"/>
          <w:szCs w:val="19"/>
          <w:i w:val="1"/>
          <w:iCs w:val="1"/>
          <w:color w:val="auto"/>
        </w:rPr>
        <w:t xml:space="preserve"> </w:t>
      </w:r>
      <w:r>
        <w:rPr>
          <w:rFonts w:ascii="Arial" w:cs="Arial" w:eastAsia="Arial" w:hAnsi="Arial"/>
          <w:sz w:val="19"/>
          <w:szCs w:val="19"/>
          <w:color w:val="auto"/>
        </w:rPr>
        <w:t>incurred in connection with the 2029 Notes and Second Amended Credit Agreement, respectively. Deferred financing fees of $3.7 million associated with the revolving credit facility portion of the Second Amended Credit Agreement were recorded in Other assets, net and all other deferred financing fees were recorded in Long-term debt, net.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7"/>
          <w:szCs w:val="17"/>
          <w:color w:val="auto"/>
        </w:rPr>
        <w:t>Convertible Senior Notes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 xml:space="preserve">2025 Notes </w:t>
      </w:r>
      <w:r>
        <w:rPr>
          <w:rFonts w:ascii="Arial" w:cs="Arial" w:eastAsia="Arial" w:hAnsi="Arial"/>
          <w:sz w:val="17"/>
          <w:szCs w:val="17"/>
          <w:color w:val="auto"/>
        </w:rPr>
        <w:t>- In May 2020, the Company completed a $230.0 million principal amount private offering of 5.00% convertible senior notes due in</w:t>
      </w:r>
      <w:r>
        <w:rPr>
          <w:rFonts w:ascii="Arial" w:cs="Arial" w:eastAsia="Arial" w:hAnsi="Arial"/>
          <w:sz w:val="17"/>
          <w:szCs w:val="17"/>
          <w:i w:val="1"/>
          <w:iCs w:val="1"/>
          <w:color w:val="auto"/>
        </w:rPr>
        <w:t xml:space="preserve"> </w:t>
      </w:r>
      <w:r>
        <w:rPr>
          <w:rFonts w:ascii="Arial" w:cs="Arial" w:eastAsia="Arial" w:hAnsi="Arial"/>
          <w:sz w:val="17"/>
          <w:szCs w:val="17"/>
          <w:color w:val="auto"/>
        </w:rPr>
        <w:t>2025. The 2025 Notes are governed by the terms of an indenture between the Company and Wells Fargo Bank, National Association, as the Trustee. The 2025 Notes will mature on May 1, 2025, unless earlier converted, redeemed or purchased by the Company. The 2025 Notes bear cash interest at an annual rate of 5.00%, payable semi-annually in arrears on May 1 and November 1 of each year. Net proceeds from the 2025 Notes offering were approximately $221.6 million, after deducting the initial purchaser’s discounts and commissions and the Company’s offering expenses.</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 The conversion rate is subject to adjustment upon the occurrence of certain specified events.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the close of business on the business day immediately preceding November 1, 2024, holders may convert all or a portion of their 2025 Notes under the following circumstances: (i) during any calendar quarter commencing after the calendar quarter ending on June 30, 2020,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five consecutive trading day period (the “measurement period”) in which the trading price per $1,000 principal amount of 2025 Notes for each trading day of the measurement period was less than 98% of the product of the last reported sale price per share of the Company’s common stock and the conversion rate on each such trading day; (iii) upon the occurrence of specified corporate events or distributions on the Company’s common stock; (iv) if the Company calls the 2025 Notes for redemption, and (v) at any time from, and including November 1, 2024 until the close of business on the second scheduled trading day immediately before the maturity date.</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2025 Notes will be redeemable by the Company, in whole or in part, at the Company’s option at any time, and from time to time, on or after May 1, 2023 and on or before the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scheduled trading day immediately before the maturity date, at a cash redemption price equal to the principal amount of the 2025 Notes to be redeemed, plus accrued and unpaid interest,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of the 2025 Notes for redemption will constitute a make-whole fundamental change with respect to that note, in which case the conversion rate applicable to the conversion of the 2025 Notes will be increased in certain circumstances if it is converted after it is called for redemption.</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252525"/>
        </w:rPr>
        <w:t xml:space="preserve">If a fundamental change occurs prior to the maturity date, holders may require the Company to repurchase all or a portion of their </w:t>
      </w:r>
      <w:r>
        <w:rPr>
          <w:rFonts w:ascii="Arial" w:cs="Arial" w:eastAsia="Arial" w:hAnsi="Arial"/>
          <w:sz w:val="19"/>
          <w:szCs w:val="19"/>
          <w:color w:val="000000"/>
        </w:rPr>
        <w:t>2025 Notes</w:t>
      </w:r>
      <w:r>
        <w:rPr>
          <w:rFonts w:ascii="Arial" w:cs="Arial" w:eastAsia="Arial" w:hAnsi="Arial"/>
          <w:sz w:val="19"/>
          <w:szCs w:val="19"/>
          <w:color w:val="252525"/>
        </w:rPr>
        <w:t xml:space="preserve"> for cash at a price equal to 100% of the principal amount of the </w:t>
      </w:r>
      <w:r>
        <w:rPr>
          <w:rFonts w:ascii="Arial" w:cs="Arial" w:eastAsia="Arial" w:hAnsi="Arial"/>
          <w:sz w:val="19"/>
          <w:szCs w:val="19"/>
          <w:color w:val="000000"/>
        </w:rPr>
        <w:t>2025 Notes</w:t>
      </w:r>
      <w:r>
        <w:rPr>
          <w:rFonts w:ascii="Arial" w:cs="Arial" w:eastAsia="Arial" w:hAnsi="Arial"/>
          <w:sz w:val="19"/>
          <w:szCs w:val="19"/>
          <w:color w:val="252525"/>
        </w:rPr>
        <w:t xml:space="preserve"> to be repurchased, plus accrued and unpaid interest. Holders of </w:t>
      </w:r>
      <w:r>
        <w:rPr>
          <w:rFonts w:ascii="Arial" w:cs="Arial" w:eastAsia="Arial" w:hAnsi="Arial"/>
          <w:sz w:val="19"/>
          <w:szCs w:val="19"/>
          <w:color w:val="000000"/>
        </w:rPr>
        <w:t>2025 Notes</w:t>
      </w:r>
      <w:r>
        <w:rPr>
          <w:rFonts w:ascii="Arial" w:cs="Arial" w:eastAsia="Arial" w:hAnsi="Arial"/>
          <w:sz w:val="19"/>
          <w:szCs w:val="19"/>
          <w:color w:val="252525"/>
        </w:rPr>
        <w:t xml:space="preserve"> who convert their </w:t>
      </w:r>
      <w:r>
        <w:rPr>
          <w:rFonts w:ascii="Arial" w:cs="Arial" w:eastAsia="Arial" w:hAnsi="Arial"/>
          <w:sz w:val="19"/>
          <w:szCs w:val="19"/>
          <w:color w:val="000000"/>
        </w:rPr>
        <w:t>2025 Notes</w:t>
      </w:r>
      <w:r>
        <w:rPr>
          <w:rFonts w:ascii="Arial" w:cs="Arial" w:eastAsia="Arial" w:hAnsi="Arial"/>
          <w:sz w:val="19"/>
          <w:szCs w:val="19"/>
          <w:color w:val="252525"/>
        </w:rPr>
        <w:t xml:space="preserve"> in connection with a notice of a redemption or a make-whole fundamental change may be entitled to a premium in the form of an increase in the conversion rate of the </w:t>
      </w:r>
      <w:r>
        <w:rPr>
          <w:rFonts w:ascii="Arial" w:cs="Arial" w:eastAsia="Arial" w:hAnsi="Arial"/>
          <w:sz w:val="19"/>
          <w:szCs w:val="19"/>
          <w:color w:val="000000"/>
        </w:rPr>
        <w:t>2025 Notes</w:t>
      </w:r>
      <w:r>
        <w:rPr>
          <w:rFonts w:ascii="Arial" w:cs="Arial" w:eastAsia="Arial" w:hAnsi="Arial"/>
          <w:sz w:val="19"/>
          <w:szCs w:val="19"/>
          <w:color w:val="252525"/>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includes the outstanding principal amount and carrying value of the 2025 Notes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7"/>
                <w:szCs w:val="17"/>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27, 2021</w:t>
            </w:r>
          </w:p>
        </w:tc>
        <w:tc>
          <w:tcPr>
            <w:tcW w:w="240" w:type="dxa"/>
            <w:vAlign w:val="bottom"/>
          </w:tcPr>
          <w:p>
            <w:pPr>
              <w:spacing w:after="0"/>
              <w:rPr>
                <w:sz w:val="17"/>
                <w:szCs w:val="17"/>
                <w:color w:val="auto"/>
              </w:rPr>
            </w:pPr>
          </w:p>
        </w:tc>
        <w:tc>
          <w:tcPr>
            <w:tcW w:w="1840" w:type="dxa"/>
            <w:vAlign w:val="bottom"/>
          </w:tcPr>
          <w:p>
            <w:pPr>
              <w:jc w:val="right"/>
              <w:ind w:right="304"/>
              <w:spacing w:after="0"/>
              <w:rPr>
                <w:sz w:val="20"/>
                <w:szCs w:val="20"/>
                <w:color w:val="auto"/>
              </w:rPr>
            </w:pPr>
            <w:r>
              <w:rPr>
                <w:rFonts w:ascii="Arial" w:cs="Arial" w:eastAsia="Arial" w:hAnsi="Arial"/>
                <w:sz w:val="14"/>
                <w:szCs w:val="14"/>
                <w:b w:val="1"/>
                <w:bCs w:val="1"/>
                <w:color w:val="auto"/>
              </w:rPr>
              <w:t>DECEMBER 27, 2020</w:t>
            </w:r>
          </w:p>
        </w:tc>
      </w:tr>
      <w:tr>
        <w:trPr>
          <w:trHeight w:val="19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36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r>
      <w:tr>
        <w:trPr>
          <w:trHeight w:val="203"/>
        </w:trPr>
        <w:tc>
          <w:tcPr>
            <w:tcW w:w="6960" w:type="dxa"/>
            <w:vAlign w:val="bottom"/>
          </w:tcPr>
          <w:p>
            <w:pPr>
              <w:ind w:left="140"/>
              <w:spacing w:after="0"/>
              <w:rPr>
                <w:sz w:val="20"/>
                <w:szCs w:val="20"/>
                <w:color w:val="auto"/>
              </w:rPr>
            </w:pPr>
            <w:r>
              <w:rPr>
                <w:rFonts w:ascii="Arial" w:cs="Arial" w:eastAsia="Arial" w:hAnsi="Arial"/>
                <w:sz w:val="15"/>
                <w:szCs w:val="15"/>
                <w:color w:val="auto"/>
              </w:rPr>
              <w:t>Principal</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230,000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230,000</w:t>
            </w:r>
          </w:p>
        </w:tc>
      </w:tr>
      <w:tr>
        <w:trPr>
          <w:trHeight w:val="209"/>
        </w:trPr>
        <w:tc>
          <w:tcPr>
            <w:tcW w:w="6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Less: Debt discount (1)</w:t>
            </w:r>
          </w:p>
        </w:tc>
        <w:tc>
          <w:tcPr>
            <w:tcW w:w="3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(59,862)</w:t>
            </w:r>
          </w:p>
        </w:tc>
      </w:tr>
      <w:tr>
        <w:trPr>
          <w:trHeight w:val="212"/>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Less: Debt issuance costs (1)(2)</w:t>
            </w: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(6,688)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(5,427)</w:t>
            </w:r>
          </w:p>
        </w:tc>
      </w:tr>
      <w:tr>
        <w:trPr>
          <w:trHeight w:val="212"/>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carrying amount</w:t>
            </w:r>
          </w:p>
        </w:tc>
        <w:tc>
          <w:tcPr>
            <w:tcW w:w="3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223,312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164,711</w:t>
            </w:r>
          </w:p>
        </w:tc>
      </w:tr>
      <w:tr>
        <w:trPr>
          <w:trHeight w:val="206"/>
        </w:trPr>
        <w:tc>
          <w:tcPr>
            <w:tcW w:w="6960" w:type="dxa"/>
            <w:vAlign w:val="bottom"/>
          </w:tcPr>
          <w:p>
            <w:pPr>
              <w:ind w:left="120"/>
              <w:spacing w:after="0"/>
              <w:rPr>
                <w:sz w:val="20"/>
                <w:szCs w:val="20"/>
                <w:color w:val="auto"/>
              </w:rPr>
            </w:pPr>
            <w:r>
              <w:rPr>
                <w:rFonts w:ascii="Arial" w:cs="Arial" w:eastAsia="Arial" w:hAnsi="Arial"/>
                <w:sz w:val="15"/>
                <w:szCs w:val="15"/>
                <w:color w:val="auto"/>
              </w:rPr>
              <w:t>Equity component (1)</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64,367</w:t>
            </w:r>
          </w:p>
        </w:tc>
      </w:tr>
      <w:tr>
        <w:trPr>
          <w:trHeight w:val="20"/>
        </w:trPr>
        <w:tc>
          <w:tcPr>
            <w:tcW w:w="6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9" w:lineRule="auto"/>
        <w:tabs>
          <w:tab w:leader="none" w:pos="6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connection with the adoption of ASU No. 2020-06, debt discount and the equity component of the 2025 Notes were de-recognized and $2.1 million of issuance costs that were previously allocated to the equity component were reclassified as debt issuance costs during the twenty-six weeks ended June 27, 2021.</w:t>
      </w:r>
    </w:p>
    <w:p>
      <w:pPr>
        <w:ind w:left="620" w:hanging="617"/>
        <w:spacing w:after="0"/>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Debt issuance costs are amortized to Interest expense, net using the effective interest method over the expected life of the 2025 Notes.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252525"/>
        </w:rPr>
        <w:t xml:space="preserve">The effective rate of the </w:t>
      </w:r>
      <w:r>
        <w:rPr>
          <w:rFonts w:ascii="Arial" w:cs="Arial" w:eastAsia="Arial" w:hAnsi="Arial"/>
          <w:sz w:val="19"/>
          <w:szCs w:val="19"/>
          <w:color w:val="000000"/>
        </w:rPr>
        <w:t>2025 Notes</w:t>
      </w:r>
      <w:r>
        <w:rPr>
          <w:rFonts w:ascii="Arial" w:cs="Arial" w:eastAsia="Arial" w:hAnsi="Arial"/>
          <w:sz w:val="19"/>
          <w:szCs w:val="19"/>
          <w:color w:val="252525"/>
        </w:rPr>
        <w:t xml:space="preserve"> over their expected life </w:t>
      </w:r>
      <w:r>
        <w:rPr>
          <w:rFonts w:ascii="Arial" w:cs="Arial" w:eastAsia="Arial" w:hAnsi="Arial"/>
          <w:sz w:val="19"/>
          <w:szCs w:val="19"/>
          <w:color w:val="000000"/>
        </w:rPr>
        <w:t>is</w:t>
      </w:r>
      <w:r>
        <w:rPr>
          <w:rFonts w:ascii="Arial" w:cs="Arial" w:eastAsia="Arial" w:hAnsi="Arial"/>
          <w:sz w:val="19"/>
          <w:szCs w:val="19"/>
          <w:color w:val="252525"/>
        </w:rPr>
        <w:t xml:space="preserve"> 5.85%. Following is a summary of interest expense for the </w:t>
      </w:r>
      <w:r>
        <w:rPr>
          <w:rFonts w:ascii="Arial" w:cs="Arial" w:eastAsia="Arial" w:hAnsi="Arial"/>
          <w:sz w:val="19"/>
          <w:szCs w:val="19"/>
          <w:color w:val="000000"/>
        </w:rPr>
        <w:t>2025 Notes, by</w:t>
      </w:r>
      <w:r>
        <w:rPr>
          <w:rFonts w:ascii="Arial" w:cs="Arial" w:eastAsia="Arial" w:hAnsi="Arial"/>
          <w:sz w:val="19"/>
          <w:szCs w:val="19"/>
          <w:color w:val="252525"/>
        </w:rPr>
        <w:t xml:space="preserve"> </w:t>
      </w:r>
      <w:r>
        <w:rPr>
          <w:rFonts w:ascii="Arial" w:cs="Arial" w:eastAsia="Arial" w:hAnsi="Arial"/>
          <w:sz w:val="19"/>
          <w:szCs w:val="19"/>
          <w:color w:val="000000"/>
        </w:rPr>
        <w:t>component,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8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jc w:val="right"/>
              <w:ind w:right="266"/>
              <w:spacing w:after="0"/>
              <w:rPr>
                <w:sz w:val="20"/>
                <w:szCs w:val="20"/>
                <w:color w:val="auto"/>
              </w:rPr>
            </w:pPr>
            <w:r>
              <w:rPr>
                <w:rFonts w:ascii="Arial" w:cs="Arial" w:eastAsia="Arial" w:hAnsi="Arial"/>
                <w:sz w:val="14"/>
                <w:szCs w:val="14"/>
                <w:b w:val="1"/>
                <w:bCs w:val="1"/>
                <w:color w:val="auto"/>
              </w:rPr>
              <w:t>TWENTY-SIX WEEKS ENDED</w:t>
            </w:r>
          </w:p>
        </w:tc>
      </w:tr>
      <w:tr>
        <w:trPr>
          <w:trHeight w:val="198"/>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2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JUNE 27, 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806"/>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5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Coupon interest</w:t>
            </w:r>
          </w:p>
        </w:tc>
        <w:tc>
          <w:tcPr>
            <w:tcW w:w="2220" w:type="dxa"/>
            <w:vAlign w:val="bottom"/>
            <w:shd w:val="clear" w:color="auto" w:fill="CCEEFF"/>
          </w:tcPr>
          <w:p>
            <w:pPr>
              <w:jc w:val="right"/>
              <w:ind w:right="2047"/>
              <w:spacing w:after="0"/>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5"/>
              </w:rPr>
              <w:t>2,875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5,750</w:t>
            </w:r>
          </w:p>
        </w:tc>
      </w:tr>
      <w:tr>
        <w:trPr>
          <w:trHeight w:val="212"/>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Deferred issuance cost amortization</w:t>
            </w:r>
          </w:p>
        </w:tc>
        <w:tc>
          <w:tcPr>
            <w:tcW w:w="2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w:t>
            </w:r>
          </w:p>
        </w:tc>
      </w:tr>
      <w:tr>
        <w:trPr>
          <w:trHeight w:val="231"/>
        </w:trPr>
        <w:tc>
          <w:tcPr>
            <w:tcW w:w="5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interest expense</w:t>
            </w:r>
          </w:p>
        </w:tc>
        <w:tc>
          <w:tcPr>
            <w:tcW w:w="2220" w:type="dxa"/>
            <w:vAlign w:val="bottom"/>
            <w:tcBorders>
              <w:bottom w:val="single" w:sz="8" w:color="auto"/>
            </w:tcBorders>
            <w:shd w:val="clear" w:color="auto" w:fill="CCEEFF"/>
          </w:tcPr>
          <w:p>
            <w:pPr>
              <w:jc w:val="right"/>
              <w:ind w:right="2047"/>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85"/>
              </w:rPr>
              <w:t>3,261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6,517</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Based on the daily closing prices of the Company’s stock during the quarter ended June 27, 2021, holders of the 2025 Notes are eligible to convert their 2025 Notes during the third quarter of 2021. In February 2021, the Company provided the trustee of </w:t>
      </w:r>
      <w:r>
        <w:rPr>
          <w:rFonts w:ascii="Arial" w:cs="Arial" w:eastAsia="Arial" w:hAnsi="Arial"/>
          <w:sz w:val="17"/>
          <w:szCs w:val="17"/>
          <w:color w:val="252525"/>
        </w:rPr>
        <w:t>the</w:t>
      </w:r>
      <w:r>
        <w:rPr>
          <w:rFonts w:ascii="Arial" w:cs="Arial" w:eastAsia="Arial" w:hAnsi="Arial"/>
          <w:sz w:val="17"/>
          <w:szCs w:val="17"/>
          <w:color w:val="auto"/>
        </w:rPr>
        <w:t xml:space="preserve"> 2025 Notes notice of its irrevocable election under the 2025 Notes indenture to settle the principal portion of </w:t>
      </w:r>
      <w:r>
        <w:rPr>
          <w:rFonts w:ascii="Arial" w:cs="Arial" w:eastAsia="Arial" w:hAnsi="Arial"/>
          <w:sz w:val="17"/>
          <w:szCs w:val="17"/>
          <w:color w:val="252525"/>
        </w:rPr>
        <w:t>the</w:t>
      </w:r>
      <w:r>
        <w:rPr>
          <w:rFonts w:ascii="Arial" w:cs="Arial" w:eastAsia="Arial" w:hAnsi="Arial"/>
          <w:sz w:val="17"/>
          <w:szCs w:val="17"/>
          <w:color w:val="auto"/>
        </w:rPr>
        <w:t xml:space="preserve"> 2025 Notes upon conversion in cash and any excess in shares.</w:t>
      </w:r>
    </w:p>
    <w:p>
      <w:pPr>
        <w:spacing w:after="0" w:line="16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i w:val="1"/>
          <w:iCs w:val="1"/>
          <w:color w:val="auto"/>
        </w:rPr>
        <w:t xml:space="preserve">Convertible Note Hedge and Warrant Transactions </w:t>
      </w:r>
      <w:r>
        <w:rPr>
          <w:rFonts w:ascii="Arial" w:cs="Arial" w:eastAsia="Arial" w:hAnsi="Arial"/>
          <w:sz w:val="17"/>
          <w:szCs w:val="17"/>
          <w:color w:val="252525"/>
        </w:rPr>
        <w:t>- In connection with the offering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2025 Notes</w:t>
      </w:r>
      <w:r>
        <w:rPr>
          <w:rFonts w:ascii="Arial" w:cs="Arial" w:eastAsia="Arial" w:hAnsi="Arial"/>
          <w:sz w:val="17"/>
          <w:szCs w:val="17"/>
          <w:color w:val="252525"/>
        </w:rPr>
        <w:t>, the Company entered into convertible note</w:t>
      </w:r>
      <w:r>
        <w:rPr>
          <w:rFonts w:ascii="Arial" w:cs="Arial" w:eastAsia="Arial" w:hAnsi="Arial"/>
          <w:sz w:val="17"/>
          <w:szCs w:val="17"/>
          <w:i w:val="1"/>
          <w:iCs w:val="1"/>
          <w:color w:val="auto"/>
        </w:rPr>
        <w:t xml:space="preserve"> </w:t>
      </w:r>
      <w:r>
        <w:rPr>
          <w:rFonts w:ascii="Arial" w:cs="Arial" w:eastAsia="Arial" w:hAnsi="Arial"/>
          <w:sz w:val="17"/>
          <w:szCs w:val="17"/>
          <w:color w:val="252525"/>
        </w:rPr>
        <w:t xml:space="preserve">hedge transactions (the “Convertible Note Hedge Transactions”) with certain of the initial purchasers of the </w:t>
      </w:r>
      <w:r>
        <w:rPr>
          <w:rFonts w:ascii="Arial" w:cs="Arial" w:eastAsia="Arial" w:hAnsi="Arial"/>
          <w:sz w:val="17"/>
          <w:szCs w:val="17"/>
          <w:color w:val="000000"/>
        </w:rPr>
        <w:t>2025 Notes</w:t>
      </w:r>
      <w:r>
        <w:rPr>
          <w:rFonts w:ascii="Arial" w:cs="Arial" w:eastAsia="Arial" w:hAnsi="Arial"/>
          <w:sz w:val="17"/>
          <w:szCs w:val="17"/>
          <w:color w:val="252525"/>
        </w:rPr>
        <w:t xml:space="preserve">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proceeds that partially offset the cost of entering into the Convertible Note Hedge Transactions (the “Warrant Transactions”).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252525"/>
        </w:rPr>
        <w:t xml:space="preserve">The Convertible Note Hedge Transactions cover, subject to customary anti-dilution adjustments, the number of shares of the Company’s common stock that initially underlie the </w:t>
      </w:r>
      <w:r>
        <w:rPr>
          <w:rFonts w:ascii="Arial" w:cs="Arial" w:eastAsia="Arial" w:hAnsi="Arial"/>
          <w:sz w:val="19"/>
          <w:szCs w:val="19"/>
          <w:color w:val="000000"/>
        </w:rPr>
        <w:t>2025 Notes</w:t>
      </w:r>
      <w:r>
        <w:rPr>
          <w:rFonts w:ascii="Arial" w:cs="Arial" w:eastAsia="Arial" w:hAnsi="Arial"/>
          <w:sz w:val="19"/>
          <w:szCs w:val="19"/>
          <w:color w:val="252525"/>
        </w:rPr>
        <w:t xml:space="preserve">, and are expected generally to reduce the potential equity dilution in excess of the principal amount due upon conversion of the </w:t>
      </w:r>
      <w:r>
        <w:rPr>
          <w:rFonts w:ascii="Arial" w:cs="Arial" w:eastAsia="Arial" w:hAnsi="Arial"/>
          <w:sz w:val="19"/>
          <w:szCs w:val="19"/>
          <w:color w:val="000000"/>
        </w:rPr>
        <w:t>2025 Notes</w:t>
      </w:r>
      <w:r>
        <w:rPr>
          <w:rFonts w:ascii="Arial" w:cs="Arial" w:eastAsia="Arial" w:hAnsi="Arial"/>
          <w:sz w:val="19"/>
          <w:szCs w:val="19"/>
          <w:color w:val="252525"/>
        </w:rPr>
        <w:t>. The Warrant Transactions have a dilutive effect on the Company’s common stock to the extent that the price of its common stock exceeds the strike price of the Warrant Transactions. The strike price is initially $16.64 per share and is subject to certain adjustments under the terms of the Warrant Transactions.</w:t>
      </w:r>
    </w:p>
    <w:p>
      <w:pPr>
        <w:spacing w:after="0" w:line="208"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252525"/>
        </w:rPr>
        <w:t xml:space="preserve">The Convertible Note Hedge Transactions are exercisable upon conversion of the </w:t>
      </w:r>
      <w:r>
        <w:rPr>
          <w:rFonts w:ascii="Arial" w:cs="Arial" w:eastAsia="Arial" w:hAnsi="Arial"/>
          <w:sz w:val="17"/>
          <w:szCs w:val="17"/>
          <w:color w:val="000000"/>
        </w:rPr>
        <w:t>2025 Notes</w:t>
      </w:r>
      <w:r>
        <w:rPr>
          <w:rFonts w:ascii="Arial" w:cs="Arial" w:eastAsia="Arial" w:hAnsi="Arial"/>
          <w:sz w:val="17"/>
          <w:szCs w:val="17"/>
          <w:color w:val="252525"/>
        </w:rPr>
        <w:t xml:space="preserve">. The Convertible Note Hedge Transactions expire upon maturity of the </w:t>
      </w:r>
      <w:r>
        <w:rPr>
          <w:rFonts w:ascii="Arial" w:cs="Arial" w:eastAsia="Arial" w:hAnsi="Arial"/>
          <w:sz w:val="17"/>
          <w:szCs w:val="17"/>
          <w:color w:val="000000"/>
        </w:rPr>
        <w:t>2025 Notes</w:t>
      </w:r>
      <w:r>
        <w:rPr>
          <w:rFonts w:ascii="Arial" w:cs="Arial" w:eastAsia="Arial" w:hAnsi="Arial"/>
          <w:sz w:val="17"/>
          <w:szCs w:val="17"/>
          <w:color w:val="252525"/>
        </w:rPr>
        <w:t>. The Warrant Transactions are exercisable on the expiration dates included in the related forms of confirmation.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color w:val="auto"/>
        </w:rPr>
        <w:t>Other Long-term Liabilities,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Other long-term liabilities, net,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Pr>
          <w:p>
            <w:pPr>
              <w:spacing w:after="0"/>
              <w:rPr>
                <w:sz w:val="17"/>
                <w:szCs w:val="17"/>
                <w:color w:val="auto"/>
              </w:rPr>
            </w:pPr>
          </w:p>
        </w:tc>
        <w:tc>
          <w:tcPr>
            <w:tcW w:w="1720" w:type="dxa"/>
            <w:vAlign w:val="bottom"/>
          </w:tcPr>
          <w:p>
            <w:pPr>
              <w:jc w:val="right"/>
              <w:ind w:right="224"/>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insurance liability</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32,704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32,128</w:t>
            </w:r>
          </w:p>
        </w:tc>
      </w:tr>
      <w:tr>
        <w:trPr>
          <w:trHeight w:val="203"/>
        </w:trPr>
        <w:tc>
          <w:tcPr>
            <w:tcW w:w="7300" w:type="dxa"/>
            <w:vAlign w:val="bottom"/>
          </w:tcPr>
          <w:p>
            <w:pPr>
              <w:ind w:left="20"/>
              <w:spacing w:after="0"/>
              <w:rPr>
                <w:sz w:val="20"/>
                <w:szCs w:val="20"/>
                <w:color w:val="auto"/>
              </w:rPr>
            </w:pPr>
            <w:r>
              <w:rPr>
                <w:rFonts w:ascii="Arial" w:cs="Arial" w:eastAsia="Arial" w:hAnsi="Arial"/>
                <w:sz w:val="15"/>
                <w:szCs w:val="15"/>
                <w:color w:val="auto"/>
              </w:rPr>
              <w:t>Chef and Restaurant Managing Partner deferred compensation obligations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20,687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32,306</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payroll tax liabilities (1)</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55,204</w:t>
            </w:r>
          </w:p>
        </w:tc>
      </w:tr>
      <w:tr>
        <w:trPr>
          <w:trHeight w:val="21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 (2)</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65,717</w:t>
            </w:r>
          </w:p>
        </w:tc>
      </w:tr>
      <w:tr>
        <w:trPr>
          <w:trHeight w:val="228"/>
        </w:trPr>
        <w:tc>
          <w:tcPr>
            <w:tcW w:w="7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134,294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185,355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20" w:lineRule="exact"/>
        <w:rPr>
          <w:sz w:val="20"/>
          <w:szCs w:val="20"/>
          <w:color w:val="auto"/>
        </w:rPr>
      </w:pPr>
    </w:p>
    <w:p>
      <w:pPr>
        <w:ind w:left="620" w:hanging="617"/>
        <w:spacing w:after="0"/>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During the twenty-six weeks ended June 27, 2021, the Company reclassified $27.3 million of payroll taxes deferred under the CARES Act to current.</w:t>
      </w:r>
    </w:p>
    <w:p>
      <w:pPr>
        <w:spacing w:after="0" w:line="8" w:lineRule="exact"/>
        <w:rPr>
          <w:rFonts w:ascii="Arial" w:cs="Arial" w:eastAsia="Arial" w:hAnsi="Arial"/>
          <w:sz w:val="15"/>
          <w:szCs w:val="15"/>
          <w:color w:val="auto"/>
        </w:rPr>
      </w:pPr>
    </w:p>
    <w:p>
      <w:pPr>
        <w:ind w:left="620" w:hanging="617"/>
        <w:spacing w:after="0" w:line="266" w:lineRule="auto"/>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 xml:space="preserve">The Company’s hedge liability decreased by $11.8 million during the twenty-six weeks ended June 27, 2021 primarily from the termination of certain interest rate swaps. See Note 13 - </w:t>
      </w:r>
      <w:r>
        <w:rPr>
          <w:rFonts w:ascii="Arial" w:cs="Arial" w:eastAsia="Arial" w:hAnsi="Arial"/>
          <w:sz w:val="15"/>
          <w:szCs w:val="15"/>
          <w:i w:val="1"/>
          <w:iCs w:val="1"/>
          <w:color w:val="auto"/>
        </w:rPr>
        <w:t>Derivative Instruments and Hedging Activities</w:t>
      </w:r>
      <w:r>
        <w:rPr>
          <w:rFonts w:ascii="Arial" w:cs="Arial" w:eastAsia="Arial" w:hAnsi="Arial"/>
          <w:sz w:val="15"/>
          <w:szCs w:val="15"/>
          <w:color w:val="auto"/>
        </w:rPr>
        <w:t xml:space="preserve"> for additional details.</w:t>
      </w:r>
    </w:p>
    <w:p>
      <w:pPr>
        <w:spacing w:after="0" w:line="19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7"/>
          <w:szCs w:val="17"/>
          <w:color w:val="auto"/>
        </w:rPr>
        <w:t>Stockholders’ Equity</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Redeemable Preferred Stock </w:t>
      </w:r>
      <w:r>
        <w:rPr>
          <w:rFonts w:ascii="Arial" w:cs="Arial" w:eastAsia="Arial" w:hAnsi="Arial"/>
          <w:sz w:val="19"/>
          <w:szCs w:val="19"/>
          <w:color w:val="auto"/>
        </w:rPr>
        <w:t>- In connection with the development of its Abbraccio Cucina Italiana (“Abbraccio”) concept in 2015,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sold preferred shares of its Abbraccio subsidiary (“Abbraccio Shares”) to certain investors.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During the thirteen weeks ended March 29, 2020, the Company exercised a call option to purchase all outstanding Abbraccio Shares for $1.0 million and recorded a reduction to Accumulated deficit and an increase in Net loss applicable to common stockholders of $3.5 million for the consideration paid in excess of the Abbraccio Shares’ carrying value.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Accumulated Other Comprehensive Loss (“AOCL”) - </w:t>
      </w:r>
      <w:r>
        <w:rPr>
          <w:rFonts w:ascii="Arial" w:cs="Arial" w:eastAsia="Arial" w:hAnsi="Arial"/>
          <w:sz w:val="19"/>
          <w:szCs w:val="19"/>
          <w:color w:val="auto"/>
        </w:rPr>
        <w:t>Following are the components of AOCL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7"/>
                <w:szCs w:val="17"/>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Pr>
          <w:p>
            <w:pPr>
              <w:spacing w:after="0"/>
              <w:rPr>
                <w:sz w:val="17"/>
                <w:szCs w:val="17"/>
                <w:color w:val="auto"/>
              </w:rPr>
            </w:pPr>
          </w:p>
        </w:tc>
        <w:tc>
          <w:tcPr>
            <w:tcW w:w="1760" w:type="dxa"/>
            <w:vAlign w:val="bottom"/>
          </w:tcPr>
          <w:p>
            <w:pPr>
              <w:jc w:val="right"/>
              <w:ind w:right="245"/>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36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(185,443)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(188,883)</w:t>
            </w:r>
          </w:p>
        </w:tc>
      </w:tr>
      <w:tr>
        <w:trPr>
          <w:trHeight w:val="21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Unrealized loss on derivatives, net of tax</w:t>
            </w: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(16,745)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(22,563)</w:t>
            </w:r>
          </w:p>
        </w:tc>
      </w:tr>
      <w:tr>
        <w:trPr>
          <w:trHeight w:val="231"/>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Accumulated other comprehensive loss</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(202,188)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(211,446)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Following are the components of Other comprehensive income (loss) attributable to Bloomin’ Brands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7"/>
                <w:szCs w:val="17"/>
                <w:color w:val="auto"/>
              </w:rPr>
            </w:pPr>
          </w:p>
        </w:tc>
        <w:tc>
          <w:tcPr>
            <w:tcW w:w="2580" w:type="dxa"/>
            <w:vAlign w:val="bottom"/>
            <w:gridSpan w:val="4"/>
          </w:tcPr>
          <w:p>
            <w:pPr>
              <w:jc w:val="right"/>
              <w:ind w:right="324"/>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6"/>
              </w:rPr>
              <w:t>JUNE 28, 2020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27, 2021</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6"/>
              </w:rPr>
              <w:t>JUNE 28, 2020</w:t>
            </w:r>
          </w:p>
        </w:tc>
        <w:tc>
          <w:tcPr>
            <w:tcW w:w="0" w:type="dxa"/>
            <w:vAlign w:val="bottom"/>
          </w:tcPr>
          <w:p>
            <w:pPr>
              <w:spacing w:after="0"/>
              <w:rPr>
                <w:sz w:val="1"/>
                <w:szCs w:val="1"/>
                <w:color w:val="auto"/>
              </w:rPr>
            </w:pPr>
          </w:p>
        </w:tc>
      </w:tr>
      <w:tr>
        <w:trPr>
          <w:trHeight w:val="206"/>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10,015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(36,443)</w:t>
            </w:r>
          </w:p>
        </w:tc>
        <w:tc>
          <w:tcPr>
            <w:tcW w:w="0" w:type="dxa"/>
            <w:vAlign w:val="bottom"/>
          </w:tcPr>
          <w:p>
            <w:pPr>
              <w:spacing w:after="0"/>
              <w:rPr>
                <w:sz w:val="1"/>
                <w:szCs w:val="1"/>
                <w:color w:val="auto"/>
              </w:rPr>
            </w:pPr>
          </w:p>
        </w:tc>
      </w:tr>
      <w:tr>
        <w:trPr>
          <w:trHeight w:val="245"/>
        </w:trPr>
        <w:tc>
          <w:tcPr>
            <w:tcW w:w="5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loss on derivatives, net of tax (1)</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(14,892)</w:t>
            </w:r>
          </w:p>
        </w:tc>
        <w:tc>
          <w:tcPr>
            <w:tcW w:w="0" w:type="dxa"/>
            <w:vAlign w:val="bottom"/>
          </w:tcPr>
          <w:p>
            <w:pPr>
              <w:spacing w:after="0"/>
              <w:rPr>
                <w:sz w:val="1"/>
                <w:szCs w:val="1"/>
                <w:color w:val="auto"/>
              </w:rPr>
            </w:pPr>
          </w:p>
        </w:tc>
      </w:tr>
      <w:tr>
        <w:trPr>
          <w:trHeight w:val="160"/>
        </w:trPr>
        <w:tc>
          <w:tcPr>
            <w:tcW w:w="5680" w:type="dxa"/>
            <w:vAlign w:val="bottom"/>
          </w:tcPr>
          <w:p>
            <w:pPr>
              <w:ind w:left="20"/>
              <w:spacing w:after="0" w:line="160" w:lineRule="exact"/>
              <w:rPr>
                <w:sz w:val="20"/>
                <w:szCs w:val="20"/>
                <w:color w:val="auto"/>
              </w:rPr>
            </w:pPr>
            <w:r>
              <w:rPr>
                <w:rFonts w:ascii="Arial" w:cs="Arial" w:eastAsia="Arial" w:hAnsi="Arial"/>
                <w:sz w:val="15"/>
                <w:szCs w:val="15"/>
                <w:color w:val="auto"/>
                <w:w w:val="94"/>
              </w:rPr>
              <w:t>Reclassification of adjustments for loss on derivatives included in Net income (loss), net of</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1,514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2,585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4,517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3,981</w:t>
            </w:r>
          </w:p>
        </w:tc>
        <w:tc>
          <w:tcPr>
            <w:tcW w:w="0" w:type="dxa"/>
            <w:vAlign w:val="bottom"/>
          </w:tcPr>
          <w:p>
            <w:pPr>
              <w:spacing w:after="0"/>
              <w:rPr>
                <w:sz w:val="1"/>
                <w:szCs w:val="1"/>
                <w:color w:val="auto"/>
              </w:rPr>
            </w:pPr>
          </w:p>
        </w:tc>
      </w:tr>
      <w:tr>
        <w:trPr>
          <w:trHeight w:val="199"/>
        </w:trPr>
        <w:tc>
          <w:tcPr>
            <w:tcW w:w="5680" w:type="dxa"/>
            <w:vAlign w:val="bottom"/>
          </w:tcPr>
          <w:p>
            <w:pPr>
              <w:ind w:left="20"/>
              <w:spacing w:after="0"/>
              <w:rPr>
                <w:sz w:val="20"/>
                <w:szCs w:val="20"/>
                <w:color w:val="auto"/>
              </w:rPr>
            </w:pPr>
            <w:r>
              <w:rPr>
                <w:rFonts w:ascii="Arial" w:cs="Arial" w:eastAsia="Arial" w:hAnsi="Arial"/>
                <w:sz w:val="15"/>
                <w:szCs w:val="15"/>
                <w:color w:val="auto"/>
              </w:rPr>
              <w:t>tax (2)</w:t>
            </w: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terminated interest rate swaps, net of tax</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5680" w:type="dxa"/>
            <w:vAlign w:val="bottom"/>
            <w:tcBorders>
              <w:top w:val="single" w:sz="8" w:color="CCEEFF"/>
              <w:bottom w:val="single" w:sz="8" w:color="CCEEFF"/>
            </w:tcBorders>
          </w:tcPr>
          <w:p>
            <w:pPr>
              <w:ind w:left="220"/>
              <w:spacing w:after="0"/>
              <w:rPr>
                <w:sz w:val="20"/>
                <w:szCs w:val="20"/>
                <w:color w:val="auto"/>
              </w:rPr>
            </w:pPr>
            <w:r>
              <w:rPr>
                <w:rFonts w:ascii="Arial" w:cs="Arial" w:eastAsia="Arial" w:hAnsi="Arial"/>
                <w:sz w:val="15"/>
                <w:szCs w:val="15"/>
                <w:color w:val="auto"/>
              </w:rPr>
              <w:t>Total unrealized gain (loss) on derivatives, net of tax</w:t>
            </w:r>
          </w:p>
        </w:tc>
        <w:tc>
          <w:tcPr>
            <w:tcW w:w="1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2,857</w:t>
            </w:r>
          </w:p>
        </w:tc>
        <w:tc>
          <w:tcPr>
            <w:tcW w:w="10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1,029</w:t>
            </w:r>
          </w:p>
        </w:tc>
        <w:tc>
          <w:tcPr>
            <w:tcW w:w="10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5,818</w:t>
            </w:r>
          </w:p>
        </w:tc>
        <w:tc>
          <w:tcPr>
            <w:tcW w:w="10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(10,911)</w:t>
            </w:r>
          </w:p>
        </w:tc>
        <w:tc>
          <w:tcPr>
            <w:tcW w:w="0" w:type="dxa"/>
            <w:vAlign w:val="bottom"/>
          </w:tcPr>
          <w:p>
            <w:pPr>
              <w:spacing w:after="0"/>
              <w:rPr>
                <w:sz w:val="1"/>
                <w:szCs w:val="1"/>
                <w:color w:val="auto"/>
              </w:rPr>
            </w:pPr>
          </w:p>
        </w:tc>
      </w:tr>
      <w:tr>
        <w:trPr>
          <w:trHeight w:val="231"/>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Other comprehensive income (loss) attributable to Bloomin’ Brands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(28,117)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(47,354)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Unrealized loss on derivatives is net of tax of $0.5 million and $5.2 million for the thirteen and twenty-six weeks ended June 28, 2020, respectively.</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Reclassifications of adjustments for loss on derivatives are net of tax. See Note 13 - </w:t>
      </w:r>
      <w:r>
        <w:rPr>
          <w:rFonts w:ascii="Arial" w:cs="Arial" w:eastAsia="Arial" w:hAnsi="Arial"/>
          <w:sz w:val="14"/>
          <w:szCs w:val="14"/>
          <w:i w:val="1"/>
          <w:iCs w:val="1"/>
          <w:color w:val="auto"/>
        </w:rPr>
        <w:t>Derivative Instruments and Hedging Activities</w:t>
      </w:r>
      <w:r>
        <w:rPr>
          <w:rFonts w:ascii="Arial" w:cs="Arial" w:eastAsia="Arial" w:hAnsi="Arial"/>
          <w:sz w:val="14"/>
          <w:szCs w:val="14"/>
          <w:color w:val="auto"/>
        </w:rPr>
        <w:t xml:space="preserve"> for the tax impact of reclassifications.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7"/>
          <w:szCs w:val="17"/>
          <w:color w:val="auto"/>
        </w:rPr>
        <w:t>Derivative Instruments and Hedging Activities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 xml:space="preserve">Cash Flow Hedges of Interest Rate Risk - </w:t>
      </w:r>
      <w:r>
        <w:rPr>
          <w:rFonts w:ascii="Arial" w:cs="Arial" w:eastAsia="Arial" w:hAnsi="Arial"/>
          <w:sz w:val="17"/>
          <w:szCs w:val="17"/>
          <w:color w:val="auto"/>
        </w:rPr>
        <w:t>In October 2018, the Company entered into variable-to-fixed interest rate swap agreements with 12</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counterparties to hedge a portion of the cash flows of the Company’s variable rate debt. The swap agreements have an aggregate notional amount of $550.0 million and mature on November 30, 2022. Under the terms of the swap agreements, the Company pays a weighted-average fixed rate of 3.04% on the notional amount and receives payments from the counterparty based on the one-month LIBOR rate.</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connection with the refinancing of its Former Credit Facility, on April 16, 2021 the Company terminated its variable-to-fixed interest rate swap agreements with seven counterparties having an aggregate notional amount of $275.0 million for a payment of approximately $13.3 million, including accrued interest. Following these terminations, $13.4 million of unrealized losses related to the terminated swap agreements included in AOCL will be amortized on a straight-line basis to Interest expense, net over the remaining original term of the terminated swaps.</w:t>
      </w:r>
    </w:p>
    <w:p>
      <w:pPr>
        <w:spacing w:after="0" w:line="17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Company’s swap agreements have been designated and qualify as cash flow hedges, are recognized on its Consolidated Balance Sheets at fair value and are classified based on the instruments’ maturity dates. As of June 27, 2021, the Company estimated $16.0 million will be reclassified to Interest expense, net over the next 12 fiscal months, including interest expense related to the terminated swap agreements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fair value and classification of the Company’s swap agreements, as of the periods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27, 2021</w:t>
            </w:r>
          </w:p>
        </w:tc>
        <w:tc>
          <w:tcPr>
            <w:tcW w:w="160" w:type="dxa"/>
            <w:vAlign w:val="bottom"/>
          </w:tcPr>
          <w:p>
            <w:pPr>
              <w:spacing w:after="0"/>
              <w:rPr>
                <w:sz w:val="14"/>
                <w:szCs w:val="14"/>
                <w:color w:val="auto"/>
              </w:rPr>
            </w:pPr>
          </w:p>
        </w:tc>
        <w:tc>
          <w:tcPr>
            <w:tcW w:w="162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w w:val="98"/>
              </w:rPr>
              <w:t>DECEMBER 27, 2020</w:t>
            </w:r>
          </w:p>
        </w:tc>
        <w:tc>
          <w:tcPr>
            <w:tcW w:w="10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7"/>
              </w:rPr>
              <w:t>CONSOLIDATED BALANCE SHEET</w:t>
            </w:r>
          </w:p>
        </w:tc>
        <w:tc>
          <w:tcPr>
            <w:tcW w:w="0" w:type="dxa"/>
            <w:vAlign w:val="bottom"/>
          </w:tcPr>
          <w:p>
            <w:pPr>
              <w:spacing w:after="0"/>
              <w:rPr>
                <w:sz w:val="1"/>
                <w:szCs w:val="1"/>
                <w:color w:val="auto"/>
              </w:rPr>
            </w:pPr>
          </w:p>
        </w:tc>
      </w:tr>
      <w:tr>
        <w:trPr>
          <w:trHeight w:val="173"/>
        </w:trPr>
        <w:tc>
          <w:tcPr>
            <w:tcW w:w="4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0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swaps - liability</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7,437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14,855</w:t>
            </w:r>
          </w:p>
        </w:tc>
        <w:tc>
          <w:tcPr>
            <w:tcW w:w="10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Accrued and other current liabilities</w:t>
            </w:r>
          </w:p>
        </w:tc>
        <w:tc>
          <w:tcPr>
            <w:tcW w:w="0" w:type="dxa"/>
            <w:vAlign w:val="bottom"/>
          </w:tcPr>
          <w:p>
            <w:pPr>
              <w:spacing w:after="0"/>
              <w:rPr>
                <w:sz w:val="1"/>
                <w:szCs w:val="1"/>
                <w:color w:val="auto"/>
              </w:rPr>
            </w:pPr>
          </w:p>
        </w:tc>
      </w:tr>
      <w:tr>
        <w:trPr>
          <w:trHeight w:val="212"/>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rate swaps - liability</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15,640</w:t>
            </w:r>
          </w:p>
        </w:tc>
        <w:tc>
          <w:tcPr>
            <w:tcW w:w="10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 net</w:t>
            </w: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fair value of derivative instruments - liabilities (1)</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30,495</w:t>
            </w:r>
          </w:p>
        </w:tc>
        <w:tc>
          <w:tcPr>
            <w:tcW w:w="10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interest</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1,237</w:t>
            </w:r>
          </w:p>
        </w:tc>
        <w:tc>
          <w:tcPr>
            <w:tcW w:w="10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and other current liabilities</w:t>
            </w:r>
          </w:p>
        </w:tc>
        <w:tc>
          <w:tcPr>
            <w:tcW w:w="0" w:type="dxa"/>
            <w:vAlign w:val="bottom"/>
          </w:tcPr>
          <w:p>
            <w:pPr>
              <w:spacing w:after="0"/>
              <w:rPr>
                <w:sz w:val="1"/>
                <w:szCs w:val="1"/>
                <w:color w:val="auto"/>
              </w:rPr>
            </w:pPr>
          </w:p>
        </w:tc>
      </w:tr>
      <w:tr>
        <w:trPr>
          <w:trHeight w:val="235"/>
        </w:trPr>
        <w:tc>
          <w:tcPr>
            <w:tcW w:w="4700" w:type="dxa"/>
            <w:vAlign w:val="bottom"/>
          </w:tcPr>
          <w:p>
            <w:pPr>
              <w:spacing w:after="0"/>
              <w:rPr>
                <w:sz w:val="20"/>
                <w:szCs w:val="20"/>
                <w:color w:val="auto"/>
              </w:rPr>
            </w:pPr>
            <w:r>
              <w:rPr>
                <w:rFonts w:ascii="Arial" w:cs="Arial" w:eastAsia="Arial" w:hAnsi="Arial"/>
                <w:sz w:val="15"/>
                <w:szCs w:val="15"/>
                <w:color w:val="auto"/>
              </w:rPr>
              <w:t>____________________</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See Note 15 -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for fair value discussion of the interest rate swaps.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effects of the swap agreements on Net income (loss)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780" w:type="dxa"/>
            <w:vAlign w:val="bottom"/>
            <w:gridSpan w:val="4"/>
          </w:tcPr>
          <w:p>
            <w:pPr>
              <w:ind w:left="340"/>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05"/>
              <w:spacing w:after="0"/>
              <w:rPr>
                <w:sz w:val="20"/>
                <w:szCs w:val="20"/>
                <w:color w:val="auto"/>
              </w:rPr>
            </w:pPr>
            <w:r>
              <w:rPr>
                <w:rFonts w:ascii="Arial" w:cs="Arial" w:eastAsia="Arial" w:hAnsi="Arial"/>
                <w:sz w:val="14"/>
                <w:szCs w:val="14"/>
                <w:b w:val="1"/>
                <w:bCs w:val="1"/>
                <w:color w:val="auto"/>
                <w:w w:val="98"/>
              </w:rPr>
              <w:t>JUNE 28, 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JUNE 28, 2020</w:t>
            </w:r>
          </w:p>
        </w:tc>
      </w:tr>
      <w:tr>
        <w:trPr>
          <w:trHeight w:val="20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 expense recognized in Interest expense, net</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center"/>
              <w:ind w:left="666"/>
              <w:spacing w:after="0"/>
              <w:rPr>
                <w:sz w:val="20"/>
                <w:szCs w:val="20"/>
                <w:color w:val="auto"/>
              </w:rPr>
            </w:pPr>
            <w:r>
              <w:rPr>
                <w:rFonts w:ascii="Arial" w:cs="Arial" w:eastAsia="Arial" w:hAnsi="Arial"/>
                <w:sz w:val="15"/>
                <w:szCs w:val="15"/>
                <w:color w:val="auto"/>
                <w:w w:val="92"/>
              </w:rPr>
              <w:t>(6,082)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center"/>
              <w:ind w:left="665"/>
              <w:spacing w:after="0"/>
              <w:rPr>
                <w:sz w:val="20"/>
                <w:szCs w:val="20"/>
                <w:color w:val="auto"/>
              </w:rPr>
            </w:pPr>
            <w:r>
              <w:rPr>
                <w:rFonts w:ascii="Arial" w:cs="Arial" w:eastAsia="Arial" w:hAnsi="Arial"/>
                <w:sz w:val="15"/>
                <w:szCs w:val="15"/>
                <w:color w:val="auto"/>
                <w:w w:val="96"/>
              </w:rPr>
              <w:t>(5,362)</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benefit recognized in Provision (benefit) for income taxes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686"/>
              <w:spacing w:after="0"/>
              <w:rPr>
                <w:sz w:val="20"/>
                <w:szCs w:val="20"/>
                <w:color w:val="auto"/>
              </w:rPr>
            </w:pPr>
            <w:r>
              <w:rPr>
                <w:rFonts w:ascii="Arial" w:cs="Arial" w:eastAsia="Arial" w:hAnsi="Arial"/>
                <w:sz w:val="15"/>
                <w:szCs w:val="15"/>
                <w:color w:val="auto"/>
                <w:w w:val="90"/>
              </w:rPr>
              <w:t>1,565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705"/>
              <w:spacing w:after="0"/>
              <w:rPr>
                <w:sz w:val="20"/>
                <w:szCs w:val="20"/>
                <w:color w:val="auto"/>
              </w:rPr>
            </w:pPr>
            <w:r>
              <w:rPr>
                <w:rFonts w:ascii="Arial" w:cs="Arial" w:eastAsia="Arial" w:hAnsi="Arial"/>
                <w:sz w:val="15"/>
                <w:szCs w:val="15"/>
                <w:color w:val="auto"/>
                <w:w w:val="90"/>
              </w:rPr>
              <w:t>1,381</w:t>
            </w:r>
          </w:p>
        </w:tc>
      </w:tr>
      <w:tr>
        <w:trPr>
          <w:trHeight w:val="231"/>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effects on Net income (loss)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center"/>
              <w:ind w:left="666"/>
              <w:spacing w:after="0"/>
              <w:rPr>
                <w:sz w:val="20"/>
                <w:szCs w:val="20"/>
                <w:color w:val="auto"/>
              </w:rPr>
            </w:pPr>
            <w:r>
              <w:rPr>
                <w:rFonts w:ascii="Arial" w:cs="Arial" w:eastAsia="Arial" w:hAnsi="Arial"/>
                <w:sz w:val="15"/>
                <w:szCs w:val="15"/>
                <w:color w:val="auto"/>
                <w:w w:val="92"/>
              </w:rPr>
              <w:t>(4,517)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center"/>
              <w:ind w:left="665"/>
              <w:spacing w:after="0"/>
              <w:rPr>
                <w:sz w:val="20"/>
                <w:szCs w:val="20"/>
                <w:color w:val="auto"/>
              </w:rPr>
            </w:pPr>
            <w:r>
              <w:rPr>
                <w:rFonts w:ascii="Arial" w:cs="Arial" w:eastAsia="Arial" w:hAnsi="Arial"/>
                <w:sz w:val="15"/>
                <w:szCs w:val="15"/>
                <w:color w:val="auto"/>
                <w:w w:val="96"/>
              </w:rPr>
              <w:t>(3,981)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June 27, 2021, all counterparties to the interest rate swaps had performed in accordance with their contractual obligations.</w:t>
      </w:r>
    </w:p>
    <w:p>
      <w:pPr>
        <w:spacing w:after="0" w:line="206"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As of June 27, 2021 and December 27, 2020, the fair value of the Company’s interest rate swaps was in a net liability position, including accrued interest but excluding any adjustment for nonperformance risk, of $12.0 million and $32.2 million, respectively. As of June 27, 2021 and December 27, 2020, the Company has not posted any collateral related to these agreements. If the Company had breached any of these provisions as of June 27, 2021 and December 27, 2020, it could have been required to settle its obligations under the agreements at their termination value of $12.0 million and $32.2 million, respectively.</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6"/>
          <w:szCs w:val="16"/>
          <w:color w:val="auto"/>
        </w:rPr>
        <w:t>Leases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following table includes a detail of lease assets and liabilities included on the Company’s Consolidated Balance Sheets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CONSOLIDATED BALANCE SHEET CLASSIFICATION</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JUNE 27, 2021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 right-of-use assets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1,161,650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1,172,910</w:t>
            </w:r>
          </w:p>
        </w:tc>
      </w:tr>
      <w:tr>
        <w:trPr>
          <w:trHeight w:val="21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Finance lease right-of-use assets (1)</w:t>
            </w: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Property, fixtures and equipment, net</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1,947</w:t>
            </w:r>
          </w:p>
        </w:tc>
      </w:tr>
      <w:tr>
        <w:trPr>
          <w:trHeight w:val="228"/>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lease assets, net</w:t>
            </w:r>
          </w:p>
        </w:tc>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1,163,097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1,174,857</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operating lease liabilities (2)</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and other current liabilities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177,807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176,791</w:t>
            </w:r>
          </w:p>
        </w:tc>
      </w:tr>
      <w:tr>
        <w:trPr>
          <w:trHeight w:val="203"/>
        </w:trPr>
        <w:tc>
          <w:tcPr>
            <w:tcW w:w="3480" w:type="dxa"/>
            <w:vAlign w:val="bottom"/>
          </w:tcPr>
          <w:p>
            <w:pPr>
              <w:ind w:left="20"/>
              <w:spacing w:after="0"/>
              <w:rPr>
                <w:sz w:val="20"/>
                <w:szCs w:val="20"/>
                <w:color w:val="auto"/>
              </w:rPr>
            </w:pPr>
            <w:r>
              <w:rPr>
                <w:rFonts w:ascii="Arial" w:cs="Arial" w:eastAsia="Arial" w:hAnsi="Arial"/>
                <w:sz w:val="15"/>
                <w:szCs w:val="15"/>
                <w:color w:val="auto"/>
              </w:rPr>
              <w:t>Current finance lease liabilities</w:t>
            </w:r>
          </w:p>
        </w:tc>
        <w:tc>
          <w:tcPr>
            <w:tcW w:w="3720" w:type="dxa"/>
            <w:vAlign w:val="bottom"/>
            <w:gridSpan w:val="2"/>
          </w:tcPr>
          <w:p>
            <w:pPr>
              <w:spacing w:after="0"/>
              <w:rPr>
                <w:sz w:val="20"/>
                <w:szCs w:val="20"/>
                <w:color w:val="auto"/>
              </w:rPr>
            </w:pPr>
            <w:r>
              <w:rPr>
                <w:rFonts w:ascii="Arial" w:cs="Arial" w:eastAsia="Arial" w:hAnsi="Arial"/>
                <w:sz w:val="15"/>
                <w:szCs w:val="15"/>
                <w:color w:val="auto"/>
              </w:rPr>
              <w:t>Current portion of long-term debt</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1,210</w:t>
            </w: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operating lease liabilities (3)</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Non-current operating lease liabilities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1,206,269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1,216,666</w:t>
            </w:r>
          </w:p>
        </w:tc>
      </w:tr>
      <w:tr>
        <w:trPr>
          <w:trHeight w:val="21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Non-current finance lease liabilities</w:t>
            </w: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Long-term debt, net</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974</w:t>
            </w:r>
          </w:p>
        </w:tc>
      </w:tr>
      <w:tr>
        <w:trPr>
          <w:trHeight w:val="228"/>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lease liabilities</w:t>
            </w:r>
          </w:p>
        </w:tc>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1,385,715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1,395,641</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Net of accumulated amortization of $2.8 million and $2.3 million as of June 27, 2021 and December 27, 2020, respectively.</w:t>
      </w:r>
    </w:p>
    <w:p>
      <w:pPr>
        <w:spacing w:after="0" w:line="8" w:lineRule="exact"/>
        <w:rPr>
          <w:rFonts w:ascii="Arial" w:cs="Arial" w:eastAsia="Arial" w:hAnsi="Arial"/>
          <w:sz w:val="15"/>
          <w:szCs w:val="15"/>
          <w:color w:val="auto"/>
        </w:rPr>
      </w:pPr>
    </w:p>
    <w:p>
      <w:pPr>
        <w:ind w:left="620" w:hanging="617"/>
        <w:spacing w:after="0" w:line="251" w:lineRule="auto"/>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Excludes COVID-19-related deferred rent accruals of $3.4 million and $12.8 million as of June 27, 2021 and December 27, 2020, respectively, and accrued contingent percentage rent of $3.3 million and $2.7 million, as of June 27, 2021 and December 27, 2020, respectively.</w:t>
      </w:r>
    </w:p>
    <w:p>
      <w:pPr>
        <w:ind w:left="620" w:hanging="617"/>
        <w:spacing w:after="0"/>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Excludes COVID-19-related non-current deferred rent accruals of $0.8 million and $1.2 million as of June 27, 2021 and December 27, 2020,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Statements of Operations and</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Comprehensive Income (Loss) for the periods indicated: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6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CONSOLIDATED STATEMENTS OF</w:t>
            </w:r>
          </w:p>
        </w:tc>
        <w:tc>
          <w:tcPr>
            <w:tcW w:w="180" w:type="dxa"/>
            <w:vAlign w:val="bottom"/>
          </w:tcPr>
          <w:p>
            <w:pPr>
              <w:spacing w:after="0"/>
              <w:rPr>
                <w:sz w:val="14"/>
                <w:szCs w:val="14"/>
                <w:color w:val="auto"/>
              </w:rPr>
            </w:pPr>
          </w:p>
        </w:tc>
        <w:tc>
          <w:tcPr>
            <w:tcW w:w="2740" w:type="dxa"/>
            <w:vAlign w:val="bottom"/>
            <w:gridSpan w:val="4"/>
            <w:vMerge w:val="restart"/>
          </w:tcPr>
          <w:p>
            <w:pPr>
              <w:jc w:val="right"/>
              <w:ind w:right="504"/>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4"/>
            <w:vMerge w:val="restart"/>
          </w:tcPr>
          <w:p>
            <w:pPr>
              <w:jc w:val="right"/>
              <w:ind w:right="424"/>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09"/>
        </w:trPr>
        <w:tc>
          <w:tcPr>
            <w:tcW w:w="2580" w:type="dxa"/>
            <w:vAlign w:val="bottom"/>
          </w:tcPr>
          <w:p>
            <w:pPr>
              <w:spacing w:after="0"/>
              <w:rPr>
                <w:sz w:val="9"/>
                <w:szCs w:val="9"/>
                <w:color w:val="auto"/>
              </w:rPr>
            </w:pPr>
          </w:p>
        </w:tc>
        <w:tc>
          <w:tcPr>
            <w:tcW w:w="2680" w:type="dxa"/>
            <w:vAlign w:val="bottom"/>
            <w:gridSpan w:val="2"/>
          </w:tcPr>
          <w:p>
            <w:pPr>
              <w:ind w:left="40"/>
              <w:spacing w:after="0" w:line="109" w:lineRule="exact"/>
              <w:rPr>
                <w:sz w:val="20"/>
                <w:szCs w:val="20"/>
                <w:color w:val="auto"/>
              </w:rPr>
            </w:pPr>
            <w:r>
              <w:rPr>
                <w:rFonts w:ascii="Arial" w:cs="Arial" w:eastAsia="Arial" w:hAnsi="Arial"/>
                <w:sz w:val="11"/>
                <w:szCs w:val="11"/>
                <w:b w:val="1"/>
                <w:bCs w:val="1"/>
                <w:color w:val="auto"/>
              </w:rPr>
              <w:t>OPERATIONS AND COMPREHENSIVE</w:t>
            </w:r>
          </w:p>
        </w:tc>
        <w:tc>
          <w:tcPr>
            <w:tcW w:w="18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5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INCOME (LOSS) CLASSIFICATION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w w:val="98"/>
              </w:rPr>
              <w:t>JUNE 27, 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w w:val="98"/>
              </w:rPr>
              <w:t>JUNE 28, 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w w:val="98"/>
              </w:rPr>
              <w:t>JUNE 27, 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8"/>
              </w:rPr>
              <w:t>JUNE 28, 2020</w:t>
            </w: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leases (1)</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88,555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88,658</w:t>
            </w:r>
          </w:p>
        </w:tc>
        <w:tc>
          <w:tcPr>
            <w:tcW w:w="0" w:type="dxa"/>
            <w:vAlign w:val="bottom"/>
          </w:tcPr>
          <w:p>
            <w:pPr>
              <w:spacing w:after="0"/>
              <w:rPr>
                <w:sz w:val="1"/>
                <w:szCs w:val="1"/>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5"/>
                <w:szCs w:val="15"/>
                <w:color w:val="auto"/>
              </w:rPr>
              <w:t>Variable lease cost (2)</w:t>
            </w:r>
          </w:p>
        </w:tc>
        <w:tc>
          <w:tcPr>
            <w:tcW w:w="2680" w:type="dxa"/>
            <w:vAlign w:val="bottom"/>
            <w:gridSpan w:val="2"/>
          </w:tcPr>
          <w:p>
            <w:pPr>
              <w:ind w:left="20"/>
              <w:spacing w:after="0"/>
              <w:rPr>
                <w:sz w:val="20"/>
                <w:szCs w:val="20"/>
                <w:color w:val="auto"/>
              </w:rPr>
            </w:pPr>
            <w:r>
              <w:rPr>
                <w:rFonts w:ascii="Arial" w:cs="Arial" w:eastAsia="Arial" w:hAnsi="Arial"/>
                <w:sz w:val="15"/>
                <w:szCs w:val="15"/>
                <w:color w:val="auto"/>
              </w:rPr>
              <w:t>Other restaurant operating</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1,508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leases</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40"/>
              <w:spacing w:after="0"/>
              <w:rPr>
                <w:sz w:val="20"/>
                <w:szCs w:val="20"/>
                <w:color w:val="auto"/>
              </w:rPr>
            </w:pPr>
            <w:r>
              <w:rPr>
                <w:rFonts w:ascii="Arial" w:cs="Arial" w:eastAsia="Arial" w:hAnsi="Arial"/>
                <w:sz w:val="15"/>
                <w:szCs w:val="15"/>
                <w:color w:val="auto"/>
              </w:rPr>
              <w:t>Amortization of leased assets</w:t>
            </w:r>
          </w:p>
        </w:tc>
        <w:tc>
          <w:tcPr>
            <w:tcW w:w="268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520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on lease liabilities</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12"/>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Sublease revenue (3)</w:t>
            </w:r>
          </w:p>
        </w:tc>
        <w:tc>
          <w:tcPr>
            <w:tcW w:w="26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Franchise and other revenues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(1,786)</w:t>
            </w:r>
          </w:p>
        </w:tc>
        <w:tc>
          <w:tcPr>
            <w:tcW w:w="0" w:type="dxa"/>
            <w:vAlign w:val="bottom"/>
          </w:tcPr>
          <w:p>
            <w:pPr>
              <w:spacing w:after="0"/>
              <w:rPr>
                <w:sz w:val="1"/>
                <w:szCs w:val="1"/>
                <w:color w:val="auto"/>
              </w:rPr>
            </w:pPr>
          </w:p>
        </w:tc>
      </w:tr>
      <w:tr>
        <w:trPr>
          <w:trHeight w:val="231"/>
        </w:trPr>
        <w:tc>
          <w:tcPr>
            <w:tcW w:w="2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Lease costs, net</w:t>
            </w:r>
          </w:p>
        </w:tc>
        <w:tc>
          <w:tcPr>
            <w:tcW w:w="2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41,958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41,973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86,990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87,686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69" w:lineRule="auto"/>
        <w:tabs>
          <w:tab w:leader="none" w:pos="6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rent expense for office facilities and Company-owned closed or subleased properties of $3.2 million and $3.3 million for the thirteen weeks ended June 27, 2021 and June 28, 2020, respectively, and $6.7 million and $6.9 million for the twenty-six weeks ended June 27, 2021 and June 28, 2020, respectively, which is included in General and administrative expense. Also excludes certain supply chain related rent expense of $0.3 million for the thirteen weeks ended June 27, 2021 and June 28, 2020 and $0.6 million for the twenty-six weeks ended June 27, 2021 and June 28, 2020, which is included in Food and beverage costs.</w:t>
      </w:r>
    </w:p>
    <w:p>
      <w:pPr>
        <w:ind w:left="620" w:hanging="617"/>
        <w:spacing w:after="0"/>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COVID-19-related rent abatement for all periods presented.</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Excludes immaterial rental income from Company-owned properties.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is a summary of other impacts to the Company’s Consolidated Financial Statements related to its leases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67"/>
              <w:spacing w:after="0"/>
              <w:rPr>
                <w:sz w:val="20"/>
                <w:szCs w:val="20"/>
                <w:color w:val="auto"/>
              </w:rPr>
            </w:pPr>
            <w:r>
              <w:rPr>
                <w:rFonts w:ascii="Arial" w:cs="Arial" w:eastAsia="Arial" w:hAnsi="Arial"/>
                <w:sz w:val="14"/>
                <w:szCs w:val="14"/>
                <w:b w:val="1"/>
                <w:bCs w:val="1"/>
                <w:color w:val="auto"/>
              </w:rPr>
              <w:t>TWENTY-SIX WEEKS ENDED</w:t>
            </w:r>
          </w:p>
        </w:tc>
      </w:tr>
      <w:tr>
        <w:trPr>
          <w:trHeight w:val="173"/>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Pr>
          <w:p>
            <w:pPr>
              <w:spacing w:after="0"/>
              <w:rPr>
                <w:sz w:val="15"/>
                <w:szCs w:val="15"/>
                <w:color w:val="auto"/>
              </w:rPr>
            </w:pPr>
          </w:p>
        </w:tc>
        <w:tc>
          <w:tcPr>
            <w:tcW w:w="1260" w:type="dxa"/>
            <w:vAlign w:val="bottom"/>
          </w:tcPr>
          <w:p>
            <w:pPr>
              <w:jc w:val="right"/>
              <w:ind w:right="207"/>
              <w:spacing w:after="0"/>
              <w:rPr>
                <w:sz w:val="20"/>
                <w:szCs w:val="20"/>
                <w:color w:val="auto"/>
              </w:rPr>
            </w:pPr>
            <w:r>
              <w:rPr>
                <w:rFonts w:ascii="Arial" w:cs="Arial" w:eastAsia="Arial" w:hAnsi="Arial"/>
                <w:sz w:val="14"/>
                <w:szCs w:val="14"/>
                <w:b w:val="1"/>
                <w:bCs w:val="1"/>
                <w:color w:val="auto"/>
              </w:rPr>
              <w:t>JUNE 28, 2020</w:t>
            </w:r>
          </w:p>
        </w:tc>
      </w:tr>
      <w:tr>
        <w:trPr>
          <w:trHeight w:val="19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201"/>
        </w:trPr>
        <w:tc>
          <w:tcPr>
            <w:tcW w:w="8220" w:type="dxa"/>
            <w:vAlign w:val="bottom"/>
          </w:tcPr>
          <w:p>
            <w:pPr>
              <w:ind w:left="140"/>
              <w:spacing w:after="0"/>
              <w:rPr>
                <w:sz w:val="20"/>
                <w:szCs w:val="20"/>
                <w:color w:val="auto"/>
              </w:rPr>
            </w:pPr>
            <w:r>
              <w:rPr>
                <w:rFonts w:ascii="Arial" w:cs="Arial" w:eastAsia="Arial" w:hAnsi="Arial"/>
                <w:sz w:val="15"/>
                <w:szCs w:val="15"/>
                <w:color w:val="auto"/>
              </w:rPr>
              <w:t>Cash paid for amounts included in the measurement of operating lease liabilities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105,323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75,688</w:t>
            </w:r>
          </w:p>
        </w:tc>
      </w:tr>
    </w:tbl>
    <w:p>
      <w:pPr>
        <w:spacing w:after="0" w:line="298"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6"/>
          <w:szCs w:val="16"/>
          <w:color w:val="auto"/>
        </w:rPr>
        <w:t>Fair Value Measurements</w:t>
      </w: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1</w:t>
            </w:r>
          </w:p>
        </w:tc>
        <w:tc>
          <w:tcPr>
            <w:tcW w:w="10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Unadjusted quoted market prices in active markets for identical assets or liabilities</w:t>
            </w:r>
          </w:p>
        </w:tc>
      </w:tr>
      <w:tr>
        <w:trPr>
          <w:trHeight w:val="203"/>
        </w:trPr>
        <w:tc>
          <w:tcPr>
            <w:tcW w:w="800" w:type="dxa"/>
            <w:vAlign w:val="bottom"/>
          </w:tcPr>
          <w:p>
            <w:pPr>
              <w:ind w:left="20"/>
              <w:spacing w:after="0"/>
              <w:rPr>
                <w:sz w:val="20"/>
                <w:szCs w:val="20"/>
                <w:color w:val="auto"/>
              </w:rPr>
            </w:pPr>
            <w:r>
              <w:rPr>
                <w:rFonts w:ascii="Arial" w:cs="Arial" w:eastAsia="Arial" w:hAnsi="Arial"/>
                <w:sz w:val="15"/>
                <w:szCs w:val="15"/>
                <w:color w:val="auto"/>
              </w:rPr>
              <w:t>Level 2</w:t>
            </w:r>
          </w:p>
        </w:tc>
        <w:tc>
          <w:tcPr>
            <w:tcW w:w="10420" w:type="dxa"/>
            <w:vAlign w:val="bottom"/>
          </w:tcPr>
          <w:p>
            <w:pPr>
              <w:ind w:left="320"/>
              <w:spacing w:after="0"/>
              <w:rPr>
                <w:sz w:val="20"/>
                <w:szCs w:val="20"/>
                <w:color w:val="auto"/>
              </w:rPr>
            </w:pPr>
            <w:r>
              <w:rPr>
                <w:rFonts w:ascii="Arial" w:cs="Arial" w:eastAsia="Arial" w:hAnsi="Arial"/>
                <w:sz w:val="15"/>
                <w:szCs w:val="15"/>
                <w:color w:val="auto"/>
              </w:rPr>
              <w:t>Observable inputs available at measurement date other than quoted prices included in Level 1</w:t>
            </w:r>
          </w:p>
        </w:tc>
      </w:tr>
      <w:tr>
        <w:trPr>
          <w:trHeight w:val="209"/>
        </w:trPr>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3</w:t>
            </w:r>
          </w:p>
        </w:tc>
        <w:tc>
          <w:tcPr>
            <w:tcW w:w="10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Unobservable inputs that cannot be corroborated by observable market data</w:t>
            </w:r>
          </w:p>
        </w:tc>
      </w:tr>
    </w:tbl>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Fair Value Measurements on a Recurring Basis - </w:t>
      </w:r>
      <w:r>
        <w:rPr>
          <w:rFonts w:ascii="Arial" w:cs="Arial" w:eastAsia="Arial" w:hAnsi="Arial"/>
          <w:sz w:val="19"/>
          <w:szCs w:val="19"/>
          <w:color w:val="auto"/>
        </w:rPr>
        <w:t>The following table summarizes the Company’s financial assets and liabilities measured at fair</w:t>
      </w:r>
      <w:r>
        <w:rPr>
          <w:rFonts w:ascii="Arial" w:cs="Arial" w:eastAsia="Arial" w:hAnsi="Arial"/>
          <w:sz w:val="19"/>
          <w:szCs w:val="19"/>
          <w:i w:val="1"/>
          <w:iCs w:val="1"/>
          <w:color w:val="auto"/>
        </w:rPr>
        <w:t xml:space="preserve"> </w:t>
      </w:r>
      <w:r>
        <w:rPr>
          <w:rFonts w:ascii="Arial" w:cs="Arial" w:eastAsia="Arial" w:hAnsi="Arial"/>
          <w:sz w:val="19"/>
          <w:szCs w:val="19"/>
          <w:color w:val="auto"/>
        </w:rPr>
        <w:t>value by hierarchy level on a recurring basis as of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JUNE 27, 2021</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DECEMBER 27, 2020</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86"/>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LEVEL 1</w:t>
            </w:r>
          </w:p>
        </w:tc>
        <w:tc>
          <w:tcPr>
            <w:tcW w:w="180" w:type="dxa"/>
            <w:vAlign w:val="bottom"/>
          </w:tcPr>
          <w:p>
            <w:pPr>
              <w:spacing w:after="0"/>
              <w:rPr>
                <w:sz w:val="16"/>
                <w:szCs w:val="16"/>
                <w:color w:val="auto"/>
              </w:rPr>
            </w:pPr>
          </w:p>
        </w:tc>
        <w:tc>
          <w:tcPr>
            <w:tcW w:w="900" w:type="dxa"/>
            <w:vAlign w:val="bottom"/>
          </w:tcPr>
          <w:p>
            <w:pPr>
              <w:jc w:val="right"/>
              <w:ind w:right="184"/>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LEVEL 1</w:t>
            </w:r>
          </w:p>
        </w:tc>
        <w:tc>
          <w:tcPr>
            <w:tcW w:w="160" w:type="dxa"/>
            <w:vAlign w:val="bottom"/>
          </w:tcPr>
          <w:p>
            <w:pPr>
              <w:spacing w:after="0"/>
              <w:rPr>
                <w:sz w:val="16"/>
                <w:szCs w:val="16"/>
                <w:color w:val="auto"/>
              </w:rPr>
            </w:pPr>
          </w:p>
        </w:tc>
        <w:tc>
          <w:tcPr>
            <w:tcW w:w="920" w:type="dxa"/>
            <w:vAlign w:val="bottom"/>
          </w:tcPr>
          <w:p>
            <w:pPr>
              <w:jc w:val="right"/>
              <w:ind w:right="184"/>
              <w:spacing w:after="0"/>
              <w:rPr>
                <w:sz w:val="20"/>
                <w:szCs w:val="20"/>
                <w:color w:val="auto"/>
              </w:rPr>
            </w:pPr>
            <w:r>
              <w:rPr>
                <w:rFonts w:ascii="Arial" w:cs="Arial" w:eastAsia="Arial" w:hAnsi="Arial"/>
                <w:sz w:val="14"/>
                <w:szCs w:val="14"/>
                <w:b w:val="1"/>
                <w:bCs w:val="1"/>
                <w:color w:val="auto"/>
              </w:rPr>
              <w:t>LEVEL 2</w:t>
            </w:r>
          </w:p>
        </w:tc>
      </w:tr>
      <w:tr>
        <w:trPr>
          <w:trHeight w:val="19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03"/>
        </w:trPr>
        <w:tc>
          <w:tcPr>
            <w:tcW w:w="4160" w:type="dxa"/>
            <w:vAlign w:val="bottom"/>
          </w:tcPr>
          <w:p>
            <w:pPr>
              <w:ind w:left="140"/>
              <w:spacing w:after="0"/>
              <w:rPr>
                <w:sz w:val="20"/>
                <w:szCs w:val="20"/>
                <w:color w:val="auto"/>
              </w:rPr>
            </w:pPr>
            <w:r>
              <w:rPr>
                <w:rFonts w:ascii="Arial" w:cs="Arial" w:eastAsia="Arial" w:hAnsi="Arial"/>
                <w:sz w:val="15"/>
                <w:szCs w:val="15"/>
                <w:color w:val="auto"/>
              </w:rPr>
              <w:t>Cash equivalents: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41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Fixed income funds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15,404</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4160" w:type="dxa"/>
            <w:vAlign w:val="bottom"/>
          </w:tcPr>
          <w:p>
            <w:pPr>
              <w:ind w:left="220"/>
              <w:spacing w:after="0"/>
              <w:rPr>
                <w:sz w:val="20"/>
                <w:szCs w:val="20"/>
                <w:color w:val="auto"/>
              </w:rPr>
            </w:pPr>
            <w:r>
              <w:rPr>
                <w:rFonts w:ascii="Arial" w:cs="Arial" w:eastAsia="Arial" w:hAnsi="Arial"/>
                <w:sz w:val="15"/>
                <w:szCs w:val="15"/>
                <w:color w:val="auto"/>
              </w:rPr>
              <w:t>Money market funds</w:t>
            </w:r>
          </w:p>
        </w:tc>
        <w:tc>
          <w:tcPr>
            <w:tcW w:w="20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14,054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14,054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16,494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16,494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 equivalents: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9"/>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Money market funds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1,790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 recurring fair value measurements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24,508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32,326</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160" w:type="dxa"/>
            <w:vAlign w:val="bottom"/>
          </w:tcPr>
          <w:p>
            <w:pPr>
              <w:ind w:left="140"/>
              <w:spacing w:after="0"/>
              <w:rPr>
                <w:sz w:val="20"/>
                <w:szCs w:val="20"/>
                <w:color w:val="auto"/>
              </w:rPr>
            </w:pPr>
            <w:r>
              <w:rPr>
                <w:rFonts w:ascii="Arial" w:cs="Arial" w:eastAsia="Arial" w:hAnsi="Arial"/>
                <w:sz w:val="15"/>
                <w:szCs w:val="15"/>
                <w:color w:val="auto"/>
              </w:rPr>
              <w:t>Accrued and other current liabilities: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41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Derivative instruments - interest rate swaps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14,855</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14,855</w:t>
            </w:r>
          </w:p>
        </w:tc>
      </w:tr>
      <w:tr>
        <w:trPr>
          <w:trHeight w:val="203"/>
        </w:trPr>
        <w:tc>
          <w:tcPr>
            <w:tcW w:w="4160" w:type="dxa"/>
            <w:vAlign w:val="bottom"/>
          </w:tcPr>
          <w:p>
            <w:pPr>
              <w:ind w:left="140"/>
              <w:spacing w:after="0"/>
              <w:rPr>
                <w:sz w:val="20"/>
                <w:szCs w:val="20"/>
                <w:color w:val="auto"/>
              </w:rPr>
            </w:pPr>
            <w:r>
              <w:rPr>
                <w:rFonts w:ascii="Arial" w:cs="Arial" w:eastAsia="Arial" w:hAnsi="Arial"/>
                <w:sz w:val="15"/>
                <w:szCs w:val="15"/>
                <w:color w:val="auto"/>
              </w:rPr>
              <w:t>Other long-term liabilities: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5"/>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Derivative instruments - interest rate swaps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15,640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15,640</w:t>
            </w:r>
          </w:p>
        </w:tc>
      </w:tr>
      <w:tr>
        <w:trPr>
          <w:trHeight w:val="206"/>
        </w:trPr>
        <w:tc>
          <w:tcPr>
            <w:tcW w:w="4160" w:type="dxa"/>
            <w:vAlign w:val="bottom"/>
          </w:tcPr>
          <w:p>
            <w:pPr>
              <w:ind w:left="20"/>
              <w:spacing w:after="0"/>
              <w:rPr>
                <w:sz w:val="20"/>
                <w:szCs w:val="20"/>
                <w:color w:val="auto"/>
              </w:rPr>
            </w:pPr>
            <w:r>
              <w:rPr>
                <w:rFonts w:ascii="Arial" w:cs="Arial" w:eastAsia="Arial" w:hAnsi="Arial"/>
                <w:sz w:val="15"/>
                <w:szCs w:val="15"/>
                <w:color w:val="auto"/>
              </w:rPr>
              <w:t>Total liability recurring fair value measurements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11,258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11,258</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30,495</w:t>
            </w:r>
          </w:p>
        </w:tc>
        <w:tc>
          <w:tcPr>
            <w:tcW w:w="3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30,495</w:t>
            </w:r>
          </w:p>
        </w:tc>
      </w:tr>
      <w:tr>
        <w:trPr>
          <w:trHeight w:val="20"/>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Fair value of each class of financial instrument is determined based on the following:</w:t>
      </w:r>
    </w:p>
    <w:p>
      <w:pPr>
        <w:spacing w:after="0" w:line="124"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3"/>
          <w:szCs w:val="13"/>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245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line="247" w:lineRule="auto"/>
        <w:rPr>
          <w:sz w:val="20"/>
          <w:szCs w:val="20"/>
          <w:color w:val="auto"/>
        </w:rPr>
      </w:pPr>
      <w:r>
        <w:rPr>
          <w:rFonts w:ascii="Arial" w:cs="Arial" w:eastAsia="Arial" w:hAnsi="Arial"/>
          <w:sz w:val="15"/>
          <w:szCs w:val="15"/>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Carrying value approximates fair value because maturities are less than three months.</w:t>
      </w:r>
    </w:p>
    <w:p>
      <w:pPr>
        <w:spacing w:after="0" w:line="206" w:lineRule="exact"/>
        <w:rPr>
          <w:sz w:val="20"/>
          <w:szCs w:val="20"/>
          <w:color w:val="auto"/>
        </w:rPr>
      </w:pPr>
    </w:p>
    <w:p>
      <w:pPr>
        <w:sectPr>
          <w:pgSz w:w="11900" w:h="16838" w:orient="portrait"/>
          <w:cols w:equalWidth="0" w:num="2">
            <w:col w:w="1980" w:space="480"/>
            <w:col w:w="8780"/>
          </w:cols>
          <w:pgMar w:left="320" w:top="121" w:right="339" w:bottom="1440" w:gutter="0" w:footer="0" w:header="0"/>
          <w:type w:val="continuous"/>
        </w:sectPr>
      </w:pPr>
    </w:p>
    <w:p>
      <w:pPr>
        <w:ind w:left="20"/>
        <w:spacing w:after="0"/>
        <w:tabs>
          <w:tab w:leader="none" w:pos="2440" w:val="left"/>
        </w:tabs>
        <w:rPr>
          <w:sz w:val="20"/>
          <w:szCs w:val="20"/>
          <w:color w:val="auto"/>
        </w:rPr>
      </w:pPr>
      <w:r>
        <w:rPr>
          <w:rFonts w:ascii="Arial" w:cs="Arial" w:eastAsia="Arial" w:hAnsi="Arial"/>
          <w:sz w:val="15"/>
          <w:szCs w:val="15"/>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ind w:left="2460"/>
        <w:spacing w:after="0"/>
        <w:rPr>
          <w:sz w:val="20"/>
          <w:szCs w:val="20"/>
          <w:color w:val="auto"/>
        </w:rPr>
      </w:pPr>
      <w:r>
        <w:rPr>
          <w:rFonts w:ascii="Arial" w:cs="Arial" w:eastAsia="Arial" w:hAnsi="Arial"/>
          <w:sz w:val="13"/>
          <w:szCs w:val="13"/>
          <w:color w:val="auto"/>
        </w:rPr>
        <w:t>derivatives and use observable market-based inputs. The interest rate swaps are valued using a discounted cash flow analysis on the expected</w:t>
      </w:r>
    </w:p>
    <w:p>
      <w:pPr>
        <w:jc w:val="right"/>
        <w:ind w:right="20"/>
        <w:spacing w:after="0" w:line="222" w:lineRule="auto"/>
        <w:rPr>
          <w:sz w:val="20"/>
          <w:szCs w:val="20"/>
          <w:color w:val="auto"/>
        </w:rPr>
      </w:pPr>
      <w:r>
        <w:rPr>
          <w:rFonts w:ascii="Arial" w:cs="Arial" w:eastAsia="Arial" w:hAnsi="Arial"/>
          <w:sz w:val="15"/>
          <w:szCs w:val="15"/>
          <w:color w:val="auto"/>
        </w:rPr>
        <w:t>cash flows of each derivative using observable inputs including interest rate curves and credit spreads. The Company also considers its own</w:t>
      </w:r>
    </w:p>
    <w:p>
      <w:pPr>
        <w:ind w:left="2460"/>
        <w:spacing w:after="0" w:line="231" w:lineRule="auto"/>
        <w:rPr>
          <w:sz w:val="20"/>
          <w:szCs w:val="20"/>
          <w:color w:val="auto"/>
        </w:rPr>
      </w:pPr>
      <w:r>
        <w:rPr>
          <w:rFonts w:ascii="Arial" w:cs="Arial" w:eastAsia="Arial" w:hAnsi="Arial"/>
          <w:sz w:val="14"/>
          <w:szCs w:val="14"/>
          <w:color w:val="auto"/>
        </w:rPr>
        <w:t>nonperformance risk and the respective counterparty’s nonperformance risk in the fair value measurements. As of June 27, 2021 and</w:t>
      </w:r>
    </w:p>
    <w:p>
      <w:pPr>
        <w:ind w:left="2460"/>
        <w:spacing w:after="0" w:line="230" w:lineRule="auto"/>
        <w:rPr>
          <w:sz w:val="20"/>
          <w:szCs w:val="20"/>
          <w:color w:val="auto"/>
        </w:rPr>
      </w:pPr>
      <w:r>
        <w:rPr>
          <w:rFonts w:ascii="Arial" w:cs="Arial" w:eastAsia="Arial" w:hAnsi="Arial"/>
          <w:sz w:val="14"/>
          <w:szCs w:val="14"/>
          <w:color w:val="auto"/>
        </w:rPr>
        <w:t>December 27, 2020, the Company has determined that the credit valuation adjustments are not significant to the overall valuation of its</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 primarily to</w:t>
      </w:r>
      <w:r>
        <w:rPr>
          <w:rFonts w:ascii="Arial" w:cs="Arial" w:eastAsia="Arial" w:hAnsi="Arial"/>
          <w:sz w:val="19"/>
          <w:szCs w:val="19"/>
          <w:i w:val="1"/>
          <w:iCs w:val="1"/>
          <w:color w:val="auto"/>
        </w:rPr>
        <w:t xml:space="preserve"> </w:t>
      </w:r>
      <w:r>
        <w:rPr>
          <w:rFonts w:ascii="Arial" w:cs="Arial" w:eastAsia="Arial" w:hAnsi="Arial"/>
          <w:sz w:val="19"/>
          <w:szCs w:val="19"/>
          <w:color w:val="auto"/>
        </w:rPr>
        <w:t>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1325"/>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284"/>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12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1"/>
                <w:szCs w:val="11"/>
                <w:color w:val="auto"/>
              </w:rPr>
            </w:pPr>
          </w:p>
        </w:tc>
        <w:tc>
          <w:tcPr>
            <w:tcW w:w="18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rPr>
              <w:t>REMAINING CARRYING</w:t>
            </w:r>
          </w:p>
        </w:tc>
        <w:tc>
          <w:tcPr>
            <w:tcW w:w="120" w:type="dxa"/>
            <w:vAlign w:val="bottom"/>
          </w:tcPr>
          <w:p>
            <w:pPr>
              <w:spacing w:after="0"/>
              <w:rPr>
                <w:sz w:val="11"/>
                <w:szCs w:val="11"/>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IMPAIRMENT</w:t>
            </w:r>
          </w:p>
        </w:tc>
        <w:tc>
          <w:tcPr>
            <w:tcW w:w="18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rPr>
              <w:t>REMAINING CARRYING</w:t>
            </w:r>
          </w:p>
        </w:tc>
        <w:tc>
          <w:tcPr>
            <w:tcW w:w="120" w:type="dxa"/>
            <w:vAlign w:val="bottom"/>
          </w:tcPr>
          <w:p>
            <w:pPr>
              <w:spacing w:after="0"/>
              <w:rPr>
                <w:sz w:val="11"/>
                <w:szCs w:val="11"/>
                <w:color w:val="auto"/>
              </w:rPr>
            </w:pPr>
          </w:p>
        </w:tc>
        <w:tc>
          <w:tcPr>
            <w:tcW w:w="16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TOTAL IMPAIRMENT</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140" w:type="dxa"/>
            <w:vAlign w:val="bottom"/>
          </w:tcPr>
          <w:p>
            <w:pPr>
              <w:jc w:val="center"/>
              <w:ind w:left="527"/>
              <w:spacing w:after="0"/>
              <w:rPr>
                <w:sz w:val="20"/>
                <w:szCs w:val="20"/>
                <w:color w:val="auto"/>
              </w:rPr>
            </w:pPr>
            <w:r>
              <w:rPr>
                <w:rFonts w:ascii="Arial" w:cs="Arial" w:eastAsia="Arial" w:hAnsi="Arial"/>
                <w:sz w:val="14"/>
                <w:szCs w:val="14"/>
                <w:b w:val="1"/>
                <w:bCs w:val="1"/>
                <w:color w:val="auto"/>
                <w:w w:val="96"/>
              </w:rPr>
              <w:t>VALUE</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962</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32,404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4,028</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5"/>
                <w:szCs w:val="15"/>
                <w:color w:val="auto"/>
              </w:rPr>
              <w:t>Property, fixtures and equipment (2)</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8,192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5"/>
              <w:spacing w:after="0"/>
              <w:rPr>
                <w:sz w:val="20"/>
                <w:szCs w:val="20"/>
                <w:color w:val="auto"/>
              </w:rPr>
            </w:pPr>
            <w:r>
              <w:rPr>
                <w:rFonts w:ascii="Arial" w:cs="Arial" w:eastAsia="Arial" w:hAnsi="Arial"/>
                <w:sz w:val="15"/>
                <w:szCs w:val="15"/>
                <w:color w:val="auto"/>
              </w:rPr>
              <w:t>4,460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9,992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19,595</w:t>
            </w:r>
          </w:p>
        </w:tc>
        <w:tc>
          <w:tcPr>
            <w:tcW w:w="0" w:type="dxa"/>
            <w:vAlign w:val="bottom"/>
          </w:tcPr>
          <w:p>
            <w:pPr>
              <w:spacing w:after="0"/>
              <w:rPr>
                <w:sz w:val="1"/>
                <w:szCs w:val="1"/>
                <w:color w:val="auto"/>
              </w:rPr>
            </w:pPr>
          </w:p>
        </w:tc>
      </w:tr>
      <w:tr>
        <w:trPr>
          <w:trHeight w:val="215"/>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 and other assets (3)</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13,879</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5,422</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43,144</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23,918</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4"/>
                <w:szCs w:val="14"/>
                <w:b w:val="1"/>
                <w:bCs w:val="1"/>
                <w:color w:val="auto"/>
              </w:rPr>
              <w:t>TWENTY-SIX WEEKS ENDED</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1325"/>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284"/>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12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1"/>
                <w:szCs w:val="11"/>
                <w:color w:val="auto"/>
              </w:rPr>
            </w:pPr>
          </w:p>
        </w:tc>
        <w:tc>
          <w:tcPr>
            <w:tcW w:w="18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rPr>
              <w:t>REMAINING CARRYING</w:t>
            </w:r>
          </w:p>
        </w:tc>
        <w:tc>
          <w:tcPr>
            <w:tcW w:w="120" w:type="dxa"/>
            <w:vAlign w:val="bottom"/>
          </w:tcPr>
          <w:p>
            <w:pPr>
              <w:spacing w:after="0"/>
              <w:rPr>
                <w:sz w:val="11"/>
                <w:szCs w:val="11"/>
                <w:color w:val="auto"/>
              </w:rPr>
            </w:pPr>
          </w:p>
        </w:tc>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 IMPAIRMENT</w:t>
            </w:r>
          </w:p>
        </w:tc>
        <w:tc>
          <w:tcPr>
            <w:tcW w:w="100" w:type="dxa"/>
            <w:vAlign w:val="bottom"/>
            <w:vMerge w:val="restart"/>
          </w:tcPr>
          <w:p>
            <w:pPr>
              <w:spacing w:after="0"/>
              <w:rPr>
                <w:sz w:val="11"/>
                <w:szCs w:val="11"/>
                <w:color w:val="auto"/>
              </w:rPr>
            </w:pPr>
          </w:p>
        </w:tc>
        <w:tc>
          <w:tcPr>
            <w:tcW w:w="18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rPr>
              <w:t>REMAINING CARRYING</w:t>
            </w:r>
          </w:p>
        </w:tc>
        <w:tc>
          <w:tcPr>
            <w:tcW w:w="120" w:type="dxa"/>
            <w:vAlign w:val="bottom"/>
          </w:tcPr>
          <w:p>
            <w:pPr>
              <w:spacing w:after="0"/>
              <w:rPr>
                <w:sz w:val="11"/>
                <w:szCs w:val="11"/>
                <w:color w:val="auto"/>
              </w:rPr>
            </w:pPr>
          </w:p>
        </w:tc>
        <w:tc>
          <w:tcPr>
            <w:tcW w:w="16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TOTAL IMPAIRMENT</w:t>
            </w:r>
          </w:p>
        </w:tc>
        <w:tc>
          <w:tcPr>
            <w:tcW w:w="0" w:type="dxa"/>
            <w:vAlign w:val="bottom"/>
          </w:tcPr>
          <w:p>
            <w:pPr>
              <w:spacing w:after="0"/>
              <w:rPr>
                <w:sz w:val="1"/>
                <w:szCs w:val="1"/>
                <w:color w:val="auto"/>
              </w:rPr>
            </w:pPr>
          </w:p>
        </w:tc>
      </w:tr>
      <w:tr>
        <w:trPr>
          <w:trHeight w:val="186"/>
        </w:trPr>
        <w:tc>
          <w:tcPr>
            <w:tcW w:w="38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ind w:left="527"/>
              <w:spacing w:after="0"/>
              <w:rPr>
                <w:sz w:val="20"/>
                <w:szCs w:val="20"/>
                <w:color w:val="auto"/>
              </w:rPr>
            </w:pPr>
            <w:r>
              <w:rPr>
                <w:rFonts w:ascii="Arial" w:cs="Arial" w:eastAsia="Arial" w:hAnsi="Arial"/>
                <w:sz w:val="14"/>
                <w:szCs w:val="14"/>
                <w:b w:val="1"/>
                <w:bCs w:val="1"/>
                <w:color w:val="auto"/>
                <w:w w:val="96"/>
              </w:rPr>
              <w:t>VALUE</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 held for sale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5"/>
                <w:szCs w:val="15"/>
                <w:color w:val="auto"/>
              </w:rPr>
              <w:t>Operating lease right-of-use assets (1)</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7,651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5"/>
              <w:spacing w:after="0"/>
              <w:rPr>
                <w:sz w:val="20"/>
                <w:szCs w:val="20"/>
                <w:color w:val="auto"/>
              </w:rPr>
            </w:pPr>
            <w:r>
              <w:rPr>
                <w:rFonts w:ascii="Arial" w:cs="Arial" w:eastAsia="Arial" w:hAnsi="Arial"/>
                <w:sz w:val="15"/>
                <w:szCs w:val="15"/>
                <w:color w:val="auto"/>
              </w:rPr>
              <w:t>1,512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85,537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23,591</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fixtures and equipment (2)</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6,052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37,993</w:t>
            </w:r>
          </w:p>
        </w:tc>
        <w:tc>
          <w:tcPr>
            <w:tcW w:w="0" w:type="dxa"/>
            <w:vAlign w:val="bottom"/>
          </w:tcPr>
          <w:p>
            <w:pPr>
              <w:spacing w:after="0"/>
              <w:rPr>
                <w:sz w:val="1"/>
                <w:szCs w:val="1"/>
                <w:color w:val="auto"/>
              </w:rPr>
            </w:pPr>
          </w:p>
        </w:tc>
      </w:tr>
      <w:tr>
        <w:trPr>
          <w:trHeight w:val="212"/>
        </w:trPr>
        <w:tc>
          <w:tcPr>
            <w:tcW w:w="3880" w:type="dxa"/>
            <w:vAlign w:val="bottom"/>
          </w:tcPr>
          <w:p>
            <w:pPr>
              <w:ind w:left="20"/>
              <w:spacing w:after="0"/>
              <w:rPr>
                <w:sz w:val="20"/>
                <w:szCs w:val="20"/>
                <w:color w:val="auto"/>
              </w:rPr>
            </w:pPr>
            <w:r>
              <w:rPr>
                <w:rFonts w:ascii="Arial" w:cs="Arial" w:eastAsia="Arial" w:hAnsi="Arial"/>
                <w:sz w:val="15"/>
                <w:szCs w:val="15"/>
                <w:color w:val="auto"/>
              </w:rPr>
              <w:t>Goodwill and other assets (3)</w:t>
            </w:r>
          </w:p>
        </w:tc>
        <w:tc>
          <w:tcPr>
            <w:tcW w:w="1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2,683</w:t>
            </w:r>
          </w:p>
        </w:tc>
        <w:tc>
          <w:tcPr>
            <w:tcW w:w="0" w:type="dxa"/>
            <w:vAlign w:val="bottom"/>
          </w:tcPr>
          <w:p>
            <w:pPr>
              <w:spacing w:after="0"/>
              <w:rPr>
                <w:sz w:val="1"/>
                <w:szCs w:val="1"/>
                <w:color w:val="auto"/>
              </w:rPr>
            </w:pPr>
          </w:p>
        </w:tc>
      </w:tr>
      <w:tr>
        <w:trPr>
          <w:trHeight w:val="228"/>
        </w:trPr>
        <w:tc>
          <w:tcPr>
            <w:tcW w:w="3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7,564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115,857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64,342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Asset carrying values measured using discounted cash flow models (Level 3).</w:t>
      </w:r>
    </w:p>
    <w:p>
      <w:pPr>
        <w:spacing w:after="0" w:line="8" w:lineRule="exact"/>
        <w:rPr>
          <w:rFonts w:ascii="Arial" w:cs="Arial" w:eastAsia="Arial" w:hAnsi="Arial"/>
          <w:sz w:val="15"/>
          <w:szCs w:val="15"/>
          <w:color w:val="auto"/>
        </w:rPr>
      </w:pPr>
    </w:p>
    <w:p>
      <w:pPr>
        <w:jc w:val="both"/>
        <w:ind w:left="620" w:hanging="617"/>
        <w:spacing w:after="0" w:line="251" w:lineRule="auto"/>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Carrying values measured using Level 2 inputs to estimate fair value totaled $0.5 million and $2.2 million for the thirteen and twenty-six weeks ended June 28, 2020, respectively. All other assets were valued using Level 3 inputs. Third-party market appraisals (Level 2) and discounted cash flow models (Level 3) were used to estimate fair value.</w:t>
      </w:r>
    </w:p>
    <w:p>
      <w:pPr>
        <w:ind w:left="620" w:hanging="617"/>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Other assets generally measured using the quoted market value of comparable assets (Level 2).</w:t>
      </w:r>
    </w:p>
    <w:p>
      <w:pPr>
        <w:spacing w:after="0" w:line="21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 xml:space="preserve">See Note 4 - </w:t>
      </w:r>
      <w:r>
        <w:rPr>
          <w:rFonts w:ascii="Arial" w:cs="Arial" w:eastAsia="Arial" w:hAnsi="Arial"/>
          <w:sz w:val="19"/>
          <w:szCs w:val="19"/>
          <w:i w:val="1"/>
          <w:iCs w:val="1"/>
          <w:color w:val="auto"/>
        </w:rPr>
        <w:t>Impairments and Exit Costs</w:t>
      </w:r>
      <w:r>
        <w:rPr>
          <w:rFonts w:ascii="Arial" w:cs="Arial" w:eastAsia="Arial" w:hAnsi="Arial"/>
          <w:sz w:val="19"/>
          <w:szCs w:val="19"/>
          <w:color w:val="auto"/>
        </w:rPr>
        <w:t xml:space="preserve"> for information regarding impairment charges resulting from the fair value measurement performed on a nonrecurring basis during the thirteen and twenty-six weeks ended June 28, 2020. Projected future cash flows, including discount rate and growth rate assumptions, are derived from then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assessment of impairment for operating locations, the Company determined the fair values of individual operating locations using an income approach, which required discounting projected future cash flows. When determining the stream of projected future cash flows associated with an individual operating location, management made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discounted cash flow estimates at its weighted-average cost of capital applicable to the country in which the measured assets reside.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The following table presents quantitative information related to certain unobservable inputs used in the Company’s Level 3 fair value measurements of Operating lease right-of-use assets and Property, fixtures and equipment for the impairment losses incurred for the periods indicated: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THIRTEEN WEEKS</w:t>
            </w: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TWENTY-SIX WEEKS</w:t>
            </w:r>
          </w:p>
        </w:tc>
      </w:tr>
      <w:tr>
        <w:trPr>
          <w:trHeight w:val="17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640" w:type="dxa"/>
            <w:vAlign w:val="bottom"/>
          </w:tcPr>
          <w:p>
            <w:pPr>
              <w:spacing w:after="0"/>
              <w:rPr>
                <w:sz w:val="14"/>
                <w:szCs w:val="14"/>
                <w:color w:val="auto"/>
              </w:rPr>
            </w:pPr>
          </w:p>
        </w:tc>
      </w:tr>
      <w:tr>
        <w:trPr>
          <w:trHeight w:val="196"/>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JUNE 28, 2020</w:t>
            </w: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28, 2020</w:t>
            </w:r>
          </w:p>
        </w:tc>
      </w:tr>
      <w:tr>
        <w:trPr>
          <w:trHeight w:val="206"/>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Weighted-average cost of capital</w:t>
            </w: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10.9%</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to</w:t>
            </w:r>
          </w:p>
        </w:tc>
        <w:tc>
          <w:tcPr>
            <w:tcW w:w="6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10.9%</w:t>
            </w:r>
          </w:p>
        </w:tc>
      </w:tr>
      <w:tr>
        <w:trPr>
          <w:trHeight w:val="201"/>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Long-term growth rate</w:t>
            </w:r>
          </w:p>
        </w:tc>
        <w:tc>
          <w:tcPr>
            <w:tcW w:w="580" w:type="dxa"/>
            <w:vAlign w:val="bottom"/>
          </w:tcPr>
          <w:p>
            <w:pPr>
              <w:jc w:val="right"/>
              <w:spacing w:after="0"/>
              <w:rPr>
                <w:sz w:val="20"/>
                <w:szCs w:val="20"/>
                <w:color w:val="auto"/>
              </w:rPr>
            </w:pPr>
            <w:r>
              <w:rPr>
                <w:rFonts w:ascii="Arial" w:cs="Arial" w:eastAsia="Arial" w:hAnsi="Arial"/>
                <w:sz w:val="15"/>
                <w:szCs w:val="15"/>
                <w:color w:val="auto"/>
              </w:rPr>
              <w:t>1.5%</w:t>
            </w: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to</w:t>
            </w: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640" w:type="dxa"/>
            <w:vAlign w:val="bottom"/>
          </w:tcPr>
          <w:p>
            <w:pPr>
              <w:jc w:val="right"/>
              <w:ind w:right="27"/>
              <w:spacing w:after="0"/>
              <w:rPr>
                <w:sz w:val="20"/>
                <w:szCs w:val="20"/>
                <w:color w:val="auto"/>
              </w:rPr>
            </w:pPr>
            <w:r>
              <w:rPr>
                <w:rFonts w:ascii="Arial" w:cs="Arial" w:eastAsia="Arial" w:hAnsi="Arial"/>
                <w:sz w:val="15"/>
                <w:szCs w:val="15"/>
                <w:color w:val="auto"/>
              </w:rPr>
              <w:t>1.5%</w:t>
            </w:r>
          </w:p>
        </w:tc>
        <w:tc>
          <w:tcPr>
            <w:tcW w:w="580" w:type="dxa"/>
            <w:vAlign w:val="bottom"/>
          </w:tcPr>
          <w:p>
            <w:pPr>
              <w:jc w:val="center"/>
              <w:spacing w:after="0"/>
              <w:rPr>
                <w:sz w:val="20"/>
                <w:szCs w:val="20"/>
                <w:color w:val="auto"/>
              </w:rPr>
            </w:pPr>
            <w:r>
              <w:rPr>
                <w:rFonts w:ascii="Arial" w:cs="Arial" w:eastAsia="Arial" w:hAnsi="Arial"/>
                <w:sz w:val="15"/>
                <w:szCs w:val="15"/>
                <w:color w:val="auto"/>
                <w:w w:val="95"/>
              </w:rPr>
              <w:t>to</w:t>
            </w:r>
          </w:p>
        </w:tc>
        <w:tc>
          <w:tcPr>
            <w:tcW w:w="640" w:type="dxa"/>
            <w:vAlign w:val="bottom"/>
          </w:tcPr>
          <w:p>
            <w:pPr>
              <w:jc w:val="right"/>
              <w:ind w:right="143"/>
              <w:spacing w:after="0"/>
              <w:rPr>
                <w:sz w:val="20"/>
                <w:szCs w:val="20"/>
                <w:color w:val="auto"/>
              </w:rPr>
            </w:pPr>
            <w:r>
              <w:rPr>
                <w:rFonts w:ascii="Arial" w:cs="Arial" w:eastAsia="Arial" w:hAnsi="Arial"/>
                <w:sz w:val="15"/>
                <w:szCs w:val="15"/>
                <w:color w:val="auto"/>
              </w:rPr>
              <w:t>2.0%</w:t>
            </w:r>
          </w:p>
        </w:tc>
      </w:tr>
    </w:tbl>
    <w:p>
      <w:pPr>
        <w:spacing w:after="0" w:line="29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Interim Disclosures about Fair Value of Financial Instruments - </w:t>
      </w:r>
      <w:r>
        <w:rPr>
          <w:rFonts w:ascii="Arial" w:cs="Arial" w:eastAsia="Arial" w:hAnsi="Arial"/>
          <w:sz w:val="18"/>
          <w:szCs w:val="18"/>
          <w:color w:val="auto"/>
        </w:rPr>
        <w:t>The Company’s non-derivative financial instruments consist of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accounts payable and current and long-term debt. The fair values of cash equivalents, accounts receivable and accounts payable approximate their carrying amounts reported on its Consolidated Balance Sheets due to their short duration.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20" w:type="dxa"/>
            <w:vAlign w:val="bottom"/>
            <w:gridSpan w:val="5"/>
          </w:tcPr>
          <w:p>
            <w:pPr>
              <w:ind w:left="500"/>
              <w:spacing w:after="0"/>
              <w:rPr>
                <w:sz w:val="20"/>
                <w:szCs w:val="20"/>
                <w:color w:val="auto"/>
              </w:rPr>
            </w:pPr>
            <w:r>
              <w:rPr>
                <w:rFonts w:ascii="Arial" w:cs="Arial" w:eastAsia="Arial" w:hAnsi="Arial"/>
                <w:sz w:val="14"/>
                <w:szCs w:val="14"/>
                <w:b w:val="1"/>
                <w:bCs w:val="1"/>
                <w:color w:val="auto"/>
              </w:rPr>
              <w:t>JUNE 27, 2021</w:t>
            </w:r>
          </w:p>
        </w:tc>
        <w:tc>
          <w:tcPr>
            <w:tcW w:w="420" w:type="dxa"/>
            <w:vAlign w:val="bottom"/>
          </w:tcPr>
          <w:p>
            <w:pPr>
              <w:spacing w:after="0"/>
              <w:rPr>
                <w:sz w:val="17"/>
                <w:szCs w:val="17"/>
                <w:color w:val="auto"/>
              </w:rPr>
            </w:pPr>
          </w:p>
        </w:tc>
        <w:tc>
          <w:tcPr>
            <w:tcW w:w="2340" w:type="dxa"/>
            <w:vAlign w:val="bottom"/>
            <w:gridSpan w:val="4"/>
          </w:tcPr>
          <w:p>
            <w:pPr>
              <w:jc w:val="right"/>
              <w:ind w:right="645"/>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129"/>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85"/>
              <w:spacing w:after="0" w:line="129" w:lineRule="exact"/>
              <w:rPr>
                <w:sz w:val="20"/>
                <w:szCs w:val="20"/>
                <w:color w:val="auto"/>
              </w:rPr>
            </w:pPr>
            <w:r>
              <w:rPr>
                <w:rFonts w:ascii="Arial" w:cs="Arial" w:eastAsia="Arial" w:hAnsi="Arial"/>
                <w:sz w:val="14"/>
                <w:szCs w:val="14"/>
                <w:b w:val="1"/>
                <w:bCs w:val="1"/>
                <w:color w:val="auto"/>
                <w:w w:val="99"/>
              </w:rPr>
              <w:t>FAIR VALUE</w:t>
            </w:r>
          </w:p>
        </w:tc>
        <w:tc>
          <w:tcPr>
            <w:tcW w:w="100" w:type="dxa"/>
            <w:vAlign w:val="bottom"/>
          </w:tcPr>
          <w:p>
            <w:pPr>
              <w:spacing w:after="0"/>
              <w:rPr>
                <w:sz w:val="11"/>
                <w:szCs w:val="11"/>
                <w:color w:val="auto"/>
              </w:rPr>
            </w:pPr>
          </w:p>
        </w:tc>
        <w:tc>
          <w:tcPr>
            <w:tcW w:w="14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65"/>
              <w:spacing w:after="0" w:line="12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5620" w:type="dxa"/>
            <w:vAlign w:val="bottom"/>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2</w:t>
            </w:r>
          </w:p>
        </w:tc>
        <w:tc>
          <w:tcPr>
            <w:tcW w:w="14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305"/>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w:t>
            </w:r>
          </w:p>
        </w:tc>
        <w:tc>
          <w:tcPr>
            <w:tcW w:w="4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40"/>
              <w:spacing w:after="0"/>
              <w:rPr>
                <w:sz w:val="20"/>
                <w:szCs w:val="20"/>
                <w:color w:val="auto"/>
              </w:rPr>
            </w:pPr>
            <w:r>
              <w:rPr>
                <w:rFonts w:ascii="Arial" w:cs="Arial" w:eastAsia="Arial" w:hAnsi="Arial"/>
                <w:sz w:val="15"/>
                <w:szCs w:val="15"/>
                <w:color w:val="auto"/>
              </w:rPr>
              <w:t>Term loan A</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196,250</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Revolving credit facility</w:t>
            </w:r>
          </w:p>
        </w:tc>
        <w:tc>
          <w:tcPr>
            <w:tcW w:w="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128,850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rPr>
                <w:sz w:val="20"/>
                <w:szCs w:val="20"/>
                <w:color w:val="auto"/>
              </w:rPr>
            </w:pPr>
            <w:r>
              <w:rPr>
                <w:rFonts w:ascii="Arial" w:cs="Arial" w:eastAsia="Arial" w:hAnsi="Arial"/>
                <w:sz w:val="15"/>
                <w:szCs w:val="15"/>
                <w:color w:val="auto"/>
              </w:rPr>
              <w:t>Former Credit Facility:</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Term loan A</w:t>
            </w:r>
          </w:p>
        </w:tc>
        <w:tc>
          <w:tcPr>
            <w:tcW w:w="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425,000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412,250</w:t>
            </w:r>
          </w:p>
        </w:tc>
        <w:tc>
          <w:tcPr>
            <w:tcW w:w="0" w:type="dxa"/>
            <w:vAlign w:val="bottom"/>
          </w:tcPr>
          <w:p>
            <w:pPr>
              <w:spacing w:after="0"/>
              <w:rPr>
                <w:sz w:val="1"/>
                <w:szCs w:val="1"/>
                <w:color w:val="auto"/>
              </w:rPr>
            </w:pPr>
          </w:p>
        </w:tc>
      </w:tr>
      <w:tr>
        <w:trPr>
          <w:trHeight w:val="203"/>
        </w:trPr>
        <w:tc>
          <w:tcPr>
            <w:tcW w:w="5620" w:type="dxa"/>
            <w:vAlign w:val="bottom"/>
          </w:tcPr>
          <w:p>
            <w:pPr>
              <w:ind w:left="140"/>
              <w:spacing w:after="0"/>
              <w:rPr>
                <w:sz w:val="20"/>
                <w:szCs w:val="20"/>
                <w:color w:val="auto"/>
              </w:rPr>
            </w:pPr>
            <w:r>
              <w:rPr>
                <w:rFonts w:ascii="Arial" w:cs="Arial" w:eastAsia="Arial" w:hAnsi="Arial"/>
                <w:sz w:val="15"/>
                <w:szCs w:val="15"/>
                <w:color w:val="auto"/>
              </w:rPr>
              <w:t>Revolving credit facility</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447,000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419,612</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2025 Notes</w:t>
            </w:r>
          </w:p>
        </w:tc>
        <w:tc>
          <w:tcPr>
            <w:tcW w:w="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559,450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413,818</w:t>
            </w:r>
          </w:p>
        </w:tc>
        <w:tc>
          <w:tcPr>
            <w:tcW w:w="0" w:type="dxa"/>
            <w:vAlign w:val="bottom"/>
          </w:tcPr>
          <w:p>
            <w:pPr>
              <w:spacing w:after="0"/>
              <w:rPr>
                <w:sz w:val="1"/>
                <w:szCs w:val="1"/>
                <w:color w:val="auto"/>
              </w:rPr>
            </w:pPr>
          </w:p>
        </w:tc>
      </w:tr>
      <w:tr>
        <w:trPr>
          <w:trHeight w:val="218"/>
        </w:trPr>
        <w:tc>
          <w:tcPr>
            <w:tcW w:w="5620" w:type="dxa"/>
            <w:vAlign w:val="bottom"/>
          </w:tcPr>
          <w:p>
            <w:pPr>
              <w:ind w:left="40"/>
              <w:spacing w:after="0"/>
              <w:rPr>
                <w:sz w:val="20"/>
                <w:szCs w:val="20"/>
                <w:color w:val="auto"/>
              </w:rPr>
            </w:pPr>
            <w:r>
              <w:rPr>
                <w:rFonts w:ascii="Arial" w:cs="Arial" w:eastAsia="Arial" w:hAnsi="Arial"/>
                <w:sz w:val="15"/>
                <w:szCs w:val="15"/>
                <w:color w:val="auto"/>
              </w:rPr>
              <w:t>2029 Notes</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307,503</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7"/>
          <w:szCs w:val="17"/>
          <w:color w:val="auto"/>
        </w:rPr>
        <w:t>Allowance for Expected Credit Losses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the Company’s trade receivables allowance for expected credit losses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980" w:type="dxa"/>
            <w:vAlign w:val="bottom"/>
            <w:gridSpan w:val="4"/>
          </w:tcPr>
          <w:p>
            <w:pPr>
              <w:jc w:val="center"/>
              <w:ind w:right="124"/>
              <w:spacing w:after="0"/>
              <w:rPr>
                <w:sz w:val="20"/>
                <w:szCs w:val="20"/>
                <w:color w:val="auto"/>
              </w:rPr>
            </w:pPr>
            <w:r>
              <w:rPr>
                <w:rFonts w:ascii="Arial" w:cs="Arial" w:eastAsia="Arial" w:hAnsi="Arial"/>
                <w:sz w:val="14"/>
                <w:szCs w:val="14"/>
                <w:b w:val="1"/>
                <w:bCs w:val="1"/>
                <w:color w:val="auto"/>
                <w:w w:val="99"/>
              </w:rPr>
              <w:t>TWENTY-SIX WEEKS ENDED</w:t>
            </w:r>
          </w:p>
        </w:tc>
      </w:tr>
      <w:tr>
        <w:trPr>
          <w:trHeight w:val="186"/>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JUNE 28, 2020</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JUNE 28, 2020</w:t>
            </w:r>
          </w:p>
        </w:tc>
      </w:tr>
      <w:tr>
        <w:trPr>
          <w:trHeight w:val="20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Allowance for expected credit losses, beginning of period</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3,997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4,551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center"/>
              <w:ind w:right="4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w:t>
            </w:r>
          </w:p>
        </w:tc>
      </w:tr>
      <w:tr>
        <w:trPr>
          <w:trHeight w:val="203"/>
        </w:trPr>
        <w:tc>
          <w:tcPr>
            <w:tcW w:w="4960" w:type="dxa"/>
            <w:vAlign w:val="bottom"/>
          </w:tcPr>
          <w:p>
            <w:pPr>
              <w:ind w:left="220"/>
              <w:spacing w:after="0"/>
              <w:rPr>
                <w:sz w:val="20"/>
                <w:szCs w:val="20"/>
                <w:color w:val="auto"/>
              </w:rPr>
            </w:pPr>
            <w:r>
              <w:rPr>
                <w:rFonts w:ascii="Arial" w:cs="Arial" w:eastAsia="Arial" w:hAnsi="Arial"/>
                <w:sz w:val="15"/>
                <w:szCs w:val="15"/>
                <w:color w:val="auto"/>
              </w:rPr>
              <w:t>Adjustment for adoption of ASU No. 2016-13</w:t>
            </w:r>
          </w:p>
        </w:tc>
        <w:tc>
          <w:tcPr>
            <w:tcW w:w="18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1,018</w:t>
            </w:r>
          </w:p>
        </w:tc>
      </w:tr>
      <w:tr>
        <w:trPr>
          <w:trHeight w:val="209"/>
        </w:trPr>
        <w:tc>
          <w:tcPr>
            <w:tcW w:w="49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Provision for expected credit losses (1)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3,349</w:t>
            </w:r>
          </w:p>
        </w:tc>
      </w:tr>
      <w:tr>
        <w:trPr>
          <w:trHeight w:val="199"/>
        </w:trPr>
        <w:tc>
          <w:tcPr>
            <w:tcW w:w="4960" w:type="dxa"/>
            <w:vAlign w:val="bottom"/>
          </w:tcPr>
          <w:p>
            <w:pPr>
              <w:ind w:left="220"/>
              <w:spacing w:after="0"/>
              <w:rPr>
                <w:sz w:val="20"/>
                <w:szCs w:val="20"/>
                <w:color w:val="auto"/>
              </w:rPr>
            </w:pPr>
            <w:r>
              <w:rPr>
                <w:rFonts w:ascii="Arial" w:cs="Arial" w:eastAsia="Arial" w:hAnsi="Arial"/>
                <w:sz w:val="15"/>
                <w:szCs w:val="15"/>
                <w:color w:val="auto"/>
              </w:rPr>
              <w:t>Charge-off of accounts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Allowance for expected credit losses, end of period</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3,989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center"/>
              <w:ind w:right="4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4,566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In March 2020, the Company fully reserved substantially all of its outstanding franchise receivables in response to the economic impact of the COVID-19 pandemic. See Note 2 - </w:t>
      </w:r>
      <w:r>
        <w:rPr>
          <w:rFonts w:ascii="Arial" w:cs="Arial" w:eastAsia="Arial" w:hAnsi="Arial"/>
          <w:sz w:val="15"/>
          <w:szCs w:val="15"/>
          <w:i w:val="1"/>
          <w:iCs w:val="1"/>
          <w:color w:val="auto"/>
        </w:rPr>
        <w:t>COVID-19 Charges</w:t>
      </w:r>
      <w:r>
        <w:rPr>
          <w:rFonts w:ascii="Arial" w:cs="Arial" w:eastAsia="Arial" w:hAnsi="Arial"/>
          <w:sz w:val="15"/>
          <w:szCs w:val="15"/>
          <w:color w:val="auto"/>
        </w:rPr>
        <w:t xml:space="preserve"> for details regarding the impact of the COVID-19 pandemic on the Company’s financial results.</w:t>
      </w:r>
    </w:p>
    <w:p>
      <w:pPr>
        <w:spacing w:after="0" w:line="190"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 xml:space="preserve">The Company is also exposed to credit losses from off-balance sheet lease guarantees primarily related to the divestiture of certain formerly Company-owned restaurant sites. See Note 18 -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details regarding these lease guarantees.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6"/>
          <w:szCs w:val="16"/>
          <w:color w:val="auto"/>
        </w:rPr>
        <w:t>Income Taxes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900" w:type="dxa"/>
            <w:vAlign w:val="bottom"/>
            <w:gridSpan w:val="4"/>
          </w:tcPr>
          <w:p>
            <w:pPr>
              <w:jc w:val="right"/>
              <w:ind w:right="505"/>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JUNE 28, 2020</w:t>
            </w:r>
          </w:p>
        </w:tc>
      </w:tr>
      <w:tr>
        <w:trPr>
          <w:trHeight w:val="206"/>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before provision (benefit) for income taxes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107,574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(128,207)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183,965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(182,276)</w:t>
            </w:r>
          </w:p>
        </w:tc>
      </w:tr>
      <w:tr>
        <w:trPr>
          <w:trHeight w:val="203"/>
        </w:trPr>
        <w:tc>
          <w:tcPr>
            <w:tcW w:w="4940" w:type="dxa"/>
            <w:vAlign w:val="bottom"/>
          </w:tcPr>
          <w:p>
            <w:pPr>
              <w:ind w:left="20"/>
              <w:spacing w:after="0"/>
              <w:rPr>
                <w:sz w:val="20"/>
                <w:szCs w:val="20"/>
                <w:color w:val="auto"/>
              </w:rPr>
            </w:pPr>
            <w:r>
              <w:rPr>
                <w:rFonts w:ascii="Arial" w:cs="Arial" w:eastAsia="Arial" w:hAnsi="Arial"/>
                <w:sz w:val="15"/>
                <w:szCs w:val="15"/>
                <w:color w:val="auto"/>
              </w:rPr>
              <w:t>Provision (benefit) for income taxes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22,688</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65"/>
              <w:spacing w:after="0"/>
              <w:rPr>
                <w:sz w:val="20"/>
                <w:szCs w:val="20"/>
                <w:color w:val="auto"/>
              </w:rPr>
            </w:pPr>
            <w:r>
              <w:rPr>
                <w:rFonts w:ascii="Arial" w:cs="Arial" w:eastAsia="Arial" w:hAnsi="Arial"/>
                <w:sz w:val="15"/>
                <w:szCs w:val="15"/>
                <w:color w:val="auto"/>
              </w:rPr>
              <w:t>(35,779)</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29,281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65"/>
              <w:spacing w:after="0"/>
              <w:rPr>
                <w:sz w:val="20"/>
                <w:szCs w:val="20"/>
                <w:color w:val="auto"/>
              </w:rPr>
            </w:pPr>
            <w:r>
              <w:rPr>
                <w:rFonts w:ascii="Arial" w:cs="Arial" w:eastAsia="Arial" w:hAnsi="Arial"/>
                <w:sz w:val="15"/>
                <w:szCs w:val="15"/>
                <w:color w:val="auto"/>
              </w:rPr>
              <w:t>(55,434)</w:t>
            </w: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Effective income tax rate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30.4 %</w:t>
            </w:r>
          </w:p>
        </w:tc>
      </w:tr>
    </w:tbl>
    <w:p>
      <w:pPr>
        <w:spacing w:after="0" w:line="30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 xml:space="preserve">The effective income tax rate for the thirteen and twenty-six weeks ended June 27, 2021 decreased by 6.8 </w:t>
      </w:r>
      <w:r>
        <w:rPr>
          <w:rFonts w:ascii="Arial" w:cs="Arial" w:eastAsia="Arial" w:hAnsi="Arial"/>
          <w:sz w:val="17"/>
          <w:szCs w:val="17"/>
          <w:color w:val="auto"/>
        </w:rPr>
        <w:t>and</w:t>
      </w:r>
      <w:r>
        <w:rPr>
          <w:rFonts w:ascii="Arial" w:cs="Arial" w:eastAsia="Arial" w:hAnsi="Arial"/>
          <w:sz w:val="19"/>
          <w:szCs w:val="19"/>
          <w:color w:val="auto"/>
        </w:rPr>
        <w:t xml:space="preserve"> 14.5 percentage points, respectively, as compared to the thirteen and twenty-six weeks ended June 28, 2020. These decreases were primarily due to the benefit of FICA tax credits on certain employees’ tips reducing the effective tax rate in 2021 as a result of forecasted pre-tax book income as compared to increasing the effective tax rate in 2020 as a result of forecasted pre-tax book loss.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As of December 27, 2020, the Company had $155.3 million in general business tax credits carryforwards, which have a 20-year carryforward period and are utilized on a first-in, first-out basis. The Company does not expect to increase its general business credit carryforwards in 2021 and currently expects to utilize these tax credit carryforwards within a 10-year period. However, the Company’s ability to utilize these tax credits could be adversely impacted by, among other items, a future ownership change as defined under Section 382 of the Internal Revenue Code.</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has a blended federal and state statutory rate of approximately 26%. The effective income tax rate for the thirteen and twenty-six weeks ended June 27, 2021 was lower than the statutory rate primarily due to the benefit of FICA tax credits on certain employees’ tips.</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7"/>
          <w:szCs w:val="17"/>
          <w:color w:val="auto"/>
        </w:rPr>
        <w:t>Commitments and Contingencies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 xml:space="preserve">Litigation and Other Matters </w:t>
      </w:r>
      <w:r>
        <w:rPr>
          <w:rFonts w:ascii="Arial" w:cs="Arial" w:eastAsia="Arial" w:hAnsi="Arial"/>
          <w:sz w:val="17"/>
          <w:szCs w:val="17"/>
          <w:color w:val="auto"/>
        </w:rPr>
        <w:t>- The Company is subject to legal proceedings, claims and liabilities, such as liquor liability, slip and fall cases, wage-and-hour and other employment-related litigation, which arise in the ordinary course of business. A reserve is recorded when it is both: (i) probable that a loss has occurred and (ii) the amount of loss can be reasonably estimated. There may be instances in which an exposure to loss exceeds the recorded reserve. The Company evaluates, on a quarterly basis, developments in legal proceedings that could cause an increase or decrease in the amount of the reserve that has been previously recorded, or a revision to the disclosed estimated range of possible losses, as applicable.</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Company’s legal proceedings range from cases brought by a single plaintiff to threatened class actions with many putative class members. While some matters pending against the Company specify the damages claimed by the plaintiff or class, many seek an unspecified amount of damages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Company recorded reserves of $5.9 million and $4.6 million for certain of its outstanding legal proceedings as of June 27, 2021 and December 27, 2020, respectively, within Accrued and other current liabilities and Other long-term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and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 liquidity, or financial condition could be materially affected in a particular future reporting period by the unfavorable resolution of one or more matters or contingencies during such period.</w:t>
      </w:r>
    </w:p>
    <w:p>
      <w:pPr>
        <w:spacing w:after="0" w:line="20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i w:val="1"/>
          <w:iCs w:val="1"/>
          <w:color w:val="auto"/>
        </w:rPr>
        <w:t xml:space="preserve">Lease Guarantees </w:t>
      </w:r>
      <w:r>
        <w:rPr>
          <w:rFonts w:ascii="Arial" w:cs="Arial" w:eastAsia="Arial" w:hAnsi="Arial"/>
          <w:sz w:val="19"/>
          <w:szCs w:val="19"/>
          <w:color w:val="auto"/>
        </w:rPr>
        <w:t>- The Company assigned its interest, and is contingently liable, under certain real estate leases. These leases have varying terms,</w:t>
      </w:r>
      <w:r>
        <w:rPr>
          <w:rFonts w:ascii="Arial" w:cs="Arial" w:eastAsia="Arial" w:hAnsi="Arial"/>
          <w:sz w:val="19"/>
          <w:szCs w:val="19"/>
          <w:i w:val="1"/>
          <w:iCs w:val="1"/>
          <w:color w:val="auto"/>
        </w:rPr>
        <w:t xml:space="preserve"> </w:t>
      </w:r>
      <w:r>
        <w:rPr>
          <w:rFonts w:ascii="Arial" w:cs="Arial" w:eastAsia="Arial" w:hAnsi="Arial"/>
          <w:sz w:val="19"/>
          <w:szCs w:val="19"/>
          <w:color w:val="auto"/>
        </w:rPr>
        <w:t>the latest of which expires in 2032. As of June 27, 2021, the undiscounted payments that the Company could be required to make in the event of non-payment by the primary lessees was approximately $27.9 million. The present value of these potential payments discounted at the Company’s incremental borrowing rate as of June 27, 2021 was approximately $22.9 million. In the event of default, the indemnity clauses in the Company’s purchase and sale agreements govern its ability to pursue and recover damages incurred. As of June 27, 2021, the Company’s recorded contingent lease liability was $10.3 million.</w:t>
      </w:r>
    </w:p>
    <w:p>
      <w:pPr>
        <w:spacing w:after="0" w:line="209"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19.</w:t>
      </w:r>
      <w:r>
        <w:rPr>
          <w:sz w:val="20"/>
          <w:szCs w:val="20"/>
          <w:color w:val="auto"/>
        </w:rPr>
        <w:tab/>
      </w:r>
      <w:r>
        <w:rPr>
          <w:rFonts w:ascii="Arial" w:cs="Arial" w:eastAsia="Arial" w:hAnsi="Arial"/>
          <w:sz w:val="17"/>
          <w:szCs w:val="17"/>
          <w:color w:val="auto"/>
        </w:rPr>
        <w:t>Segment Reporting</w:t>
      </w:r>
    </w:p>
    <w:p>
      <w:pPr>
        <w:spacing w:after="0" w:line="233" w:lineRule="exact"/>
        <w:rPr>
          <w:sz w:val="20"/>
          <w:szCs w:val="20"/>
          <w:color w:val="auto"/>
        </w:rPr>
      </w:pPr>
    </w:p>
    <w:p>
      <w:pPr>
        <w:jc w:val="both"/>
        <w:ind w:right="20"/>
        <w:spacing w:after="0" w:line="282" w:lineRule="auto"/>
        <w:rPr>
          <w:sz w:val="20"/>
          <w:szCs w:val="20"/>
          <w:color w:val="auto"/>
        </w:rPr>
      </w:pPr>
      <w:r>
        <w:rPr>
          <w:rFonts w:ascii="Arial" w:cs="Arial" w:eastAsia="Arial" w:hAnsi="Arial"/>
          <w:sz w:val="17"/>
          <w:szCs w:val="17"/>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(“CEO”), whom the Company has determined to be its Chief Operating Decision Maker (“CODM”). The Company aggregates its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U.S.</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458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3820" w:type="dxa"/>
            <w:vAlign w:val="bottom"/>
            <w:tcBorders>
              <w:top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United States of America</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Bonefish Grill</w:t>
            </w:r>
          </w:p>
        </w:tc>
        <w:tc>
          <w:tcPr>
            <w:tcW w:w="100" w:type="dxa"/>
            <w:vAlign w:val="bottom"/>
            <w:tcBorders>
              <w:right w:val="single" w:sz="8" w:color="auto"/>
            </w:tcBorders>
            <w:shd w:val="clear" w:color="auto" w:fill="CCEEFF"/>
          </w:tcPr>
          <w:p>
            <w:pPr>
              <w:spacing w:after="0"/>
              <w:rPr>
                <w:sz w:val="8"/>
                <w:szCs w:val="8"/>
                <w:color w:val="auto"/>
              </w:rPr>
            </w:pPr>
          </w:p>
        </w:tc>
        <w:tc>
          <w:tcPr>
            <w:tcW w:w="3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660" w:type="dxa"/>
            <w:vAlign w:val="bottom"/>
            <w:tcBorders>
              <w:left w:val="single" w:sz="8" w:color="auto"/>
              <w:right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580" w:type="dxa"/>
            <w:vAlign w:val="bottom"/>
            <w:tcBorders>
              <w:right w:val="single" w:sz="8" w:color="auto"/>
            </w:tcBorders>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3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International</w:t>
            </w: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 Hong Kong/China</w:t>
            </w: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0"/>
                <w:szCs w:val="20"/>
                <w:color w:val="auto"/>
              </w:rPr>
            </w:pPr>
            <w:r>
              <w:rPr>
                <w:rFonts w:ascii="Arial" w:cs="Arial" w:eastAsia="Arial" w:hAnsi="Arial"/>
                <w:sz w:val="15"/>
                <w:szCs w:val="15"/>
                <w:color w:val="auto"/>
              </w:rPr>
              <w:t>_________________</w:t>
            </w:r>
          </w:p>
        </w:tc>
        <w:tc>
          <w:tcPr>
            <w:tcW w:w="10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Includes franchise locations.</w:t>
      </w:r>
    </w:p>
    <w:p>
      <w:pPr>
        <w:spacing w:after="0" w:line="219"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 xml:space="preserve">Segment accounting policies are the same as those described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10-K for the year ended December 27, 2020. Revenues for all segments include only transactions with customers and exclude intersegment revenues. Excluded from Income (loss) from operations for U.S. and international are certain legal and corporate costs not directly related to the performance of the segments, most stock-based compensation expenses and certain bonus expenses.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Total revenues by segment,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780" w:type="dxa"/>
            <w:vAlign w:val="bottom"/>
            <w:gridSpan w:val="4"/>
          </w:tcPr>
          <w:p>
            <w:pPr>
              <w:jc w:val="right"/>
              <w:ind w:right="445"/>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05"/>
              <w:spacing w:after="0"/>
              <w:rPr>
                <w:sz w:val="20"/>
                <w:szCs w:val="20"/>
                <w:color w:val="auto"/>
              </w:rPr>
            </w:pPr>
            <w:r>
              <w:rPr>
                <w:rFonts w:ascii="Arial" w:cs="Arial" w:eastAsia="Arial" w:hAnsi="Arial"/>
                <w:sz w:val="14"/>
                <w:szCs w:val="14"/>
                <w:b w:val="1"/>
                <w:bCs w:val="1"/>
                <w:color w:val="auto"/>
                <w:w w:val="98"/>
              </w:rPr>
              <w:t>JUNE 28, 2020</w:t>
            </w:r>
          </w:p>
        </w:tc>
      </w:tr>
      <w:tr>
        <w:trPr>
          <w:trHeight w:val="19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03"/>
        </w:trPr>
        <w:tc>
          <w:tcPr>
            <w:tcW w:w="5220" w:type="dxa"/>
            <w:vAlign w:val="bottom"/>
          </w:tcPr>
          <w:p>
            <w:pPr>
              <w:ind w:left="220"/>
              <w:spacing w:after="0"/>
              <w:rPr>
                <w:sz w:val="20"/>
                <w:szCs w:val="20"/>
                <w:color w:val="auto"/>
              </w:rPr>
            </w:pPr>
            <w:r>
              <w:rPr>
                <w:rFonts w:ascii="Arial" w:cs="Arial" w:eastAsia="Arial" w:hAnsi="Arial"/>
                <w:sz w:val="15"/>
                <w:szCs w:val="15"/>
                <w:color w:val="auto"/>
              </w:rPr>
              <w:t>U.S.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1,003,058</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537,080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1,907,976</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1,431,577</w:t>
            </w:r>
          </w:p>
        </w:tc>
      </w:tr>
      <w:tr>
        <w:trPr>
          <w:trHeight w:val="215"/>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74,308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41,379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156,863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155,219</w:t>
            </w:r>
          </w:p>
        </w:tc>
      </w:tr>
      <w:tr>
        <w:trPr>
          <w:trHeight w:val="206"/>
        </w:trPr>
        <w:tc>
          <w:tcPr>
            <w:tcW w:w="522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1,077,366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578,459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2,064,839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1,586,796</w:t>
            </w: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following table is a reconciliation of Segment income (loss) from operations to Income (loss) before provision (benefit) for income taxes,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780" w:type="dxa"/>
            <w:vAlign w:val="bottom"/>
            <w:gridSpan w:val="4"/>
          </w:tcPr>
          <w:p>
            <w:pPr>
              <w:jc w:val="right"/>
              <w:ind w:right="4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8"/>
              </w:rPr>
              <w:t>JUNE 28, 2020</w:t>
            </w:r>
          </w:p>
        </w:tc>
      </w:tr>
      <w:tr>
        <w:trPr>
          <w:trHeight w:val="19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Segment income (loss) from operations</w:t>
            </w: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U.S.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165,297</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(62,921)</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287,032</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(51,542)</w:t>
            </w:r>
          </w:p>
        </w:tc>
      </w:tr>
      <w:tr>
        <w:trPr>
          <w:trHeight w:val="229"/>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6,007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(10,283)</w:t>
            </w:r>
          </w:p>
        </w:tc>
      </w:tr>
      <w:tr>
        <w:trPr>
          <w:trHeight w:val="189"/>
        </w:trPr>
        <w:tc>
          <w:tcPr>
            <w:tcW w:w="5220" w:type="dxa"/>
            <w:vAlign w:val="bottom"/>
          </w:tcPr>
          <w:p>
            <w:pPr>
              <w:ind w:left="320"/>
              <w:spacing w:after="0"/>
              <w:rPr>
                <w:sz w:val="20"/>
                <w:szCs w:val="20"/>
                <w:color w:val="auto"/>
              </w:rPr>
            </w:pPr>
            <w:r>
              <w:rPr>
                <w:rFonts w:ascii="Arial" w:cs="Arial" w:eastAsia="Arial" w:hAnsi="Arial"/>
                <w:sz w:val="15"/>
                <w:szCs w:val="15"/>
                <w:color w:val="auto"/>
              </w:rPr>
              <w:t>Total segment income (loss) from operations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167,767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(79,991)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293,039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(61,825)</w:t>
            </w:r>
          </w:p>
        </w:tc>
      </w:tr>
      <w:tr>
        <w:trPr>
          <w:trHeight w:val="229"/>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Unallocated corporate operating expense (1)</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(91,655)</w:t>
            </w:r>
          </w:p>
        </w:tc>
      </w:tr>
      <w:tr>
        <w:trPr>
          <w:trHeight w:val="189"/>
        </w:trPr>
        <w:tc>
          <w:tcPr>
            <w:tcW w:w="5220" w:type="dxa"/>
            <w:vAlign w:val="bottom"/>
          </w:tcPr>
          <w:p>
            <w:pPr>
              <w:ind w:left="320"/>
              <w:spacing w:after="0"/>
              <w:rPr>
                <w:sz w:val="20"/>
                <w:szCs w:val="20"/>
                <w:color w:val="auto"/>
              </w:rPr>
            </w:pPr>
            <w:r>
              <w:rPr>
                <w:rFonts w:ascii="Arial" w:cs="Arial" w:eastAsia="Arial" w:hAnsi="Arial"/>
                <w:sz w:val="15"/>
                <w:szCs w:val="15"/>
                <w:color w:val="auto"/>
              </w:rPr>
              <w:t>Total income (loss) from operations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124,637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(111,912)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215,635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(153,480)</w:t>
            </w: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extinguishment and modification of debt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w:t>
            </w: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Other income (expense), net</w:t>
            </w:r>
          </w:p>
        </w:tc>
        <w:tc>
          <w:tcPr>
            <w:tcW w:w="2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(212)</w:t>
            </w:r>
          </w:p>
        </w:tc>
      </w:tr>
      <w:tr>
        <w:trPr>
          <w:trHeight w:val="215"/>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Interest expense, net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(16,639)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(28,347)</w:t>
            </w:r>
          </w:p>
        </w:tc>
      </w:tr>
      <w:tr>
        <w:trPr>
          <w:trHeight w:val="206"/>
        </w:trPr>
        <w:tc>
          <w:tcPr>
            <w:tcW w:w="5220" w:type="dxa"/>
            <w:vAlign w:val="bottom"/>
          </w:tcPr>
          <w:p>
            <w:pPr>
              <w:ind w:left="440"/>
              <w:spacing w:after="0"/>
              <w:rPr>
                <w:sz w:val="20"/>
                <w:szCs w:val="20"/>
                <w:color w:val="auto"/>
              </w:rPr>
            </w:pPr>
            <w:r>
              <w:rPr>
                <w:rFonts w:ascii="Arial" w:cs="Arial" w:eastAsia="Arial" w:hAnsi="Arial"/>
                <w:sz w:val="15"/>
                <w:szCs w:val="15"/>
                <w:color w:val="auto"/>
              </w:rPr>
              <w:t>Income (loss) before provision (benefit) for income taxes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107,574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(128,207)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183,965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(182,276)</w:t>
            </w: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line="303" w:lineRule="auto"/>
        <w:tabs>
          <w:tab w:leader="none" w:pos="6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thirteen and twenty-six weeks ended June 28, 2020 include $2.4 million and $24.6 million, respectively, of charges that were not allocated to the Company’s segments related to its transformational initiatives, primarily recorded within General and administrative expense and Provision for impaired assets and restaurant closings.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Depreciation and amortization expense by segment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780" w:type="dxa"/>
            <w:vAlign w:val="bottom"/>
            <w:gridSpan w:val="4"/>
          </w:tcPr>
          <w:p>
            <w:pPr>
              <w:jc w:val="right"/>
              <w:ind w:right="4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8"/>
              </w:rPr>
              <w:t>JUNE 28, 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8"/>
              </w:rPr>
              <w:t>JUNE 28, 2020</w:t>
            </w:r>
          </w:p>
        </w:tc>
      </w:tr>
      <w:tr>
        <w:trPr>
          <w:trHeight w:val="19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03"/>
        </w:trPr>
        <w:tc>
          <w:tcPr>
            <w:tcW w:w="5220" w:type="dxa"/>
            <w:vAlign w:val="bottom"/>
          </w:tcPr>
          <w:p>
            <w:pPr>
              <w:ind w:left="220"/>
              <w:spacing w:after="0"/>
              <w:rPr>
                <w:sz w:val="20"/>
                <w:szCs w:val="20"/>
                <w:color w:val="auto"/>
              </w:rPr>
            </w:pPr>
            <w:r>
              <w:rPr>
                <w:rFonts w:ascii="Arial" w:cs="Arial" w:eastAsia="Arial" w:hAnsi="Arial"/>
                <w:sz w:val="15"/>
                <w:szCs w:val="15"/>
                <w:color w:val="auto"/>
              </w:rPr>
              <w:t>U.S.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33,578</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37,308</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67,223</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74,948</w:t>
            </w:r>
          </w:p>
        </w:tc>
      </w:tr>
      <w:tr>
        <w:trPr>
          <w:trHeight w:val="209"/>
        </w:trPr>
        <w:tc>
          <w:tcPr>
            <w:tcW w:w="5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11,286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12,642</w:t>
            </w:r>
          </w:p>
        </w:tc>
      </w:tr>
      <w:tr>
        <w:trPr>
          <w:trHeight w:val="212"/>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Corporate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3,256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6,462</w:t>
            </w:r>
          </w:p>
        </w:tc>
      </w:tr>
      <w:tr>
        <w:trPr>
          <w:trHeight w:val="231"/>
        </w:trPr>
        <w:tc>
          <w:tcPr>
            <w:tcW w:w="5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depreciation and amortization</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45,784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81,765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94,052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capital expenditures by segment for the periods indicated: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27, 2021</w:t>
            </w:r>
          </w:p>
        </w:tc>
        <w:tc>
          <w:tcPr>
            <w:tcW w:w="280" w:type="dxa"/>
            <w:vAlign w:val="bottom"/>
          </w:tcPr>
          <w:p>
            <w:pPr>
              <w:spacing w:after="0"/>
              <w:rPr>
                <w:sz w:val="16"/>
                <w:szCs w:val="16"/>
                <w:color w:val="auto"/>
              </w:rPr>
            </w:pPr>
          </w:p>
        </w:tc>
        <w:tc>
          <w:tcPr>
            <w:tcW w:w="1540" w:type="dxa"/>
            <w:vAlign w:val="bottom"/>
          </w:tcPr>
          <w:p>
            <w:pPr>
              <w:jc w:val="right"/>
              <w:ind w:right="404"/>
              <w:spacing w:after="0"/>
              <w:rPr>
                <w:sz w:val="20"/>
                <w:szCs w:val="20"/>
                <w:color w:val="auto"/>
              </w:rPr>
            </w:pPr>
            <w:r>
              <w:rPr>
                <w:rFonts w:ascii="Arial" w:cs="Arial" w:eastAsia="Arial" w:hAnsi="Arial"/>
                <w:sz w:val="14"/>
                <w:szCs w:val="14"/>
                <w:b w:val="1"/>
                <w:bCs w:val="1"/>
                <w:color w:val="auto"/>
              </w:rPr>
              <w:t>JUNE 28, 2020</w:t>
            </w:r>
          </w:p>
        </w:tc>
      </w:tr>
      <w:tr>
        <w:trPr>
          <w:trHeight w:val="19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Capital expenditures</w:t>
            </w:r>
          </w:p>
        </w:tc>
        <w:tc>
          <w:tcPr>
            <w:tcW w:w="28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r>
      <w:tr>
        <w:trPr>
          <w:trHeight w:val="203"/>
        </w:trPr>
        <w:tc>
          <w:tcPr>
            <w:tcW w:w="7480" w:type="dxa"/>
            <w:vAlign w:val="bottom"/>
          </w:tcPr>
          <w:p>
            <w:pPr>
              <w:ind w:left="200"/>
              <w:spacing w:after="0"/>
              <w:rPr>
                <w:sz w:val="20"/>
                <w:szCs w:val="20"/>
                <w:color w:val="auto"/>
              </w:rPr>
            </w:pPr>
            <w:r>
              <w:rPr>
                <w:rFonts w:ascii="Arial" w:cs="Arial" w:eastAsia="Arial" w:hAnsi="Arial"/>
                <w:sz w:val="15"/>
                <w:szCs w:val="15"/>
                <w:color w:val="auto"/>
              </w:rPr>
              <w:t>U.S.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6"/>
              <w:spacing w:after="0"/>
              <w:rPr>
                <w:sz w:val="20"/>
                <w:szCs w:val="20"/>
                <w:color w:val="auto"/>
              </w:rPr>
            </w:pPr>
            <w:r>
              <w:rPr>
                <w:rFonts w:ascii="Arial" w:cs="Arial" w:eastAsia="Arial" w:hAnsi="Arial"/>
                <w:sz w:val="15"/>
                <w:szCs w:val="15"/>
                <w:color w:val="auto"/>
              </w:rPr>
              <w:t>42,574</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30,692</w:t>
            </w:r>
          </w:p>
        </w:tc>
      </w:tr>
      <w:tr>
        <w:trPr>
          <w:trHeight w:val="209"/>
        </w:trPr>
        <w:tc>
          <w:tcPr>
            <w:tcW w:w="74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International</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5,531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10,914</w:t>
            </w:r>
          </w:p>
        </w:tc>
      </w:tr>
      <w:tr>
        <w:trPr>
          <w:trHeight w:val="212"/>
        </w:trPr>
        <w:tc>
          <w:tcPr>
            <w:tcW w:w="74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Corporate</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3,138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2,471</w:t>
            </w:r>
          </w:p>
        </w:tc>
      </w:tr>
      <w:tr>
        <w:trPr>
          <w:trHeight w:val="231"/>
        </w:trPr>
        <w:tc>
          <w:tcPr>
            <w:tcW w:w="7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capital expenditures</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51,243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44,077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20.</w:t>
      </w:r>
      <w:r>
        <w:rPr>
          <w:sz w:val="20"/>
          <w:szCs w:val="20"/>
          <w:color w:val="auto"/>
        </w:rPr>
        <w:tab/>
      </w:r>
      <w:r>
        <w:rPr>
          <w:rFonts w:ascii="Arial" w:cs="Arial" w:eastAsia="Arial" w:hAnsi="Arial"/>
          <w:sz w:val="16"/>
          <w:szCs w:val="16"/>
          <w:color w:val="auto"/>
        </w:rPr>
        <w:t>Subsequent Events</w:t>
      </w:r>
    </w:p>
    <w:p>
      <w:pPr>
        <w:spacing w:after="0" w:line="23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On August 2, 2021, wholly-owned subsidiaries of the Company entered into the Purchase and Sale of Royalty Payment Stream and Termination of Royalty Agreement (the “Royalty Termination Agreement”) with the Carrabba’s Italian Grill founders (the “Carrabba’s Founders”), pursuant to which the Company’s obligation to pay future royalties on U.S. Carrabba’s Italian Grill restaurant sales and lump sum royalty fees on Carrabba’s Italian Grill restaurants opened outside the U.S. was terminated. Upon execution of the Royalty Termination Agreement, the Company made a cash payment of $61.9 million to the Carrabba’s Founders, which was recorded in Other restaurant operating expense in its Consolidated Statements of Operations and Comprehensive Income (Loss) during the thirteen weeks ended September 26, 2021.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98" w:lineRule="exact"/>
        <w:rPr>
          <w:sz w:val="20"/>
          <w:szCs w:val="20"/>
          <w:color w:val="auto"/>
        </w:rPr>
      </w:pPr>
    </w:p>
    <w:p>
      <w:pPr>
        <w:ind w:left="700" w:hanging="465"/>
        <w:spacing w:after="0"/>
        <w:tabs>
          <w:tab w:leader="none" w:pos="7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Consumer reactions to public health and food safety issues;</w:t>
      </w:r>
    </w:p>
    <w:p>
      <w:pPr>
        <w:spacing w:after="0" w:line="232" w:lineRule="exact"/>
        <w:rPr>
          <w:rFonts w:ascii="Arial" w:cs="Arial" w:eastAsia="Arial" w:hAnsi="Arial"/>
          <w:sz w:val="19"/>
          <w:szCs w:val="19"/>
          <w:color w:val="auto"/>
        </w:rPr>
      </w:pPr>
    </w:p>
    <w:p>
      <w:pPr>
        <w:jc w:val="both"/>
        <w:ind w:left="700" w:hanging="465"/>
        <w:spacing w:after="0" w:line="252" w:lineRule="auto"/>
        <w:tabs>
          <w:tab w:leader="none" w:pos="699"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severity, extent and duration of the COVID-19 pandemic, its impacts on our business and results of operations, financial condition and liquidity, including any adverse impact on our stock price and on the other factors listed below, and the responses of domestic and foreign federal, state and local governments to the pandemic;</w:t>
      </w:r>
    </w:p>
    <w:p>
      <w:pPr>
        <w:spacing w:after="0" w:line="201" w:lineRule="exact"/>
        <w:rPr>
          <w:rFonts w:ascii="Arial" w:cs="Arial" w:eastAsia="Arial" w:hAnsi="Arial"/>
          <w:sz w:val="19"/>
          <w:szCs w:val="19"/>
          <w:color w:val="auto"/>
        </w:rPr>
      </w:pPr>
    </w:p>
    <w:p>
      <w:pPr>
        <w:ind w:left="700" w:hanging="465"/>
        <w:spacing w:after="0"/>
        <w:tabs>
          <w:tab w:leader="none" w:pos="7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Minimum wage increases and additional mandated employee benefits;</w:t>
      </w:r>
    </w:p>
    <w:p>
      <w:pPr>
        <w:spacing w:after="0" w:line="232" w:lineRule="exact"/>
        <w:rPr>
          <w:rFonts w:ascii="Arial" w:cs="Arial" w:eastAsia="Arial" w:hAnsi="Arial"/>
          <w:sz w:val="19"/>
          <w:szCs w:val="19"/>
          <w:color w:val="auto"/>
        </w:rPr>
      </w:pPr>
    </w:p>
    <w:p>
      <w:pPr>
        <w:ind w:left="680" w:hanging="445"/>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44" w:lineRule="exact"/>
        <w:rPr>
          <w:rFonts w:ascii="Arial" w:cs="Arial" w:eastAsia="Arial" w:hAnsi="Arial"/>
          <w:sz w:val="18"/>
          <w:szCs w:val="18"/>
          <w:color w:val="auto"/>
        </w:rPr>
      </w:pPr>
    </w:p>
    <w:p>
      <w:pPr>
        <w:ind w:left="700" w:hanging="465"/>
        <w:spacing w:after="0" w:line="264" w:lineRule="auto"/>
        <w:tabs>
          <w:tab w:leader="none" w:pos="688" w:val="left"/>
        </w:tabs>
        <w:numPr>
          <w:ilvl w:val="0"/>
          <w:numId w:val="34"/>
        </w:numPr>
        <w:rPr>
          <w:rFonts w:ascii="Arial" w:cs="Arial" w:eastAsia="Arial" w:hAnsi="Arial"/>
          <w:sz w:val="19"/>
          <w:szCs w:val="19"/>
          <w:color w:val="auto"/>
        </w:rPr>
      </w:pPr>
      <w:r>
        <w:rPr>
          <w:rFonts w:ascii="Arial" w:cs="Arial" w:eastAsia="Arial" w:hAnsi="Arial"/>
          <w:sz w:val="19"/>
          <w:szCs w:val="19"/>
          <w:color w:val="auto"/>
        </w:rPr>
        <w:t>Economic conditions and their effects on consumer confidence and discretionary spending, consumer traffic, the cost and availability of credit and interest rates;</w:t>
      </w:r>
    </w:p>
    <w:p>
      <w:pPr>
        <w:spacing w:after="0" w:line="189" w:lineRule="exact"/>
        <w:rPr>
          <w:rFonts w:ascii="Arial" w:cs="Arial" w:eastAsia="Arial" w:hAnsi="Arial"/>
          <w:sz w:val="19"/>
          <w:szCs w:val="19"/>
          <w:color w:val="auto"/>
        </w:rPr>
      </w:pPr>
    </w:p>
    <w:p>
      <w:pPr>
        <w:ind w:left="680" w:hanging="445"/>
        <w:spacing w:after="0"/>
        <w:tabs>
          <w:tab w:leader="none" w:pos="6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Our ability to recruit and retain high-quality leadership, restaurant-level management and team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ind w:left="700" w:hanging="465"/>
        <w:spacing w:after="0" w:line="264" w:lineRule="auto"/>
        <w:tabs>
          <w:tab w:leader="none" w:pos="690" w:val="left"/>
        </w:tabs>
        <w:numPr>
          <w:ilvl w:val="0"/>
          <w:numId w:val="35"/>
        </w:numPr>
        <w:rPr>
          <w:rFonts w:ascii="Arial" w:cs="Arial" w:eastAsia="Arial" w:hAnsi="Arial"/>
          <w:sz w:val="19"/>
          <w:szCs w:val="19"/>
          <w:color w:val="auto"/>
        </w:rPr>
      </w:pPr>
      <w:r>
        <w:rPr>
          <w:rFonts w:ascii="Arial" w:cs="Arial" w:eastAsia="Arial" w:hAnsi="Arial"/>
          <w:sz w:val="19"/>
          <w:szCs w:val="19"/>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189" w:lineRule="exact"/>
        <w:rPr>
          <w:rFonts w:ascii="Arial" w:cs="Arial" w:eastAsia="Arial" w:hAnsi="Arial"/>
          <w:sz w:val="19"/>
          <w:szCs w:val="19"/>
          <w:color w:val="auto"/>
        </w:rPr>
      </w:pPr>
    </w:p>
    <w:p>
      <w:pPr>
        <w:ind w:left="700" w:hanging="465"/>
        <w:spacing w:after="0" w:line="264" w:lineRule="auto"/>
        <w:tabs>
          <w:tab w:leader="none" w:pos="691" w:val="left"/>
        </w:tabs>
        <w:numPr>
          <w:ilvl w:val="0"/>
          <w:numId w:val="35"/>
        </w:numPr>
        <w:rPr>
          <w:rFonts w:ascii="Arial" w:cs="Arial" w:eastAsia="Arial" w:hAnsi="Arial"/>
          <w:sz w:val="19"/>
          <w:szCs w:val="19"/>
          <w:color w:val="auto"/>
        </w:rPr>
      </w:pPr>
      <w:r>
        <w:rPr>
          <w:rFonts w:ascii="Arial" w:cs="Arial" w:eastAsia="Arial" w:hAnsi="Arial"/>
          <w:sz w:val="19"/>
          <w:szCs w:val="19"/>
          <w:color w:val="auto"/>
        </w:rPr>
        <w:t>Our ability to protect our information technology systems from interruption or security breach, including cyber security threats, and to protect consumer data and personal employee information;</w:t>
      </w:r>
    </w:p>
    <w:p>
      <w:pPr>
        <w:spacing w:after="0" w:line="189" w:lineRule="exact"/>
        <w:rPr>
          <w:rFonts w:ascii="Arial" w:cs="Arial" w:eastAsia="Arial" w:hAnsi="Arial"/>
          <w:sz w:val="19"/>
          <w:szCs w:val="19"/>
          <w:color w:val="auto"/>
        </w:rPr>
      </w:pPr>
    </w:p>
    <w:p>
      <w:pPr>
        <w:ind w:left="680" w:hanging="445"/>
        <w:spacing w:after="0"/>
        <w:tabs>
          <w:tab w:leader="none" w:pos="6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Fluctuations in the price and availability of commodities;</w:t>
      </w:r>
    </w:p>
    <w:p>
      <w:pPr>
        <w:spacing w:after="0" w:line="232" w:lineRule="exact"/>
        <w:rPr>
          <w:rFonts w:ascii="Arial" w:cs="Arial" w:eastAsia="Arial" w:hAnsi="Arial"/>
          <w:sz w:val="19"/>
          <w:szCs w:val="19"/>
          <w:color w:val="auto"/>
        </w:rPr>
      </w:pPr>
    </w:p>
    <w:p>
      <w:pPr>
        <w:ind w:left="680" w:hanging="445"/>
        <w:spacing w:after="0"/>
        <w:tabs>
          <w:tab w:leader="none" w:pos="6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Dependence on a limited number of suppliers and distributors to meet our beef and other major product supply needs;</w:t>
      </w:r>
    </w:p>
    <w:p>
      <w:pPr>
        <w:spacing w:after="0" w:line="232" w:lineRule="exact"/>
        <w:rPr>
          <w:rFonts w:ascii="Arial" w:cs="Arial" w:eastAsia="Arial" w:hAnsi="Arial"/>
          <w:sz w:val="19"/>
          <w:szCs w:val="19"/>
          <w:color w:val="auto"/>
        </w:rPr>
      </w:pPr>
    </w:p>
    <w:p>
      <w:pPr>
        <w:ind w:left="700" w:hanging="465"/>
        <w:spacing w:after="0" w:line="264" w:lineRule="auto"/>
        <w:tabs>
          <w:tab w:leader="none" w:pos="689"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effects of international economic, political and social conditions and legal systems on our foreign operations and on foreign currency exchange rates;</w:t>
      </w:r>
    </w:p>
    <w:p>
      <w:pPr>
        <w:spacing w:after="0" w:line="189" w:lineRule="exact"/>
        <w:rPr>
          <w:rFonts w:ascii="Arial" w:cs="Arial" w:eastAsia="Arial" w:hAnsi="Arial"/>
          <w:sz w:val="19"/>
          <w:szCs w:val="19"/>
          <w:color w:val="auto"/>
        </w:rPr>
      </w:pPr>
    </w:p>
    <w:p>
      <w:pPr>
        <w:ind w:left="700" w:hanging="465"/>
        <w:spacing w:after="0" w:line="292" w:lineRule="auto"/>
        <w:tabs>
          <w:tab w:leader="none" w:pos="6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comply with governmental laws and regulations, the costs of compliance with such laws and regulations and the effects of changes to applicable laws and regulations, including tax laws and unanticipated liabilities, and the impact of litigation;</w:t>
      </w:r>
    </w:p>
    <w:p>
      <w:pPr>
        <w:spacing w:after="0" w:line="166" w:lineRule="exact"/>
        <w:rPr>
          <w:rFonts w:ascii="Arial" w:cs="Arial" w:eastAsia="Arial" w:hAnsi="Arial"/>
          <w:sz w:val="18"/>
          <w:szCs w:val="18"/>
          <w:color w:val="auto"/>
        </w:rPr>
      </w:pPr>
    </w:p>
    <w:p>
      <w:pPr>
        <w:ind w:left="700" w:hanging="465"/>
        <w:spacing w:after="0" w:line="264" w:lineRule="auto"/>
        <w:tabs>
          <w:tab w:leader="none" w:pos="691" w:val="left"/>
        </w:tabs>
        <w:numPr>
          <w:ilvl w:val="0"/>
          <w:numId w:val="35"/>
        </w:numPr>
        <w:rPr>
          <w:rFonts w:ascii="Arial" w:cs="Arial" w:eastAsia="Arial" w:hAnsi="Arial"/>
          <w:sz w:val="19"/>
          <w:szCs w:val="19"/>
          <w:color w:val="auto"/>
        </w:rPr>
      </w:pPr>
      <w:r>
        <w:rPr>
          <w:rFonts w:ascii="Arial" w:cs="Arial" w:eastAsia="Arial" w:hAnsi="Arial"/>
          <w:sz w:val="19"/>
          <w:szCs w:val="19"/>
          <w:color w:val="auto"/>
        </w:rPr>
        <w:t>Our ability to effectively respond to changes in patterns of consumer traffic, consumer tastes and dietary habits, including by maintaining relationships with third party delivery apps and services;</w:t>
      </w:r>
    </w:p>
    <w:p>
      <w:pPr>
        <w:spacing w:after="0" w:line="189" w:lineRule="exact"/>
        <w:rPr>
          <w:rFonts w:ascii="Arial" w:cs="Arial" w:eastAsia="Arial" w:hAnsi="Arial"/>
          <w:sz w:val="19"/>
          <w:szCs w:val="19"/>
          <w:color w:val="auto"/>
        </w:rPr>
      </w:pPr>
    </w:p>
    <w:p>
      <w:pPr>
        <w:jc w:val="both"/>
        <w:ind w:left="700" w:hanging="465"/>
        <w:spacing w:after="0" w:line="252" w:lineRule="auto"/>
        <w:tabs>
          <w:tab w:leader="none" w:pos="693" w:val="left"/>
        </w:tabs>
        <w:numPr>
          <w:ilvl w:val="0"/>
          <w:numId w:val="35"/>
        </w:numPr>
        <w:rPr>
          <w:rFonts w:ascii="Arial" w:cs="Arial" w:eastAsia="Arial" w:hAnsi="Arial"/>
          <w:sz w:val="19"/>
          <w:szCs w:val="19"/>
          <w:color w:val="auto"/>
        </w:rPr>
      </w:pPr>
      <w:r>
        <w:rPr>
          <w:rFonts w:ascii="Arial" w:cs="Arial" w:eastAsia="Arial" w:hAnsi="Arial"/>
          <w:sz w:val="19"/>
          <w:szCs w:val="19"/>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201" w:lineRule="exact"/>
        <w:rPr>
          <w:rFonts w:ascii="Arial" w:cs="Arial" w:eastAsia="Arial" w:hAnsi="Arial"/>
          <w:sz w:val="19"/>
          <w:szCs w:val="19"/>
          <w:color w:val="auto"/>
        </w:rPr>
      </w:pPr>
    </w:p>
    <w:p>
      <w:pPr>
        <w:ind w:left="700" w:hanging="465"/>
        <w:spacing w:after="0" w:line="264" w:lineRule="auto"/>
        <w:tabs>
          <w:tab w:leader="none" w:pos="692" w:val="left"/>
        </w:tabs>
        <w:numPr>
          <w:ilvl w:val="0"/>
          <w:numId w:val="35"/>
        </w:numPr>
        <w:rPr>
          <w:rFonts w:ascii="Arial" w:cs="Arial" w:eastAsia="Arial" w:hAnsi="Arial"/>
          <w:sz w:val="19"/>
          <w:szCs w:val="19"/>
          <w:color w:val="auto"/>
        </w:rPr>
      </w:pPr>
      <w:r>
        <w:rPr>
          <w:rFonts w:ascii="Arial" w:cs="Arial" w:eastAsia="Arial" w:hAnsi="Arial"/>
          <w:sz w:val="19"/>
          <w:szCs w:val="19"/>
          <w:color w:val="auto"/>
        </w:rPr>
        <w:t>Seasonal and periodic fluctuations in our results and the effects of significant adverse weather conditions and other disasters or unforeseen events;</w:t>
      </w:r>
    </w:p>
    <w:p>
      <w:pPr>
        <w:spacing w:after="0" w:line="189" w:lineRule="exact"/>
        <w:rPr>
          <w:rFonts w:ascii="Arial" w:cs="Arial" w:eastAsia="Arial" w:hAnsi="Arial"/>
          <w:sz w:val="19"/>
          <w:szCs w:val="19"/>
          <w:color w:val="auto"/>
        </w:rPr>
      </w:pPr>
    </w:p>
    <w:p>
      <w:pPr>
        <w:jc w:val="both"/>
        <w:ind w:left="700" w:hanging="465"/>
        <w:spacing w:after="0" w:line="252" w:lineRule="auto"/>
        <w:tabs>
          <w:tab w:leader="none" w:pos="693"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w:t>
      </w:r>
    </w:p>
    <w:p>
      <w:pPr>
        <w:spacing w:after="0" w:line="201" w:lineRule="exact"/>
        <w:rPr>
          <w:rFonts w:ascii="Arial" w:cs="Arial" w:eastAsia="Arial" w:hAnsi="Arial"/>
          <w:sz w:val="19"/>
          <w:szCs w:val="19"/>
          <w:color w:val="auto"/>
        </w:rPr>
      </w:pPr>
    </w:p>
    <w:p>
      <w:pPr>
        <w:ind w:left="700" w:hanging="465"/>
        <w:spacing w:after="0" w:line="264" w:lineRule="auto"/>
        <w:tabs>
          <w:tab w:leader="none" w:pos="694"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impairment in the carrying value of our goodwill or other intangible or long-lived assets and its effect on our financial condition and results of operations; and</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(xviii) Such other factors as discussed in Part I, Item IA. Risk Factors of our Annual Report on Form 10-K for the year ended December 27, 2020.</w:t>
      </w:r>
    </w:p>
    <w:p>
      <w:pPr>
        <w:spacing w:after="0" w:line="25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one of the largest casual dining restaurant companies in the world with a portfolio of leading, differentiated restaurant concepts. As of June 27, 2021, we owned and operated 1,163 restaurants and franchised 321 restaurants across 47 states, Guam and 19 countries. We have four founder-inspired concepts: Outback Steakhouse, Carrabba’s Italian Grill, Bonefish Grill and Fleming’s Prime Steakhouse &amp; Wine Bar.</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Highlights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Our financial highlights for the thirteen weeks ended June 27, 2021 (“second quarter of 2021”) include the following:</w:t>
      </w:r>
    </w:p>
    <w:p>
      <w:pPr>
        <w:spacing w:after="0" w:line="233" w:lineRule="exact"/>
        <w:rPr>
          <w:sz w:val="20"/>
          <w:szCs w:val="20"/>
          <w:color w:val="auto"/>
        </w:rPr>
      </w:pPr>
    </w:p>
    <w:p>
      <w:pPr>
        <w:ind w:left="620" w:hanging="307"/>
        <w:spacing w:after="0" w:line="249" w:lineRule="auto"/>
        <w:tabs>
          <w:tab w:leader="none" w:pos="6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U.S. combined and Outback Steakhouse comparable restaurant sales of 84.6% and 65.8%, respectively, relative to the second quarter of 2020, and 12.1% and 11.3%, respectively, relative to the second quarter of 2019;</w:t>
      </w:r>
    </w:p>
    <w:p>
      <w:pPr>
        <w:ind w:left="620" w:hanging="307"/>
        <w:spacing w:after="0"/>
        <w:tabs>
          <w:tab w:leader="none" w:pos="6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Increase in Total revenues of 86.2% in the second quarter of 2021, as compared to the second quarter of 2020, and 5.4% as compared to the second quarter of 2019;</w:t>
      </w:r>
    </w:p>
    <w:p>
      <w:pPr>
        <w:spacing w:after="0" w:line="1" w:lineRule="exact"/>
        <w:rPr>
          <w:rFonts w:ascii="Arial" w:cs="Arial" w:eastAsia="Arial" w:hAnsi="Arial"/>
          <w:sz w:val="19"/>
          <w:szCs w:val="19"/>
          <w:color w:val="auto"/>
        </w:rPr>
      </w:pPr>
    </w:p>
    <w:p>
      <w:pPr>
        <w:ind w:left="620" w:hanging="307"/>
        <w:spacing w:after="0"/>
        <w:tabs>
          <w:tab w:leader="none" w:pos="6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Restaurant-level operating margin of 20.3% for the second quarter of 2021, as compared to 2.1% and 15.0% for the second quarters of 2020 and 2019, respectively;</w:t>
      </w:r>
    </w:p>
    <w:p>
      <w:pPr>
        <w:spacing w:after="0" w:line="1" w:lineRule="exact"/>
        <w:rPr>
          <w:rFonts w:ascii="Arial" w:cs="Arial" w:eastAsia="Arial" w:hAnsi="Arial"/>
          <w:sz w:val="19"/>
          <w:szCs w:val="19"/>
          <w:color w:val="auto"/>
        </w:rPr>
      </w:pPr>
    </w:p>
    <w:p>
      <w:pPr>
        <w:ind w:left="620" w:hanging="307"/>
        <w:spacing w:after="0"/>
        <w:tabs>
          <w:tab w:leader="none" w:pos="6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Income (loss) from operations of $124.6 million in the second quarter of 2021, as compared to $(111.9) million and $43.5 million in the second quarters of 2020 and 2019, respectively; and</w:t>
      </w:r>
    </w:p>
    <w:p>
      <w:pPr>
        <w:spacing w:after="0" w:line="1" w:lineRule="exact"/>
        <w:rPr>
          <w:rFonts w:ascii="Arial" w:cs="Arial" w:eastAsia="Arial" w:hAnsi="Arial"/>
          <w:sz w:val="19"/>
          <w:szCs w:val="19"/>
          <w:color w:val="auto"/>
        </w:rPr>
      </w:pPr>
    </w:p>
    <w:p>
      <w:pPr>
        <w:ind w:left="620" w:hanging="307"/>
        <w:spacing w:after="0" w:line="247" w:lineRule="auto"/>
        <w:tabs>
          <w:tab w:leader="none" w:pos="6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Diluted earnings (loss) per share attributable to common stockholders of $0.75 in the second quarter of 2021 as compared to $(1.05) and $0.32 in the second quarters of 2020 and 2019,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Performance Indicators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Key measures that we use in evaluating our restaurants and assessing our business include the following:</w:t>
      </w:r>
    </w:p>
    <w:p>
      <w:pPr>
        <w:spacing w:after="0" w:line="233" w:lineRule="exact"/>
        <w:rPr>
          <w:sz w:val="20"/>
          <w:szCs w:val="20"/>
          <w:color w:val="auto"/>
        </w:rPr>
      </w:pPr>
    </w:p>
    <w:p>
      <w:pPr>
        <w:ind w:left="620" w:hanging="307"/>
        <w:spacing w:after="0" w:line="264" w:lineRule="auto"/>
        <w:tabs>
          <w:tab w:leader="none" w:pos="609"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Average restaurant unit volumes </w:t>
      </w:r>
      <w:r>
        <w:rPr>
          <w:rFonts w:ascii="Arial" w:cs="Arial" w:eastAsia="Arial" w:hAnsi="Arial"/>
          <w:sz w:val="19"/>
          <w:szCs w:val="19"/>
          <w:color w:val="auto"/>
        </w:rPr>
        <w:t>— average sales (excluding gift card breakage) per restaurant to measure changes in customer traffic,</w:t>
      </w:r>
      <w:r>
        <w:rPr>
          <w:rFonts w:ascii="Arial" w:cs="Arial" w:eastAsia="Arial" w:hAnsi="Arial"/>
          <w:sz w:val="19"/>
          <w:szCs w:val="19"/>
          <w:i w:val="1"/>
          <w:iCs w:val="1"/>
          <w:color w:val="auto"/>
        </w:rPr>
        <w:t xml:space="preserve"> </w:t>
      </w:r>
      <w:r>
        <w:rPr>
          <w:rFonts w:ascii="Arial" w:cs="Arial" w:eastAsia="Arial" w:hAnsi="Arial"/>
          <w:sz w:val="19"/>
          <w:szCs w:val="19"/>
          <w:color w:val="auto"/>
        </w:rPr>
        <w:t>pricing and development of the brand;</w:t>
      </w:r>
    </w:p>
    <w:p>
      <w:pPr>
        <w:spacing w:after="0" w:line="189" w:lineRule="exact"/>
        <w:rPr>
          <w:rFonts w:ascii="Arial" w:cs="Arial" w:eastAsia="Arial" w:hAnsi="Arial"/>
          <w:sz w:val="19"/>
          <w:szCs w:val="19"/>
          <w:color w:val="auto"/>
        </w:rPr>
      </w:pPr>
    </w:p>
    <w:p>
      <w:pPr>
        <w:jc w:val="both"/>
        <w:ind w:left="620" w:hanging="307"/>
        <w:spacing w:after="0" w:line="252" w:lineRule="auto"/>
        <w:tabs>
          <w:tab w:leader="none" w:pos="609" w:val="left"/>
        </w:tabs>
        <w:numPr>
          <w:ilvl w:val="0"/>
          <w:numId w:val="3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Comparable restaurant sales </w:t>
      </w:r>
      <w:r>
        <w:rPr>
          <w:rFonts w:ascii="Arial" w:cs="Arial" w:eastAsia="Arial" w:hAnsi="Arial"/>
          <w:sz w:val="19"/>
          <w:szCs w:val="19"/>
          <w:color w:val="auto"/>
        </w:rPr>
        <w:t>— year-over-year comparison of sales volumes (excluding gift card breakage) for Company-owned</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restaurants that are open 18 months or more in order to remove the impact of new restaurant openings in comparing the operations of existing restaurants;</w:t>
      </w:r>
    </w:p>
    <w:p>
      <w:pPr>
        <w:spacing w:after="0" w:line="201" w:lineRule="exact"/>
        <w:rPr>
          <w:rFonts w:ascii="Arial" w:cs="Arial" w:eastAsia="Arial" w:hAnsi="Arial"/>
          <w:sz w:val="19"/>
          <w:szCs w:val="19"/>
          <w:i w:val="1"/>
          <w:iCs w:val="1"/>
          <w:color w:val="auto"/>
        </w:rPr>
      </w:pPr>
    </w:p>
    <w:p>
      <w:pPr>
        <w:ind w:left="620" w:hanging="307"/>
        <w:spacing w:after="0" w:line="264" w:lineRule="auto"/>
        <w:tabs>
          <w:tab w:leader="none" w:pos="609"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System-wide sales </w:t>
      </w:r>
      <w:r>
        <w:rPr>
          <w:rFonts w:ascii="Arial" w:cs="Arial" w:eastAsia="Arial" w:hAnsi="Arial"/>
          <w:sz w:val="19"/>
          <w:szCs w:val="19"/>
          <w:color w:val="auto"/>
        </w:rPr>
        <w:t>— total restaurant sales volume for all Company-owned and franchise restaurants, regardless of ownership, to interpret</w:t>
      </w:r>
      <w:r>
        <w:rPr>
          <w:rFonts w:ascii="Arial" w:cs="Arial" w:eastAsia="Arial" w:hAnsi="Arial"/>
          <w:sz w:val="19"/>
          <w:szCs w:val="19"/>
          <w:i w:val="1"/>
          <w:iCs w:val="1"/>
          <w:color w:val="auto"/>
        </w:rPr>
        <w:t xml:space="preserve"> </w:t>
      </w:r>
      <w:r>
        <w:rPr>
          <w:rFonts w:ascii="Arial" w:cs="Arial" w:eastAsia="Arial" w:hAnsi="Arial"/>
          <w:sz w:val="19"/>
          <w:szCs w:val="19"/>
          <w:color w:val="auto"/>
        </w:rPr>
        <w:t>the overall health of our brands;</w:t>
      </w:r>
    </w:p>
    <w:p>
      <w:pPr>
        <w:spacing w:after="0" w:line="189" w:lineRule="exact"/>
        <w:rPr>
          <w:rFonts w:ascii="Arial" w:cs="Arial" w:eastAsia="Arial" w:hAnsi="Arial"/>
          <w:sz w:val="19"/>
          <w:szCs w:val="19"/>
          <w:color w:val="auto"/>
        </w:rPr>
      </w:pPr>
    </w:p>
    <w:p>
      <w:pPr>
        <w:ind w:left="620" w:hanging="307"/>
        <w:spacing w:after="0" w:line="264" w:lineRule="auto"/>
        <w:tabs>
          <w:tab w:leader="none" w:pos="609" w:val="left"/>
        </w:tabs>
        <w:numPr>
          <w:ilvl w:val="0"/>
          <w:numId w:val="3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Restaurant-level operating margin, Income (loss) from operations, Net income (loss) and Diluted earnings (loss) per share </w:t>
      </w:r>
      <w:r>
        <w:rPr>
          <w:rFonts w:ascii="Arial" w:cs="Arial" w:eastAsia="Arial" w:hAnsi="Arial"/>
          <w:sz w:val="19"/>
          <w:szCs w:val="19"/>
          <w:color w:val="auto"/>
        </w:rPr>
        <w:t>—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measures utilized to evaluate our operating performance.</w:t>
      </w:r>
    </w:p>
    <w:p>
      <w:pPr>
        <w:spacing w:after="0" w:line="189" w:lineRule="exact"/>
        <w:rPr>
          <w:rFonts w:ascii="Arial" w:cs="Arial" w:eastAsia="Arial" w:hAnsi="Arial"/>
          <w:sz w:val="19"/>
          <w:szCs w:val="19"/>
          <w:i w:val="1"/>
          <w:iCs w:val="1"/>
          <w:color w:val="auto"/>
        </w:rPr>
      </w:pPr>
    </w:p>
    <w:p>
      <w:pPr>
        <w:jc w:val="both"/>
        <w:ind w:left="620"/>
        <w:spacing w:after="0" w:line="261" w:lineRule="auto"/>
        <w:rPr>
          <w:rFonts w:ascii="Arial" w:cs="Arial" w:eastAsia="Arial" w:hAnsi="Arial"/>
          <w:sz w:val="19"/>
          <w:szCs w:val="19"/>
          <w:i w:val="1"/>
          <w:iCs w:val="1"/>
          <w:color w:val="auto"/>
        </w:rPr>
      </w:pPr>
      <w:r>
        <w:rPr>
          <w:rFonts w:ascii="Arial" w:cs="Arial" w:eastAsia="Arial" w:hAnsi="Arial"/>
          <w:sz w:val="18"/>
          <w:szCs w:val="18"/>
          <w:color w:val="auto"/>
        </w:rPr>
        <w:t>Restaurant-level operating margin is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expenses and Other restaurant operating expenses (including advertising expenses) represent, in each case as such items are reflected in our Consolidated Statements of Operations and Comprehensive Income (Loss). The following categories of our revenue and operating expenses are not included in restaurant-level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operating margin because we do not consider them reflective of operating performance at the restaurant-level within a period:</w:t>
      </w:r>
    </w:p>
    <w:p>
      <w:pPr>
        <w:spacing w:after="0" w:line="233" w:lineRule="exact"/>
        <w:rPr>
          <w:sz w:val="20"/>
          <w:szCs w:val="20"/>
          <w:color w:val="auto"/>
        </w:rPr>
      </w:pPr>
    </w:p>
    <w:p>
      <w:pPr>
        <w:ind w:left="1240" w:hanging="386"/>
        <w:spacing w:after="0" w:line="249" w:lineRule="auto"/>
        <w:tabs>
          <w:tab w:leader="none" w:pos="1238" w:val="left"/>
        </w:tabs>
        <w:numPr>
          <w:ilvl w:val="0"/>
          <w:numId w:val="38"/>
        </w:numPr>
        <w:rPr>
          <w:rFonts w:ascii="Arial" w:cs="Arial" w:eastAsia="Arial" w:hAnsi="Arial"/>
          <w:sz w:val="19"/>
          <w:szCs w:val="19"/>
          <w:color w:val="auto"/>
        </w:rPr>
      </w:pPr>
      <w:r>
        <w:rPr>
          <w:rFonts w:ascii="Arial" w:cs="Arial" w:eastAsia="Arial" w:hAnsi="Arial"/>
          <w:sz w:val="19"/>
          <w:szCs w:val="19"/>
          <w:color w:val="auto"/>
        </w:rPr>
        <w:t>Franchise and other revenues which are earned primarily from franchise royalties and other non-food and beverage revenue streams, such as rental and sublease income.</w:t>
      </w:r>
    </w:p>
    <w:p>
      <w:pPr>
        <w:ind w:left="1240" w:hanging="386"/>
        <w:spacing w:after="0"/>
        <w:tabs>
          <w:tab w:leader="none" w:pos="1239" w:val="left"/>
        </w:tabs>
        <w:numPr>
          <w:ilvl w:val="0"/>
          <w:numId w:val="38"/>
        </w:numPr>
        <w:rPr>
          <w:rFonts w:ascii="Arial" w:cs="Arial" w:eastAsia="Arial" w:hAnsi="Arial"/>
          <w:sz w:val="19"/>
          <w:szCs w:val="19"/>
          <w:color w:val="auto"/>
        </w:rPr>
      </w:pPr>
      <w:r>
        <w:rPr>
          <w:rFonts w:ascii="Arial" w:cs="Arial" w:eastAsia="Arial" w:hAnsi="Arial"/>
          <w:sz w:val="19"/>
          <w:szCs w:val="19"/>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Arial" w:cs="Arial" w:eastAsia="Arial" w:hAnsi="Arial"/>
          <w:sz w:val="19"/>
          <w:szCs w:val="19"/>
          <w:color w:val="auto"/>
        </w:rPr>
      </w:pPr>
    </w:p>
    <w:p>
      <w:pPr>
        <w:ind w:left="1240" w:hanging="386"/>
        <w:spacing w:after="0"/>
        <w:tabs>
          <w:tab w:leader="none" w:pos="12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General and administrative expense which includes primarily non-restaurant-level costs associated with support of the restaurants and other activities at our corporate offices.</w:t>
      </w:r>
    </w:p>
    <w:p>
      <w:pPr>
        <w:spacing w:after="0" w:line="1" w:lineRule="exact"/>
        <w:rPr>
          <w:rFonts w:ascii="Arial" w:cs="Arial" w:eastAsia="Arial" w:hAnsi="Arial"/>
          <w:sz w:val="19"/>
          <w:szCs w:val="19"/>
          <w:color w:val="auto"/>
        </w:rPr>
      </w:pPr>
    </w:p>
    <w:p>
      <w:pPr>
        <w:ind w:left="1220" w:hanging="366"/>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28" w:lineRule="exact"/>
        <w:rPr>
          <w:sz w:val="20"/>
          <w:szCs w:val="20"/>
          <w:color w:val="auto"/>
        </w:rPr>
      </w:pPr>
    </w:p>
    <w:p>
      <w:pPr>
        <w:jc w:val="both"/>
        <w:ind w:left="620"/>
        <w:spacing w:after="0" w:line="246" w:lineRule="auto"/>
        <w:rPr>
          <w:sz w:val="20"/>
          <w:szCs w:val="20"/>
          <w:color w:val="auto"/>
        </w:rPr>
      </w:pPr>
      <w:r>
        <w:rPr>
          <w:rFonts w:ascii="Arial" w:cs="Arial" w:eastAsia="Arial" w:hAnsi="Arial"/>
          <w:sz w:val="19"/>
          <w:szCs w:val="19"/>
          <w:color w:val="auto"/>
        </w:rPr>
        <w:t>Restaurant-level operating margin excludes various expenses, as discussed above, that are essential to support the operations of our restaurants and may materially impact our Consolidated Statements of Operations. As a result, restaurant-level operating margin is not indicative of our consolidated results of operations and is presented exclusively as a supplement to, and not a substitute for, Net income (loss) or Income (loss) from operations. In addition, our presentation of restaurant-level operating margin may not be comparable to similarly titled measures used by other companies in our industry;</w:t>
      </w:r>
    </w:p>
    <w:p>
      <w:pPr>
        <w:spacing w:after="0" w:line="208" w:lineRule="exact"/>
        <w:rPr>
          <w:sz w:val="20"/>
          <w:szCs w:val="20"/>
          <w:color w:val="auto"/>
        </w:rPr>
      </w:pPr>
    </w:p>
    <w:p>
      <w:pPr>
        <w:ind w:left="620" w:hanging="307"/>
        <w:spacing w:after="0" w:line="264" w:lineRule="auto"/>
        <w:tabs>
          <w:tab w:leader="none" w:pos="609" w:val="left"/>
        </w:tabs>
        <w:numPr>
          <w:ilvl w:val="0"/>
          <w:numId w:val="39"/>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Adjusted restaurant-level operating margin, Adjusted income (loss) from operations, Adjusted net income (loss) and Adjusted diluted earnings (loss) per share </w:t>
      </w:r>
      <w:r>
        <w:rPr>
          <w:rFonts w:ascii="Arial" w:cs="Arial" w:eastAsia="Arial" w:hAnsi="Arial"/>
          <w:sz w:val="19"/>
          <w:szCs w:val="19"/>
          <w:color w:val="auto"/>
        </w:rPr>
        <w:t>— non-GAAP financial measures utilized to evaluate our operating performance.</w:t>
      </w:r>
    </w:p>
    <w:p>
      <w:pPr>
        <w:spacing w:after="0" w:line="176" w:lineRule="exact"/>
        <w:rPr>
          <w:rFonts w:ascii="Arial" w:cs="Arial" w:eastAsia="Arial" w:hAnsi="Arial"/>
          <w:sz w:val="19"/>
          <w:szCs w:val="19"/>
          <w:i w:val="1"/>
          <w:iCs w:val="1"/>
          <w:color w:val="auto"/>
        </w:rPr>
      </w:pPr>
    </w:p>
    <w:p>
      <w:pPr>
        <w:jc w:val="both"/>
        <w:ind w:left="620"/>
        <w:spacing w:after="0" w:line="278" w:lineRule="auto"/>
        <w:rPr>
          <w:rFonts w:ascii="Arial" w:cs="Arial" w:eastAsia="Arial" w:hAnsi="Arial"/>
          <w:sz w:val="19"/>
          <w:szCs w:val="19"/>
          <w:i w:val="1"/>
          <w:iCs w:val="1"/>
          <w:color w:val="auto"/>
        </w:rPr>
      </w:pPr>
      <w:r>
        <w:rPr>
          <w:rFonts w:ascii="Arial" w:cs="Arial" w:eastAsia="Arial" w:hAnsi="Arial"/>
          <w:sz w:val="17"/>
          <w:szCs w:val="17"/>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 and</w:t>
      </w:r>
    </w:p>
    <w:p>
      <w:pPr>
        <w:spacing w:after="0" w:line="181" w:lineRule="exact"/>
        <w:rPr>
          <w:rFonts w:ascii="Arial" w:cs="Arial" w:eastAsia="Arial" w:hAnsi="Arial"/>
          <w:sz w:val="19"/>
          <w:szCs w:val="19"/>
          <w:i w:val="1"/>
          <w:iCs w:val="1"/>
          <w:color w:val="auto"/>
        </w:rPr>
      </w:pPr>
    </w:p>
    <w:p>
      <w:pPr>
        <w:ind w:left="620" w:hanging="307"/>
        <w:spacing w:after="0"/>
        <w:tabs>
          <w:tab w:leader="none" w:pos="620"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 xml:space="preserve">Customer satisfaction scores </w:t>
      </w:r>
      <w:r>
        <w:rPr>
          <w:rFonts w:ascii="Arial" w:cs="Arial" w:eastAsia="Arial" w:hAnsi="Arial"/>
          <w:sz w:val="19"/>
          <w:szCs w:val="19"/>
          <w:color w:val="auto"/>
        </w:rPr>
        <w:t>— measurement of our customers’ experiences in a variety of key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Selected Operating Data</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presents the number of our restaurants in operation as of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Number of restaurants (at end of the period):</w:t>
            </w:r>
          </w:p>
        </w:tc>
        <w:tc>
          <w:tcPr>
            <w:tcW w:w="1980" w:type="dxa"/>
            <w:vAlign w:val="bottom"/>
            <w:gridSpan w:val="2"/>
          </w:tcPr>
          <w:p>
            <w:pPr>
              <w:ind w:left="500"/>
              <w:spacing w:after="0"/>
              <w:rPr>
                <w:sz w:val="20"/>
                <w:szCs w:val="20"/>
                <w:color w:val="auto"/>
              </w:rPr>
            </w:pPr>
            <w:r>
              <w:rPr>
                <w:rFonts w:ascii="Arial" w:cs="Arial" w:eastAsia="Arial" w:hAnsi="Arial"/>
                <w:sz w:val="14"/>
                <w:szCs w:val="14"/>
                <w:b w:val="1"/>
                <w:bCs w:val="1"/>
                <w:color w:val="auto"/>
              </w:rPr>
              <w:t>JUNE 27, 2021</w:t>
            </w:r>
          </w:p>
        </w:tc>
        <w:tc>
          <w:tcPr>
            <w:tcW w:w="1900" w:type="dxa"/>
            <w:vAlign w:val="bottom"/>
          </w:tcPr>
          <w:p>
            <w:pPr>
              <w:jc w:val="right"/>
              <w:ind w:right="423"/>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19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1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Carrabba’s Italian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Other</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Company-owned (1)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1"/>
        </w:trPr>
        <w:tc>
          <w:tcPr>
            <w:tcW w:w="73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U.S.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1,174</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1,187</w:t>
            </w:r>
          </w:p>
        </w:tc>
        <w:tc>
          <w:tcPr>
            <w:tcW w:w="0" w:type="dxa"/>
            <w:vAlign w:val="bottom"/>
          </w:tcPr>
          <w:p>
            <w:pPr>
              <w:spacing w:after="0"/>
              <w:rPr>
                <w:sz w:val="1"/>
                <w:szCs w:val="1"/>
                <w:color w:val="auto"/>
              </w:rPr>
            </w:pPr>
          </w:p>
        </w:tc>
      </w:tr>
      <w:tr>
        <w:trPr>
          <w:trHeight w:val="193"/>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5"/>
                <w:szCs w:val="15"/>
                <w:color w:val="auto"/>
              </w:rPr>
              <w:t>Company-owned</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Steakhouse—Brazil (2)</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Other (1)(3)</w:t>
            </w:r>
          </w:p>
        </w:tc>
        <w:tc>
          <w:tcPr>
            <w:tcW w:w="188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Outback Steakhouse—South Korea (3)</w:t>
            </w:r>
          </w:p>
        </w:tc>
        <w:tc>
          <w:tcPr>
            <w:tcW w:w="1880" w:type="dxa"/>
            <w:vAlign w:val="bottom"/>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1"/>
        </w:trPr>
        <w:tc>
          <w:tcPr>
            <w:tcW w:w="73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International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w:t>
            </w:r>
          </w:p>
        </w:tc>
        <w:tc>
          <w:tcPr>
            <w:tcW w:w="0" w:type="dxa"/>
            <w:vAlign w:val="bottom"/>
          </w:tcPr>
          <w:p>
            <w:pPr>
              <w:spacing w:after="0"/>
              <w:rPr>
                <w:sz w:val="1"/>
                <w:szCs w:val="1"/>
                <w:color w:val="auto"/>
              </w:rPr>
            </w:pPr>
          </w:p>
        </w:tc>
      </w:tr>
      <w:tr>
        <w:trPr>
          <w:trHeight w:val="231"/>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System-wide 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1,484</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____________________</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6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620" w:hanging="617"/>
        <w:spacing w:after="0" w:line="251" w:lineRule="auto"/>
        <w:tabs>
          <w:tab w:leader="none" w:pos="6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U.S. Other Company-owned included four and three fast-casual Aussie Grill locations as of June 27, 2021 and June 28, 2020, respectively. International Franchised Other included three and two fast-casual Aussie Grill locations as of June 27, 2021 and June 28, 2020, respectively. International Company-owned Other included two and one fast-casual Aussie Grill locations as of June 27, 2021 and June 28, 2020, respectively.</w:t>
      </w:r>
    </w:p>
    <w:p>
      <w:pPr>
        <w:ind w:left="620" w:hanging="617"/>
        <w:spacing w:after="0"/>
        <w:tabs>
          <w:tab w:leader="none" w:pos="6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May 31, 2021 and 2020, respectively, to correspond with the balance sheet dates of this subsidiary.</w:t>
      </w:r>
    </w:p>
    <w:p>
      <w:pPr>
        <w:spacing w:after="0" w:line="8" w:lineRule="exact"/>
        <w:rPr>
          <w:rFonts w:ascii="Arial" w:cs="Arial" w:eastAsia="Arial" w:hAnsi="Arial"/>
          <w:sz w:val="15"/>
          <w:szCs w:val="15"/>
          <w:color w:val="auto"/>
        </w:rPr>
      </w:pPr>
    </w:p>
    <w:p>
      <w:pPr>
        <w:ind w:left="620" w:hanging="617"/>
        <w:spacing w:after="0" w:line="266" w:lineRule="auto"/>
        <w:tabs>
          <w:tab w:leader="none" w:pos="6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Franchised Outback Steakhouse - South Korea included 32 and 10 international dark kitchens that offer delivery only as of June 27, 2021 and June 28, 2020, respectively. In addition, we had one international dark kitchen included within Company-owned Other as of both periods presented.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percentages of certain items in our Consolidated Statements of Operations in relation to Total revenues or</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Restaurant sales,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3200" w:type="dxa"/>
            <w:vAlign w:val="bottom"/>
            <w:gridSpan w:val="4"/>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3080" w:type="dxa"/>
            <w:vAlign w:val="bottom"/>
            <w:gridSpan w:val="3"/>
          </w:tcPr>
          <w:p>
            <w:pPr>
              <w:jc w:val="right"/>
              <w:ind w:right="503"/>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960" w:type="dxa"/>
            <w:vAlign w:val="bottom"/>
          </w:tcPr>
          <w:p>
            <w:pPr>
              <w:spacing w:after="0"/>
              <w:rPr>
                <w:sz w:val="16"/>
                <w:szCs w:val="16"/>
                <w:color w:val="auto"/>
              </w:rPr>
            </w:pPr>
          </w:p>
        </w:tc>
        <w:tc>
          <w:tcPr>
            <w:tcW w:w="160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JUNE 27, 2021</w:t>
            </w:r>
          </w:p>
        </w:tc>
        <w:tc>
          <w:tcPr>
            <w:tcW w:w="1480" w:type="dxa"/>
            <w:vAlign w:val="bottom"/>
            <w:tcBorders>
              <w:top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Pr>
          <w:p>
            <w:pPr>
              <w:spacing w:after="0"/>
              <w:rPr>
                <w:sz w:val="16"/>
                <w:szCs w:val="16"/>
                <w:color w:val="auto"/>
              </w:rPr>
            </w:pPr>
          </w:p>
        </w:tc>
        <w:tc>
          <w:tcPr>
            <w:tcW w:w="158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JUNE 27, 2021</w:t>
            </w:r>
          </w:p>
        </w:tc>
        <w:tc>
          <w:tcPr>
            <w:tcW w:w="1500" w:type="dxa"/>
            <w:vAlign w:val="bottom"/>
            <w:tcBorders>
              <w:top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JUNE 28, 2020</w:t>
            </w:r>
          </w:p>
        </w:tc>
      </w:tr>
      <w:tr>
        <w:trPr>
          <w:trHeight w:val="20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1480" w:type="dxa"/>
            <w:vAlign w:val="bottom"/>
          </w:tcPr>
          <w:p>
            <w:pPr>
              <w:jc w:val="right"/>
              <w:spacing w:after="0"/>
              <w:rPr>
                <w:sz w:val="20"/>
                <w:szCs w:val="20"/>
                <w:color w:val="auto"/>
              </w:rPr>
            </w:pPr>
            <w:r>
              <w:rPr>
                <w:rFonts w:ascii="Arial" w:cs="Arial" w:eastAsia="Arial" w:hAnsi="Arial"/>
                <w:sz w:val="15"/>
                <w:szCs w:val="15"/>
                <w:color w:val="auto"/>
              </w:rPr>
              <w:t>97.9 %</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99.6 %</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98.5 %</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99.1 %</w:t>
            </w:r>
          </w:p>
        </w:tc>
      </w:tr>
      <w:tr>
        <w:trPr>
          <w:trHeight w:val="229"/>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14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0.9</w:t>
            </w:r>
          </w:p>
        </w:tc>
      </w:tr>
      <w:tr>
        <w:trPr>
          <w:trHeight w:val="189"/>
        </w:trPr>
        <w:tc>
          <w:tcPr>
            <w:tcW w:w="4960" w:type="dxa"/>
            <w:vAlign w:val="bottom"/>
          </w:tcPr>
          <w:p>
            <w:pPr>
              <w:ind w:left="760"/>
              <w:spacing w:after="0"/>
              <w:rPr>
                <w:sz w:val="20"/>
                <w:szCs w:val="20"/>
                <w:color w:val="auto"/>
              </w:rPr>
            </w:pPr>
            <w:r>
              <w:rPr>
                <w:rFonts w:ascii="Arial" w:cs="Arial" w:eastAsia="Arial" w:hAnsi="Arial"/>
                <w:sz w:val="15"/>
                <w:szCs w:val="15"/>
                <w:color w:val="auto"/>
              </w:rPr>
              <w:t>Total revenues</w:t>
            </w: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6"/>
                <w:szCs w:val="16"/>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6"/>
                <w:szCs w:val="16"/>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6"/>
                <w:szCs w:val="16"/>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100.0</w:t>
            </w: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960" w:type="dxa"/>
            <w:vAlign w:val="bottom"/>
          </w:tcPr>
          <w:p>
            <w:pPr>
              <w:ind w:left="140"/>
              <w:spacing w:after="0"/>
              <w:rPr>
                <w:sz w:val="20"/>
                <w:szCs w:val="20"/>
                <w:color w:val="auto"/>
              </w:rPr>
            </w:pPr>
            <w:r>
              <w:rPr>
                <w:rFonts w:ascii="Arial" w:cs="Arial" w:eastAsia="Arial" w:hAnsi="Arial"/>
                <w:sz w:val="15"/>
                <w:szCs w:val="15"/>
                <w:color w:val="auto"/>
              </w:rPr>
              <w:t>Food and beverage costs (1)</w:t>
            </w: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29.6</w:t>
            </w: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31.4</w:t>
            </w: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17"/>
                <w:szCs w:val="17"/>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31.8</w:t>
            </w:r>
          </w:p>
        </w:tc>
      </w:tr>
      <w:tr>
        <w:trPr>
          <w:trHeight w:val="209"/>
        </w:trPr>
        <w:tc>
          <w:tcPr>
            <w:tcW w:w="4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Labor and other related (1)</w:t>
            </w: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28.0</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35.7</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32.7</w:t>
            </w:r>
          </w:p>
        </w:tc>
      </w:tr>
      <w:tr>
        <w:trPr>
          <w:trHeight w:val="203"/>
        </w:trPr>
        <w:tc>
          <w:tcPr>
            <w:tcW w:w="4960" w:type="dxa"/>
            <w:vAlign w:val="bottom"/>
          </w:tcPr>
          <w:p>
            <w:pPr>
              <w:ind w:left="140"/>
              <w:spacing w:after="0"/>
              <w:rPr>
                <w:sz w:val="20"/>
                <w:szCs w:val="20"/>
                <w:color w:val="auto"/>
              </w:rPr>
            </w:pPr>
            <w:r>
              <w:rPr>
                <w:rFonts w:ascii="Arial" w:cs="Arial" w:eastAsia="Arial" w:hAnsi="Arial"/>
                <w:sz w:val="15"/>
                <w:szCs w:val="15"/>
                <w:color w:val="auto"/>
              </w:rPr>
              <w:t>Other restaurant operating (1)</w:t>
            </w: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22.1</w:t>
            </w: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30.9</w:t>
            </w: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22.7</w:t>
            </w:r>
          </w:p>
        </w:tc>
        <w:tc>
          <w:tcPr>
            <w:tcW w:w="100" w:type="dxa"/>
            <w:vAlign w:val="bottom"/>
          </w:tcPr>
          <w:p>
            <w:pPr>
              <w:spacing w:after="0"/>
              <w:rPr>
                <w:sz w:val="17"/>
                <w:szCs w:val="17"/>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27.0</w:t>
            </w:r>
          </w:p>
        </w:tc>
      </w:tr>
      <w:tr>
        <w:trPr>
          <w:trHeight w:val="209"/>
        </w:trPr>
        <w:tc>
          <w:tcPr>
            <w:tcW w:w="4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7.9</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5.9</w:t>
            </w:r>
          </w:p>
        </w:tc>
      </w:tr>
      <w:tr>
        <w:trPr>
          <w:trHeight w:val="203"/>
        </w:trPr>
        <w:tc>
          <w:tcPr>
            <w:tcW w:w="496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8.8</w:t>
            </w:r>
          </w:p>
        </w:tc>
      </w:tr>
      <w:tr>
        <w:trPr>
          <w:trHeight w:val="202"/>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14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0.5</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4.3</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4.2</w:t>
            </w:r>
          </w:p>
        </w:tc>
      </w:tr>
      <w:tr>
        <w:trPr>
          <w:trHeight w:val="212"/>
        </w:trPr>
        <w:tc>
          <w:tcPr>
            <w:tcW w:w="496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costs and expenses</w:t>
            </w:r>
          </w:p>
        </w:tc>
        <w:tc>
          <w:tcPr>
            <w:tcW w:w="14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88.4</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119.3</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89.6</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109.7</w:t>
            </w:r>
          </w:p>
        </w:tc>
      </w:tr>
      <w:tr>
        <w:trPr>
          <w:trHeight w:val="206"/>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11.6</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(19.3)</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(9.7)</w:t>
            </w:r>
          </w:p>
        </w:tc>
      </w:tr>
      <w:tr>
        <w:trPr>
          <w:trHeight w:val="203"/>
        </w:trPr>
        <w:tc>
          <w:tcPr>
            <w:tcW w:w="4960" w:type="dxa"/>
            <w:vAlign w:val="bottom"/>
          </w:tcPr>
          <w:p>
            <w:pPr>
              <w:ind w:left="20"/>
              <w:spacing w:after="0"/>
              <w:rPr>
                <w:sz w:val="20"/>
                <w:szCs w:val="20"/>
                <w:color w:val="auto"/>
              </w:rPr>
            </w:pPr>
            <w:r>
              <w:rPr>
                <w:rFonts w:ascii="Arial" w:cs="Arial" w:eastAsia="Arial" w:hAnsi="Arial"/>
                <w:sz w:val="15"/>
                <w:szCs w:val="15"/>
                <w:color w:val="auto"/>
              </w:rPr>
              <w:t>Loss on extinguishment and modification of debt</w:t>
            </w: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expense, net</w:t>
            </w: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(1.4)</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(3.0)</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(1.8)</w:t>
            </w:r>
          </w:p>
        </w:tc>
      </w:tr>
      <w:tr>
        <w:trPr>
          <w:trHeight w:val="206"/>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before provision (benefit) for income taxes</w:t>
            </w: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(22.2)</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8.9</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(11.5)</w:t>
            </w:r>
          </w:p>
        </w:tc>
      </w:tr>
      <w:tr>
        <w:trPr>
          <w:trHeight w:val="212"/>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(benefit) for income taxes</w:t>
            </w:r>
          </w:p>
        </w:tc>
        <w:tc>
          <w:tcPr>
            <w:tcW w:w="14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2.1</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(6.2)</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(3.5)</w:t>
            </w:r>
          </w:p>
        </w:tc>
      </w:tr>
      <w:tr>
        <w:trPr>
          <w:trHeight w:val="206"/>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7.9</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(16.0)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(8.0)</w:t>
            </w:r>
          </w:p>
        </w:tc>
      </w:tr>
      <w:tr>
        <w:trPr>
          <w:trHeight w:val="212"/>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Less: net income (loss) attributable to noncontrolling interests</w:t>
            </w:r>
          </w:p>
        </w:tc>
        <w:tc>
          <w:tcPr>
            <w:tcW w:w="14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0.2</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Bloomin’ Brands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7.7 %</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7.3 %</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w:t>
      </w:r>
    </w:p>
    <w:p>
      <w:pPr>
        <w:spacing w:after="0" w:line="16" w:lineRule="exact"/>
        <w:rPr>
          <w:sz w:val="20"/>
          <w:szCs w:val="20"/>
          <w:color w:val="auto"/>
        </w:rPr>
      </w:pPr>
    </w:p>
    <w:p>
      <w:pPr>
        <w:ind w:left="620" w:hanging="617"/>
        <w:spacing w:after="0"/>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As a percentage of Restaurant sales.</w:t>
      </w:r>
    </w:p>
    <w:p>
      <w:pPr>
        <w:ind w:left="620" w:hanging="617"/>
        <w:spacing w:after="0"/>
        <w:tabs>
          <w:tab w:leader="none" w:pos="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Less than 1/10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of one percent of Total revenues.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Restaurant sales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7"/>
                <w:szCs w:val="17"/>
                <w:color w:val="auto"/>
              </w:rPr>
            </w:pPr>
          </w:p>
        </w:tc>
        <w:tc>
          <w:tcPr>
            <w:tcW w:w="2480" w:type="dxa"/>
            <w:vAlign w:val="bottom"/>
            <w:gridSpan w:val="2"/>
          </w:tcPr>
          <w:p>
            <w:pPr>
              <w:ind w:left="16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400" w:type="dxa"/>
            <w:vAlign w:val="bottom"/>
          </w:tcPr>
          <w:p>
            <w:pPr>
              <w:jc w:val="right"/>
              <w:ind w:right="264"/>
              <w:spacing w:after="0"/>
              <w:rPr>
                <w:sz w:val="20"/>
                <w:szCs w:val="20"/>
                <w:color w:val="auto"/>
              </w:rPr>
            </w:pPr>
            <w:r>
              <w:rPr>
                <w:rFonts w:ascii="Arial" w:cs="Arial" w:eastAsia="Arial" w:hAnsi="Arial"/>
                <w:sz w:val="14"/>
                <w:szCs w:val="14"/>
                <w:b w:val="1"/>
                <w:bCs w:val="1"/>
                <w:color w:val="auto"/>
              </w:rPr>
              <w:t>TWENTY-SIX WEEKS ENDED</w:t>
            </w:r>
          </w:p>
        </w:tc>
      </w:tr>
      <w:tr>
        <w:trPr>
          <w:trHeight w:val="206"/>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June 28, 2020</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576.3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1,572.5</w:t>
            </w:r>
          </w:p>
        </w:tc>
      </w:tr>
      <w:tr>
        <w:trPr>
          <w:trHeight w:val="203"/>
        </w:trPr>
        <w:tc>
          <w:tcPr>
            <w:tcW w:w="588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9"/>
        </w:trPr>
        <w:tc>
          <w:tcPr>
            <w:tcW w:w="5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479.6</w:t>
            </w:r>
          </w:p>
        </w:tc>
      </w:tr>
      <w:tr>
        <w:trPr>
          <w:trHeight w:val="203"/>
        </w:trPr>
        <w:tc>
          <w:tcPr>
            <w:tcW w:w="5880" w:type="dxa"/>
            <w:vAlign w:val="bottom"/>
          </w:tcPr>
          <w:p>
            <w:pPr>
              <w:ind w:left="320"/>
              <w:spacing w:after="0"/>
              <w:rPr>
                <w:sz w:val="20"/>
                <w:szCs w:val="20"/>
                <w:color w:val="auto"/>
              </w:rPr>
            </w:pPr>
            <w:r>
              <w:rPr>
                <w:rFonts w:ascii="Arial" w:cs="Arial" w:eastAsia="Arial" w:hAnsi="Arial"/>
                <w:sz w:val="15"/>
                <w:szCs w:val="15"/>
                <w:color w:val="auto"/>
              </w:rPr>
              <w:t>Restaurant openings</w:t>
            </w:r>
          </w:p>
        </w:tc>
        <w:tc>
          <w:tcPr>
            <w:tcW w:w="260" w:type="dxa"/>
            <w:vAlign w:val="bottom"/>
          </w:tcPr>
          <w:p>
            <w:pPr>
              <w:spacing w:after="0"/>
              <w:rPr>
                <w:sz w:val="17"/>
                <w:szCs w:val="17"/>
                <w:color w:val="auto"/>
              </w:rPr>
            </w:pPr>
          </w:p>
        </w:tc>
        <w:tc>
          <w:tcPr>
            <w:tcW w:w="2380" w:type="dxa"/>
            <w:vAlign w:val="bottom"/>
          </w:tcPr>
          <w:p>
            <w:pPr>
              <w:jc w:val="right"/>
              <w:ind w:right="4"/>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5"/>
                <w:szCs w:val="15"/>
                <w:color w:val="auto"/>
              </w:rPr>
              <w:t>26.6</w:t>
            </w:r>
          </w:p>
        </w:tc>
      </w:tr>
      <w:tr>
        <w:trPr>
          <w:trHeight w:val="209"/>
        </w:trPr>
        <w:tc>
          <w:tcPr>
            <w:tcW w:w="5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Restaurant closures</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r>
      <w:tr>
        <w:trPr>
          <w:trHeight w:val="199"/>
        </w:trPr>
        <w:tc>
          <w:tcPr>
            <w:tcW w:w="58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Effect of foreign currency translation</w:t>
            </w:r>
          </w:p>
        </w:tc>
        <w:tc>
          <w:tcPr>
            <w:tcW w:w="2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w:t>
            </w:r>
          </w:p>
        </w:tc>
      </w:tr>
      <w:tr>
        <w:trPr>
          <w:trHeight w:val="231"/>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June 27, 2021</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1,055.2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2,034.7</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increase in Restaurant sales during the thirteen weeks ended June 27, 2021 was primarily due to: (i) higher comparable restaurant sales from in-restaurant dining and strong retention of off-premises sales and (ii) the opening of 32 new restaurants not included in our comparable restaurant sales base. The increase in Restaurant sales was partially offset by the closure of 34 restaurants since March 29, 2020.</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increase in Restaurant sales during the twenty-six weeks ended June 27, 2021 was primarily due to: (i) higher comparable restaurant sales from in-restaurant dining and strong retention of off-premises sales and (ii) the opening of 35 new restaurants not included in our comparable restaurant sales base. The increase in Restaurant sales was partially offset by the closure of 39 restaurants since December 29, 2019 and the effect of foreign currency translation of the Brazilian Real relative to the U.S. dollar.</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Average Restaurant Unit Volumes and Operating Weeks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average restaurant unit volumes and operating weeks,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78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8"/>
              </w:rPr>
              <w:t>JUNE 28, 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8"/>
              </w:rPr>
              <w:t>JUNE 28, 2020</w:t>
            </w:r>
          </w:p>
        </w:tc>
      </w:tr>
      <w:tr>
        <w:trPr>
          <w:trHeight w:val="19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Average restaurant unit volumes (weekly):</w:t>
            </w: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U.S.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5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75,813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58,201</w:t>
            </w:r>
          </w:p>
        </w:tc>
      </w:tr>
      <w:tr>
        <w:trPr>
          <w:trHeight w:val="203"/>
        </w:trPr>
        <w:tc>
          <w:tcPr>
            <w:tcW w:w="5220" w:type="dxa"/>
            <w:vAlign w:val="bottom"/>
          </w:tcPr>
          <w:p>
            <w:pPr>
              <w:ind w:left="220"/>
              <w:spacing w:after="0"/>
              <w:rPr>
                <w:sz w:val="20"/>
                <w:szCs w:val="20"/>
                <w:color w:val="auto"/>
              </w:rPr>
            </w:pPr>
            <w:r>
              <w:rPr>
                <w:rFonts w:ascii="Arial" w:cs="Arial" w:eastAsia="Arial" w:hAnsi="Arial"/>
                <w:sz w:val="15"/>
                <w:szCs w:val="15"/>
                <w:color w:val="auto"/>
              </w:rPr>
              <w:t>Carrabba’s Italian Grill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66,258</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35,394</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63,605</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45,395</w:t>
            </w:r>
          </w:p>
        </w:tc>
      </w:tr>
      <w:tr>
        <w:trPr>
          <w:trHeight w:val="209"/>
        </w:trPr>
        <w:tc>
          <w:tcPr>
            <w:tcW w:w="5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Bonefish Grill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59,014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40,292</w:t>
            </w:r>
          </w:p>
        </w:tc>
      </w:tr>
      <w:tr>
        <w:trPr>
          <w:trHeight w:val="203"/>
        </w:trPr>
        <w:tc>
          <w:tcPr>
            <w:tcW w:w="5220" w:type="dxa"/>
            <w:vAlign w:val="bottom"/>
          </w:tcPr>
          <w:p>
            <w:pPr>
              <w:ind w:left="220"/>
              <w:spacing w:after="0"/>
              <w:rPr>
                <w:sz w:val="20"/>
                <w:szCs w:val="20"/>
                <w:color w:val="auto"/>
              </w:rPr>
            </w:pPr>
            <w:r>
              <w:rPr>
                <w:rFonts w:ascii="Arial" w:cs="Arial" w:eastAsia="Arial" w:hAnsi="Arial"/>
                <w:sz w:val="15"/>
                <w:szCs w:val="15"/>
                <w:color w:val="auto"/>
              </w:rPr>
              <w:t>Fleming’s Prime Steakhouse &amp; Wine Bar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105,891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36,649</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93,204</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59,027</w:t>
            </w: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3"/>
        </w:trPr>
        <w:tc>
          <w:tcPr>
            <w:tcW w:w="5220" w:type="dxa"/>
            <w:vAlign w:val="bottom"/>
          </w:tcPr>
          <w:p>
            <w:pPr>
              <w:ind w:left="220"/>
              <w:spacing w:after="0"/>
              <w:rPr>
                <w:sz w:val="20"/>
                <w:szCs w:val="20"/>
                <w:color w:val="auto"/>
              </w:rPr>
            </w:pPr>
            <w:r>
              <w:rPr>
                <w:rFonts w:ascii="Arial" w:cs="Arial" w:eastAsia="Arial" w:hAnsi="Arial"/>
                <w:sz w:val="15"/>
                <w:szCs w:val="15"/>
                <w:color w:val="auto"/>
              </w:rPr>
              <w:t>Outback Steakhouse - Brazil (1)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29,569</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17,731</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36,205</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43,512</w:t>
            </w: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weeks: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U.S.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5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14,745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14,965</w:t>
            </w:r>
          </w:p>
        </w:tc>
      </w:tr>
      <w:tr>
        <w:trPr>
          <w:trHeight w:val="203"/>
        </w:trPr>
        <w:tc>
          <w:tcPr>
            <w:tcW w:w="5220" w:type="dxa"/>
            <w:vAlign w:val="bottom"/>
          </w:tcPr>
          <w:p>
            <w:pPr>
              <w:ind w:left="220"/>
              <w:spacing w:after="0"/>
              <w:rPr>
                <w:sz w:val="20"/>
                <w:szCs w:val="20"/>
                <w:color w:val="auto"/>
              </w:rPr>
            </w:pPr>
            <w:r>
              <w:rPr>
                <w:rFonts w:ascii="Arial" w:cs="Arial" w:eastAsia="Arial" w:hAnsi="Arial"/>
                <w:sz w:val="15"/>
                <w:szCs w:val="15"/>
                <w:color w:val="auto"/>
              </w:rPr>
              <w:t>Carrabba’s Italian Grill</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5,174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5,300</w:t>
            </w:r>
          </w:p>
        </w:tc>
      </w:tr>
      <w:tr>
        <w:trPr>
          <w:trHeight w:val="209"/>
        </w:trPr>
        <w:tc>
          <w:tcPr>
            <w:tcW w:w="5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Bonefish Grill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4,934</w:t>
            </w:r>
          </w:p>
        </w:tc>
      </w:tr>
      <w:tr>
        <w:trPr>
          <w:trHeight w:val="203"/>
        </w:trPr>
        <w:tc>
          <w:tcPr>
            <w:tcW w:w="5220" w:type="dxa"/>
            <w:vAlign w:val="bottom"/>
          </w:tcPr>
          <w:p>
            <w:pPr>
              <w:ind w:left="220"/>
              <w:spacing w:after="0"/>
              <w:rPr>
                <w:sz w:val="20"/>
                <w:szCs w:val="20"/>
                <w:color w:val="auto"/>
              </w:rPr>
            </w:pPr>
            <w:r>
              <w:rPr>
                <w:rFonts w:ascii="Arial" w:cs="Arial" w:eastAsia="Arial" w:hAnsi="Arial"/>
                <w:sz w:val="15"/>
                <w:szCs w:val="15"/>
                <w:color w:val="auto"/>
              </w:rPr>
              <w:t>Fleming’s Prime Steakhouse &amp; Wine Bar</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1,657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1,730</w:t>
            </w: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1"/>
        </w:trPr>
        <w:tc>
          <w:tcPr>
            <w:tcW w:w="5220" w:type="dxa"/>
            <w:vAlign w:val="bottom"/>
          </w:tcPr>
          <w:p>
            <w:pPr>
              <w:ind w:left="220"/>
              <w:spacing w:after="0"/>
              <w:rPr>
                <w:sz w:val="20"/>
                <w:szCs w:val="20"/>
                <w:color w:val="auto"/>
              </w:rPr>
            </w:pPr>
            <w:r>
              <w:rPr>
                <w:rFonts w:ascii="Arial" w:cs="Arial" w:eastAsia="Arial" w:hAnsi="Arial"/>
                <w:sz w:val="15"/>
                <w:szCs w:val="15"/>
                <w:color w:val="auto"/>
              </w:rPr>
              <w:t>Outback Steakhouse - Brazil</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2,877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2,657</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Translated at average exchange rates of 5.45 and 5.15 for the thirteen weeks ended June 27, 2021 and June 28, 2020, respectively, and 5.36 and 4.39 for the twenty-six weeks ended June 27, 2021 and June 28, 2020,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Comparable Restaurant Sales, Traffic and Average Check Per Person Increases (Decreases)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comparable restaurant sales, traffic and average check per person increases (decreases),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center"/>
              <w:ind w:right="664"/>
              <w:spacing w:after="0"/>
              <w:rPr>
                <w:sz w:val="20"/>
                <w:szCs w:val="20"/>
                <w:color w:val="auto"/>
              </w:rPr>
            </w:pPr>
            <w:r>
              <w:rPr>
                <w:rFonts w:ascii="Arial" w:cs="Arial" w:eastAsia="Arial" w:hAnsi="Arial"/>
                <w:sz w:val="14"/>
                <w:szCs w:val="14"/>
                <w:b w:val="1"/>
                <w:bCs w:val="1"/>
                <w:color w:val="auto"/>
                <w:w w:val="99"/>
              </w:rPr>
              <w:t>THIRTEEN WEEKS ENDED</w:t>
            </w:r>
          </w:p>
        </w:tc>
        <w:tc>
          <w:tcPr>
            <w:tcW w:w="100" w:type="dxa"/>
            <w:vAlign w:val="bottom"/>
          </w:tcPr>
          <w:p>
            <w:pPr>
              <w:spacing w:after="0"/>
              <w:rPr>
                <w:sz w:val="17"/>
                <w:szCs w:val="17"/>
                <w:color w:val="auto"/>
              </w:rPr>
            </w:pPr>
          </w:p>
        </w:tc>
        <w:tc>
          <w:tcPr>
            <w:tcW w:w="4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8"/>
              </w:rPr>
              <w:t>TWENTY-SIX WEEKS ENDED</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28, 2020</w:t>
            </w:r>
          </w:p>
        </w:tc>
        <w:tc>
          <w:tcPr>
            <w:tcW w:w="268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300" w:type="dxa"/>
            <w:vAlign w:val="bottom"/>
          </w:tcPr>
          <w:p>
            <w:pPr>
              <w:jc w:val="right"/>
              <w:ind w:right="124"/>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3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w w:val="99"/>
              </w:rPr>
              <w:t>Comparable to 2019</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Comparable to 2020</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Comparable to 2019</w:t>
            </w:r>
          </w:p>
        </w:tc>
        <w:tc>
          <w:tcPr>
            <w:tcW w:w="13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9"/>
              </w:rPr>
              <w:t>Comparable to 2019</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Comparable to 2020</w:t>
            </w: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Comparable to 2019</w:t>
            </w:r>
          </w:p>
        </w:tc>
        <w:tc>
          <w:tcPr>
            <w:tcW w:w="0" w:type="dxa"/>
            <w:vAlign w:val="bottom"/>
          </w:tcPr>
          <w:p>
            <w:pPr>
              <w:spacing w:after="0"/>
              <w:rPr>
                <w:sz w:val="1"/>
                <w:szCs w:val="1"/>
                <w:color w:val="auto"/>
              </w:rPr>
            </w:pPr>
          </w:p>
        </w:tc>
      </w:tr>
      <w:tr>
        <w:trPr>
          <w:trHeight w:val="186"/>
        </w:trPr>
        <w:tc>
          <w:tcPr>
            <w:tcW w:w="3740" w:type="dxa"/>
            <w:vAlign w:val="bottom"/>
            <w:gridSpan w:val="2"/>
          </w:tcPr>
          <w:p>
            <w:pPr>
              <w:ind w:left="3560"/>
              <w:spacing w:after="0"/>
              <w:rPr>
                <w:sz w:val="20"/>
                <w:szCs w:val="20"/>
                <w:color w:val="auto"/>
              </w:rPr>
            </w:pPr>
            <w:r>
              <w:rPr>
                <w:rFonts w:ascii="Arial" w:cs="Arial" w:eastAsia="Arial" w:hAnsi="Arial"/>
                <w:sz w:val="14"/>
                <w:szCs w:val="14"/>
                <w:b w:val="1"/>
                <w:bCs w:val="1"/>
                <w:color w:val="auto"/>
                <w:w w:val="93"/>
              </w:rPr>
              <w:t>(1)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80" w:type="dxa"/>
            <w:vAlign w:val="bottom"/>
          </w:tcPr>
          <w:p>
            <w:pPr>
              <w:jc w:val="right"/>
              <w:ind w:right="484"/>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Year over year percentage change:</w:t>
            </w:r>
          </w:p>
        </w:tc>
        <w:tc>
          <w:tcPr>
            <w:tcW w:w="7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740" w:type="dxa"/>
            <w:vAlign w:val="bottom"/>
            <w:gridSpan w:val="2"/>
          </w:tcPr>
          <w:p>
            <w:pPr>
              <w:ind w:left="140"/>
              <w:spacing w:after="0" w:line="160" w:lineRule="exact"/>
              <w:rPr>
                <w:sz w:val="20"/>
                <w:szCs w:val="20"/>
                <w:color w:val="auto"/>
              </w:rPr>
            </w:pPr>
            <w:r>
              <w:rPr>
                <w:rFonts w:ascii="Arial" w:cs="Arial" w:eastAsia="Arial" w:hAnsi="Arial"/>
                <w:sz w:val="15"/>
                <w:szCs w:val="15"/>
                <w:color w:val="auto"/>
              </w:rPr>
              <w:t>Comparable restaurant sales (stores open 18</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740" w:type="dxa"/>
            <w:vAlign w:val="bottom"/>
            <w:gridSpan w:val="2"/>
          </w:tcPr>
          <w:p>
            <w:pPr>
              <w:ind w:left="140"/>
              <w:spacing w:after="0"/>
              <w:rPr>
                <w:sz w:val="20"/>
                <w:szCs w:val="20"/>
                <w:color w:val="auto"/>
              </w:rPr>
            </w:pPr>
            <w:r>
              <w:rPr>
                <w:rFonts w:ascii="Arial" w:cs="Arial" w:eastAsia="Arial" w:hAnsi="Arial"/>
                <w:sz w:val="15"/>
                <w:szCs w:val="15"/>
                <w:color w:val="auto"/>
              </w:rPr>
              <w:t>months or more):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U.S. (2)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Outback Steakhouse</w:t>
            </w:r>
          </w:p>
        </w:tc>
        <w:tc>
          <w:tcPr>
            <w:tcW w:w="540" w:type="dxa"/>
            <w:vAlign w:val="bottom"/>
          </w:tcPr>
          <w:p>
            <w:pPr>
              <w:jc w:val="right"/>
              <w:spacing w:after="0"/>
              <w:rPr>
                <w:sz w:val="20"/>
                <w:szCs w:val="20"/>
                <w:color w:val="auto"/>
              </w:rPr>
            </w:pPr>
            <w:r>
              <w:rPr>
                <w:rFonts w:ascii="Arial" w:cs="Arial" w:eastAsia="Arial" w:hAnsi="Arial"/>
                <w:sz w:val="15"/>
                <w:szCs w:val="15"/>
                <w:color w:val="auto"/>
              </w:rPr>
              <w:t>11.3 %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65.8 %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(32.9)%</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2.3 %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28.8 %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Bonefish Grill</w:t>
            </w:r>
          </w:p>
        </w:tc>
        <w:tc>
          <w:tcPr>
            <w:tcW w:w="540" w:type="dxa"/>
            <w:vAlign w:val="bottom"/>
          </w:tcPr>
          <w:p>
            <w:pPr>
              <w:jc w:val="right"/>
              <w:spacing w:after="0"/>
              <w:rPr>
                <w:sz w:val="20"/>
                <w:szCs w:val="20"/>
                <w:color w:val="auto"/>
              </w:rPr>
            </w:pPr>
            <w:r>
              <w:rPr>
                <w:rFonts w:ascii="Arial" w:cs="Arial" w:eastAsia="Arial" w:hAnsi="Arial"/>
                <w:sz w:val="15"/>
                <w:szCs w:val="15"/>
                <w:color w:val="auto"/>
              </w:rPr>
              <w:t>4.2 %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141.2 %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(56.8)%</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43.5 %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(34.7)%</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182.6 %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Combined U.S.</w:t>
            </w:r>
          </w:p>
        </w:tc>
        <w:tc>
          <w:tcPr>
            <w:tcW w:w="540" w:type="dxa"/>
            <w:vAlign w:val="bottom"/>
          </w:tcPr>
          <w:p>
            <w:pPr>
              <w:jc w:val="right"/>
              <w:spacing w:after="0"/>
              <w:rPr>
                <w:sz w:val="20"/>
                <w:szCs w:val="20"/>
                <w:color w:val="auto"/>
              </w:rPr>
            </w:pPr>
            <w:r>
              <w:rPr>
                <w:rFonts w:ascii="Arial" w:cs="Arial" w:eastAsia="Arial" w:hAnsi="Arial"/>
                <w:sz w:val="15"/>
                <w:szCs w:val="15"/>
                <w:color w:val="auto"/>
              </w:rPr>
              <w:t>12.1 %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84.6 %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(39.4)%</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1.9 %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34.4 %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Outback Steakhouse - Brazil (3)</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(36.3)%</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78.8 %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(63.9)%</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(26.2)%</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(27.4)%</w:t>
            </w:r>
          </w:p>
        </w:tc>
        <w:tc>
          <w:tcPr>
            <w:tcW w:w="0" w:type="dxa"/>
            <w:vAlign w:val="bottom"/>
          </w:tcPr>
          <w:p>
            <w:pPr>
              <w:spacing w:after="0"/>
              <w:rPr>
                <w:sz w:val="1"/>
                <w:szCs w:val="1"/>
                <w:color w:val="auto"/>
              </w:rPr>
            </w:pPr>
          </w:p>
        </w:tc>
      </w:tr>
      <w:tr>
        <w:trPr>
          <w:trHeight w:val="248"/>
        </w:trPr>
        <w:tc>
          <w:tcPr>
            <w:tcW w:w="30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140"/>
              <w:spacing w:after="0"/>
              <w:rPr>
                <w:sz w:val="20"/>
                <w:szCs w:val="20"/>
                <w:color w:val="auto"/>
              </w:rPr>
            </w:pPr>
            <w:r>
              <w:rPr>
                <w:rFonts w:ascii="Arial" w:cs="Arial" w:eastAsia="Arial" w:hAnsi="Arial"/>
                <w:sz w:val="15"/>
                <w:szCs w:val="15"/>
                <w:color w:val="auto"/>
              </w:rPr>
              <w:t>Traffic:</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Outback Steakhouse</w:t>
            </w:r>
          </w:p>
        </w:tc>
        <w:tc>
          <w:tcPr>
            <w:tcW w:w="540" w:type="dxa"/>
            <w:vAlign w:val="bottom"/>
          </w:tcPr>
          <w:p>
            <w:pPr>
              <w:jc w:val="right"/>
              <w:spacing w:after="0"/>
              <w:rPr>
                <w:sz w:val="20"/>
                <w:szCs w:val="20"/>
                <w:color w:val="auto"/>
              </w:rPr>
            </w:pPr>
            <w:r>
              <w:rPr>
                <w:rFonts w:ascii="Arial" w:cs="Arial" w:eastAsia="Arial" w:hAnsi="Arial"/>
                <w:sz w:val="15"/>
                <w:szCs w:val="15"/>
                <w:color w:val="auto"/>
              </w:rPr>
              <w:t>4.4 %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51.4 %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(31.0)%</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21.9 %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Bonefish Grill</w:t>
            </w:r>
          </w:p>
        </w:tc>
        <w:tc>
          <w:tcPr>
            <w:tcW w:w="540" w:type="dxa"/>
            <w:vAlign w:val="bottom"/>
          </w:tcPr>
          <w:p>
            <w:pPr>
              <w:jc w:val="right"/>
              <w:spacing w:after="0"/>
              <w:rPr>
                <w:sz w:val="20"/>
                <w:szCs w:val="20"/>
                <w:color w:val="auto"/>
              </w:rPr>
            </w:pPr>
            <w:r>
              <w:rPr>
                <w:rFonts w:ascii="Arial" w:cs="Arial" w:eastAsia="Arial" w:hAnsi="Arial"/>
                <w:sz w:val="15"/>
                <w:szCs w:val="15"/>
                <w:color w:val="auto"/>
              </w:rPr>
              <w:t>3.9 %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52.4 %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(29.8)%</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22.4 %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Combined U.S.</w:t>
            </w:r>
          </w:p>
        </w:tc>
        <w:tc>
          <w:tcPr>
            <w:tcW w:w="540" w:type="dxa"/>
            <w:vAlign w:val="bottom"/>
          </w:tcPr>
          <w:p>
            <w:pPr>
              <w:jc w:val="right"/>
              <w:spacing w:after="0"/>
              <w:rPr>
                <w:sz w:val="20"/>
                <w:szCs w:val="20"/>
                <w:color w:val="auto"/>
              </w:rPr>
            </w:pPr>
            <w:r>
              <w:rPr>
                <w:rFonts w:ascii="Arial" w:cs="Arial" w:eastAsia="Arial" w:hAnsi="Arial"/>
                <w:sz w:val="15"/>
                <w:szCs w:val="15"/>
                <w:color w:val="auto"/>
              </w:rPr>
              <w:t>6.2 %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53.6 %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23.2 %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Outback Steakhouse - Brazil</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(20.3)%</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63.0 %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(48.5)%</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8.9 %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248"/>
        </w:trPr>
        <w:tc>
          <w:tcPr>
            <w:tcW w:w="30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140"/>
              <w:spacing w:after="0"/>
              <w:rPr>
                <w:sz w:val="20"/>
                <w:szCs w:val="20"/>
                <w:color w:val="auto"/>
              </w:rPr>
            </w:pPr>
            <w:r>
              <w:rPr>
                <w:rFonts w:ascii="Arial" w:cs="Arial" w:eastAsia="Arial" w:hAnsi="Arial"/>
                <w:sz w:val="15"/>
                <w:szCs w:val="15"/>
                <w:color w:val="auto"/>
              </w:rPr>
              <w:t>Average check per person (4):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Outback Steakhouse</w:t>
            </w:r>
          </w:p>
        </w:tc>
        <w:tc>
          <w:tcPr>
            <w:tcW w:w="540" w:type="dxa"/>
            <w:vAlign w:val="bottom"/>
          </w:tcPr>
          <w:p>
            <w:pPr>
              <w:jc w:val="right"/>
              <w:spacing w:after="0"/>
              <w:rPr>
                <w:sz w:val="20"/>
                <w:szCs w:val="20"/>
                <w:color w:val="auto"/>
              </w:rPr>
            </w:pPr>
            <w:r>
              <w:rPr>
                <w:rFonts w:ascii="Arial" w:cs="Arial" w:eastAsia="Arial" w:hAnsi="Arial"/>
                <w:sz w:val="15"/>
                <w:szCs w:val="15"/>
                <w:color w:val="auto"/>
              </w:rPr>
              <w:t>6.9 %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14.4 %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6.9 %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Bonefish Grill</w:t>
            </w:r>
          </w:p>
        </w:tc>
        <w:tc>
          <w:tcPr>
            <w:tcW w:w="540" w:type="dxa"/>
            <w:vAlign w:val="bottom"/>
          </w:tcPr>
          <w:p>
            <w:pPr>
              <w:jc w:val="right"/>
              <w:spacing w:after="0"/>
              <w:rPr>
                <w:sz w:val="20"/>
                <w:szCs w:val="20"/>
                <w:color w:val="auto"/>
              </w:rPr>
            </w:pPr>
            <w:r>
              <w:rPr>
                <w:rFonts w:ascii="Arial" w:cs="Arial" w:eastAsia="Arial" w:hAnsi="Arial"/>
                <w:sz w:val="15"/>
                <w:szCs w:val="15"/>
                <w:color w:val="auto"/>
              </w:rPr>
              <w:t>0.3 %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88.8 %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(27.0)%</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21.1 %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Combined U.S.</w:t>
            </w:r>
          </w:p>
        </w:tc>
        <w:tc>
          <w:tcPr>
            <w:tcW w:w="540" w:type="dxa"/>
            <w:vAlign w:val="bottom"/>
          </w:tcPr>
          <w:p>
            <w:pPr>
              <w:jc w:val="right"/>
              <w:spacing w:after="0"/>
              <w:rPr>
                <w:sz w:val="20"/>
                <w:szCs w:val="20"/>
                <w:color w:val="auto"/>
              </w:rPr>
            </w:pPr>
            <w:r>
              <w:rPr>
                <w:rFonts w:ascii="Arial" w:cs="Arial" w:eastAsia="Arial" w:hAnsi="Arial"/>
                <w:sz w:val="15"/>
                <w:szCs w:val="15"/>
                <w:color w:val="auto"/>
              </w:rPr>
              <w:t>5.9 %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31.0 %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3.3 %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11.2 %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gridSpan w:val="2"/>
          </w:tcPr>
          <w:p>
            <w:pPr>
              <w:ind w:left="320"/>
              <w:spacing w:after="0"/>
              <w:rPr>
                <w:sz w:val="20"/>
                <w:szCs w:val="20"/>
                <w:color w:val="auto"/>
              </w:rPr>
            </w:pPr>
            <w:r>
              <w:rPr>
                <w:rFonts w:ascii="Arial" w:cs="Arial" w:eastAsia="Arial" w:hAnsi="Arial"/>
                <w:sz w:val="15"/>
                <w:szCs w:val="15"/>
                <w:color w:val="auto"/>
              </w:rPr>
              <w:t>Outback Steakhouse - Brazil</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(15.8)%</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22.2 %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line="251" w:lineRule="auto"/>
        <w:tabs>
          <w:tab w:leader="none" w:pos="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Represents comparable restaurant sales, traffic and average check per person increases (decreases) relative to fiscal year 2019 for improved comparability due to the impact of COVID-19 on fiscal year 2020 restaurant sales.</w:t>
      </w:r>
    </w:p>
    <w:p>
      <w:pPr>
        <w:ind w:left="620" w:hanging="617"/>
        <w:spacing w:after="0"/>
        <w:tabs>
          <w:tab w:leader="none" w:pos="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Relocated restaurants closed more than 60 days are excluded from comparable restaurant sales until at least 18 months after reopening.</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Excludes the effect of fluctuations in foreign currency rates. Includes trading day impact from calendar period reporting.</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Average check per person includes the impact of menu pricing changes, product mix and discounts.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Franchise and other 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45"/>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2021</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JUNE 28, 2020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Pr>
          <w:p>
            <w:pPr>
              <w:spacing w:after="0"/>
              <w:rPr>
                <w:sz w:val="16"/>
                <w:szCs w:val="16"/>
                <w:color w:val="auto"/>
              </w:rPr>
            </w:pPr>
          </w:p>
        </w:tc>
        <w:tc>
          <w:tcPr>
            <w:tcW w:w="1240" w:type="dxa"/>
            <w:vAlign w:val="bottom"/>
          </w:tcPr>
          <w:p>
            <w:pPr>
              <w:jc w:val="right"/>
              <w:ind w:right="205"/>
              <w:spacing w:after="0"/>
              <w:rPr>
                <w:sz w:val="20"/>
                <w:szCs w:val="20"/>
                <w:color w:val="auto"/>
              </w:rPr>
            </w:pPr>
            <w:r>
              <w:rPr>
                <w:rFonts w:ascii="Arial" w:cs="Arial" w:eastAsia="Arial" w:hAnsi="Arial"/>
                <w:sz w:val="14"/>
                <w:szCs w:val="14"/>
                <w:b w:val="1"/>
                <w:bCs w:val="1"/>
                <w:color w:val="auto"/>
                <w:w w:val="98"/>
              </w:rPr>
              <w:t>JUNE 28, 2020</w:t>
            </w:r>
          </w:p>
        </w:tc>
      </w:tr>
      <w:tr>
        <w:trPr>
          <w:trHeight w:val="20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Franchise revenues (1)</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986"/>
              <w:spacing w:after="0"/>
              <w:rPr>
                <w:sz w:val="20"/>
                <w:szCs w:val="20"/>
                <w:color w:val="auto"/>
              </w:rPr>
            </w:pPr>
            <w:r>
              <w:rPr>
                <w:rFonts w:ascii="Arial" w:cs="Arial" w:eastAsia="Arial" w:hAnsi="Arial"/>
                <w:sz w:val="15"/>
                <w:szCs w:val="15"/>
                <w:color w:val="auto"/>
                <w:w w:val="95"/>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2.0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19.0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revenues (2)</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r>
      <w:tr>
        <w:trPr>
          <w:trHeight w:val="231"/>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6"/>
              <w:spacing w:after="0"/>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30.2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jc w:val="both"/>
        <w:ind w:left="620" w:hanging="617"/>
        <w:spacing w:after="0" w:line="251" w:lineRule="auto"/>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Represents franchise royalties, advertising fees and initial franchise fees. Franchise revenues increased during the thirteen and twenty-six weeks ended June 27, 2021 primarily due to higher franchise sales partially offset by a reduction in the royalty and advertising fee percentages resulting from our December 2020 resolution agreement with Out West, our largest U.S. franchisee.</w:t>
      </w:r>
    </w:p>
    <w:p>
      <w:pPr>
        <w:jc w:val="both"/>
        <w:ind w:left="620" w:hanging="617"/>
        <w:spacing w:after="0" w:line="259" w:lineRule="auto"/>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During the thirteen and twenty-six weeks ended June 27, 2021, we recognized $6.3 million of other revenues in connection with favorable court rulings in Brazil regarding the calculation methodology and taxable base of PIS and COFINS taxes. The amount recognized as a result of the favorable court rulings primarily represents refundable PIS and COFINS taxes for prior years, including accrued interest, and will be recovered by offsetting future PIS and COFINS taxes due.</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COSTS AND EXPENSES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Food and beverage costs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THIRTEEN WEEKS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TWENTY-SIX WEEKS ENDED</w:t>
            </w:r>
          </w:p>
        </w:tc>
        <w:tc>
          <w:tcPr>
            <w:tcW w:w="1060" w:type="dxa"/>
            <w:vAlign w:val="bottom"/>
          </w:tcPr>
          <w:p>
            <w:pPr>
              <w:spacing w:after="0"/>
              <w:rPr>
                <w:sz w:val="17"/>
                <w:szCs w:val="17"/>
                <w:color w:val="auto"/>
              </w:rPr>
            </w:pPr>
          </w:p>
        </w:tc>
      </w:tr>
      <w:tr>
        <w:trPr>
          <w:trHeight w:val="186"/>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26"/>
              <w:spacing w:after="0"/>
              <w:rPr>
                <w:sz w:val="20"/>
                <w:szCs w:val="20"/>
                <w:color w:val="auto"/>
              </w:rPr>
            </w:pPr>
            <w:r>
              <w:rPr>
                <w:rFonts w:ascii="Arial" w:cs="Arial" w:eastAsia="Arial" w:hAnsi="Arial"/>
                <w:sz w:val="14"/>
                <w:szCs w:val="14"/>
                <w:b w:val="1"/>
                <w:bCs w:val="1"/>
                <w:color w:val="auto"/>
                <w:w w:val="96"/>
              </w:rPr>
              <w:t>JUNE 28, 2020</w:t>
            </w:r>
          </w:p>
        </w:tc>
        <w:tc>
          <w:tcPr>
            <w:tcW w:w="10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26"/>
              <w:spacing w:after="0"/>
              <w:rPr>
                <w:sz w:val="20"/>
                <w:szCs w:val="20"/>
                <w:color w:val="auto"/>
              </w:rPr>
            </w:pPr>
            <w:r>
              <w:rPr>
                <w:rFonts w:ascii="Arial" w:cs="Arial" w:eastAsia="Arial" w:hAnsi="Arial"/>
                <w:sz w:val="14"/>
                <w:szCs w:val="14"/>
                <w:b w:val="1"/>
                <w:bCs w:val="1"/>
                <w:color w:val="auto"/>
                <w:w w:val="96"/>
              </w:rPr>
              <w:t>JUNE 28, 2020</w:t>
            </w:r>
          </w:p>
        </w:tc>
        <w:tc>
          <w:tcPr>
            <w:tcW w:w="100" w:type="dxa"/>
            <w:vAlign w:val="bottom"/>
          </w:tcPr>
          <w:p>
            <w:pPr>
              <w:spacing w:after="0"/>
              <w:rPr>
                <w:sz w:val="16"/>
                <w:szCs w:val="16"/>
                <w:color w:val="auto"/>
              </w:rPr>
            </w:pPr>
          </w:p>
        </w:tc>
        <w:tc>
          <w:tcPr>
            <w:tcW w:w="1060" w:type="dxa"/>
            <w:vAlign w:val="bottom"/>
          </w:tcPr>
          <w:p>
            <w:pPr>
              <w:jc w:val="right"/>
              <w:ind w:right="227"/>
              <w:spacing w:after="0"/>
              <w:rPr>
                <w:sz w:val="20"/>
                <w:szCs w:val="20"/>
                <w:color w:val="auto"/>
              </w:rPr>
            </w:pPr>
            <w:r>
              <w:rPr>
                <w:rFonts w:ascii="Arial" w:cs="Arial" w:eastAsia="Arial" w:hAnsi="Arial"/>
                <w:sz w:val="14"/>
                <w:szCs w:val="14"/>
                <w:b w:val="1"/>
                <w:bCs w:val="1"/>
                <w:color w:val="auto"/>
              </w:rPr>
              <w:t>Change</w:t>
            </w:r>
          </w:p>
        </w:tc>
      </w:tr>
      <w:tr>
        <w:trPr>
          <w:trHeight w:val="206"/>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312.1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180.8</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604.0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500.5</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01"/>
        </w:trPr>
        <w:tc>
          <w:tcPr>
            <w:tcW w:w="3420" w:type="dxa"/>
            <w:vAlign w:val="bottom"/>
          </w:tcPr>
          <w:p>
            <w:pPr>
              <w:ind w:left="140"/>
              <w:spacing w:after="0"/>
              <w:rPr>
                <w:sz w:val="20"/>
                <w:szCs w:val="20"/>
                <w:color w:val="auto"/>
              </w:rPr>
            </w:pPr>
            <w:r>
              <w:rPr>
                <w:rFonts w:ascii="Arial" w:cs="Arial" w:eastAsia="Arial" w:hAnsi="Arial"/>
                <w:sz w:val="15"/>
                <w:szCs w:val="15"/>
                <w:color w:val="auto"/>
              </w:rPr>
              <w:t>% of Restaurant sales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31.4 %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31.8 %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w:t>
            </w:r>
          </w:p>
        </w:tc>
      </w:tr>
    </w:tbl>
    <w:p>
      <w:pPr>
        <w:spacing w:after="0" w:line="29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Food and beverage costs decreased as a percentage of Restaurant sales during the thirteen weeks ended June 27, 2021 as compared to the thirteen weeks ended June 28, 2020 primarily due to: (i) 1.2% from increases in average check per person, primarily driven by reduced discounting and changes in product mix, (ii) 0.2% from the impact of certain cost savings initiatives and (iii) 0.2% from reduced commodity costs, primarily due to vendor rebates.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Food and beverage costs decreased as a percentage of Restaurant sales during the twenty-six weeks ended June 27, 2021 as compared to the twenty-six weeks ended June 28, 2020 primarily due to: (i) 1.1% from increases in average check per person, primarily driven by reduced discounting and changes in product mix, (ii) 0.6% from the impact of certain cost savings initiatives and (iii) 0.4% from inventory obsolescence and spoilage costs during 2020 associated with the COVID-19 pandemic.</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Labor and other related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TWENTY-SIX WEEKS ENDED</w:t>
            </w:r>
          </w:p>
        </w:tc>
        <w:tc>
          <w:tcPr>
            <w:tcW w:w="1060" w:type="dxa"/>
            <w:vAlign w:val="bottom"/>
          </w:tcPr>
          <w:p>
            <w:pPr>
              <w:spacing w:after="0"/>
              <w:rPr>
                <w:sz w:val="17"/>
                <w:szCs w:val="17"/>
                <w:color w:val="auto"/>
              </w:rPr>
            </w:pPr>
          </w:p>
        </w:tc>
      </w:tr>
      <w:tr>
        <w:trPr>
          <w:trHeight w:val="186"/>
        </w:trPr>
        <w:tc>
          <w:tcPr>
            <w:tcW w:w="3400" w:type="dxa"/>
            <w:vAlign w:val="bottom"/>
          </w:tcPr>
          <w:p>
            <w:pPr>
              <w:jc w:val="right"/>
              <w:ind w:right="2166"/>
              <w:spacing w:after="0"/>
              <w:rPr>
                <w:sz w:val="20"/>
                <w:szCs w:val="20"/>
                <w:color w:val="auto"/>
              </w:rPr>
            </w:pPr>
            <w:r>
              <w:rPr>
                <w:rFonts w:ascii="Arial" w:cs="Arial" w:eastAsia="Arial" w:hAnsi="Arial"/>
                <w:sz w:val="14"/>
                <w:szCs w:val="14"/>
                <w:b w:val="1"/>
                <w:bCs w:val="1"/>
                <w:color w:val="auto"/>
                <w:w w:val="88"/>
              </w:rPr>
              <w:t>(dollars in millions)</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46"/>
              <w:spacing w:after="0"/>
              <w:rPr>
                <w:sz w:val="20"/>
                <w:szCs w:val="20"/>
                <w:color w:val="auto"/>
              </w:rPr>
            </w:pPr>
            <w:r>
              <w:rPr>
                <w:rFonts w:ascii="Arial" w:cs="Arial" w:eastAsia="Arial" w:hAnsi="Arial"/>
                <w:sz w:val="14"/>
                <w:szCs w:val="14"/>
                <w:b w:val="1"/>
                <w:bCs w:val="1"/>
                <w:color w:val="auto"/>
                <w:w w:val="93"/>
              </w:rPr>
              <w:t>JUNE 28, 2020</w:t>
            </w: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46"/>
              <w:spacing w:after="0"/>
              <w:rPr>
                <w:sz w:val="20"/>
                <w:szCs w:val="20"/>
                <w:color w:val="auto"/>
              </w:rPr>
            </w:pPr>
            <w:r>
              <w:rPr>
                <w:rFonts w:ascii="Arial" w:cs="Arial" w:eastAsia="Arial" w:hAnsi="Arial"/>
                <w:sz w:val="14"/>
                <w:szCs w:val="14"/>
                <w:b w:val="1"/>
                <w:bCs w:val="1"/>
                <w:color w:val="auto"/>
                <w:w w:val="96"/>
              </w:rPr>
              <w:t>JUNE 28, 2020</w:t>
            </w:r>
          </w:p>
        </w:tc>
        <w:tc>
          <w:tcPr>
            <w:tcW w:w="100" w:type="dxa"/>
            <w:vAlign w:val="bottom"/>
          </w:tcPr>
          <w:p>
            <w:pPr>
              <w:spacing w:after="0"/>
              <w:rPr>
                <w:sz w:val="16"/>
                <w:szCs w:val="16"/>
                <w:color w:val="auto"/>
              </w:rPr>
            </w:pPr>
          </w:p>
        </w:tc>
        <w:tc>
          <w:tcPr>
            <w:tcW w:w="1060" w:type="dxa"/>
            <w:vAlign w:val="bottom"/>
          </w:tcPr>
          <w:p>
            <w:pPr>
              <w:jc w:val="right"/>
              <w:ind w:right="227"/>
              <w:spacing w:after="0"/>
              <w:rPr>
                <w:sz w:val="20"/>
                <w:szCs w:val="20"/>
                <w:color w:val="auto"/>
              </w:rPr>
            </w:pPr>
            <w:r>
              <w:rPr>
                <w:rFonts w:ascii="Arial" w:cs="Arial" w:eastAsia="Arial" w:hAnsi="Arial"/>
                <w:sz w:val="14"/>
                <w:szCs w:val="14"/>
                <w:b w:val="1"/>
                <w:bCs w:val="1"/>
                <w:color w:val="auto"/>
              </w:rPr>
              <w:t>Change</w:t>
            </w:r>
          </w:p>
        </w:tc>
      </w:tr>
      <w:tr>
        <w:trPr>
          <w:trHeight w:val="206"/>
        </w:trPr>
        <w:tc>
          <w:tcPr>
            <w:tcW w:w="3400" w:type="dxa"/>
            <w:vAlign w:val="bottom"/>
            <w:tcBorders>
              <w:top w:val="single" w:sz="8" w:color="CCEEFF"/>
            </w:tcBorders>
            <w:shd w:val="clear" w:color="auto" w:fill="CCEEFF"/>
          </w:tcPr>
          <w:p>
            <w:pPr>
              <w:jc w:val="right"/>
              <w:ind w:right="1866"/>
              <w:spacing w:after="0"/>
              <w:rPr>
                <w:sz w:val="20"/>
                <w:szCs w:val="20"/>
                <w:color w:val="auto"/>
              </w:rPr>
            </w:pPr>
            <w:r>
              <w:rPr>
                <w:rFonts w:ascii="Arial" w:cs="Arial" w:eastAsia="Arial" w:hAnsi="Arial"/>
                <w:sz w:val="15"/>
                <w:szCs w:val="15"/>
                <w:color w:val="auto"/>
                <w:w w:val="92"/>
              </w:rPr>
              <w:t>Labor and other related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295.0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205.5</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569.6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514.8</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01"/>
        </w:trPr>
        <w:tc>
          <w:tcPr>
            <w:tcW w:w="3400" w:type="dxa"/>
            <w:vAlign w:val="bottom"/>
          </w:tcPr>
          <w:p>
            <w:pPr>
              <w:jc w:val="right"/>
              <w:ind w:right="1846"/>
              <w:spacing w:after="0"/>
              <w:rPr>
                <w:sz w:val="20"/>
                <w:szCs w:val="20"/>
                <w:color w:val="auto"/>
              </w:rPr>
            </w:pPr>
            <w:r>
              <w:rPr>
                <w:rFonts w:ascii="Arial" w:cs="Arial" w:eastAsia="Arial" w:hAnsi="Arial"/>
                <w:sz w:val="15"/>
                <w:szCs w:val="15"/>
                <w:color w:val="auto"/>
                <w:w w:val="99"/>
              </w:rPr>
              <w:t>% of Restaurant sales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35.7 %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32.7 %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w:t>
            </w:r>
          </w:p>
        </w:tc>
      </w:tr>
    </w:tbl>
    <w:p>
      <w:pPr>
        <w:spacing w:after="0" w:line="31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Labor and other related expenses decreased as a percentage of Restaurant sales during the thirteen weeks ended June 27, 2021 as compared to the thirteen weeks ended June 28, 2020 primarily due to 11.4% from leveraging increased restaurant sales. This decrease was partially offset by an increase as a percentage of Restaurant sales of: (i) 2.4% from the 2020 benefit of employee retention credits from relief pay, (ii) 0.8% from higher management bonus and (iii) 0.2% from wage rate increases.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Labor and other related expenses decreased as a percentage of Restaurant sales during the twenty-six weeks ended June 27, 2021 as compared to the twenty-six weeks ended June 28, 2020 primarily due to 4.3% from leveraging increased restaurant sales and 1.6% from the 2020 impact of net relief pay. These decreases were partially offset by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increases as a percentage of Restaurant sales of 0.8% from higher management bonus and 0.3% from wage rate increases.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Other restaurant operating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TWENTY-SIX WEEKS ENDED</w:t>
            </w:r>
          </w:p>
        </w:tc>
        <w:tc>
          <w:tcPr>
            <w:tcW w:w="1060" w:type="dxa"/>
            <w:vAlign w:val="bottom"/>
          </w:tcPr>
          <w:p>
            <w:pPr>
              <w:spacing w:after="0"/>
              <w:rPr>
                <w:sz w:val="17"/>
                <w:szCs w:val="17"/>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46"/>
              <w:spacing w:after="0"/>
              <w:rPr>
                <w:sz w:val="20"/>
                <w:szCs w:val="20"/>
                <w:color w:val="auto"/>
              </w:rPr>
            </w:pPr>
            <w:r>
              <w:rPr>
                <w:rFonts w:ascii="Arial" w:cs="Arial" w:eastAsia="Arial" w:hAnsi="Arial"/>
                <w:sz w:val="14"/>
                <w:szCs w:val="14"/>
                <w:b w:val="1"/>
                <w:bCs w:val="1"/>
                <w:color w:val="auto"/>
                <w:w w:val="93"/>
              </w:rPr>
              <w:t>JUNE 28, 2020</w:t>
            </w: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46"/>
              <w:spacing w:after="0"/>
              <w:rPr>
                <w:sz w:val="20"/>
                <w:szCs w:val="20"/>
                <w:color w:val="auto"/>
              </w:rPr>
            </w:pPr>
            <w:r>
              <w:rPr>
                <w:rFonts w:ascii="Arial" w:cs="Arial" w:eastAsia="Arial" w:hAnsi="Arial"/>
                <w:sz w:val="14"/>
                <w:szCs w:val="14"/>
                <w:b w:val="1"/>
                <w:bCs w:val="1"/>
                <w:color w:val="auto"/>
                <w:w w:val="96"/>
              </w:rPr>
              <w:t>JUNE 28, 2020</w:t>
            </w:r>
          </w:p>
        </w:tc>
        <w:tc>
          <w:tcPr>
            <w:tcW w:w="100" w:type="dxa"/>
            <w:vAlign w:val="bottom"/>
          </w:tcPr>
          <w:p>
            <w:pPr>
              <w:spacing w:after="0"/>
              <w:rPr>
                <w:sz w:val="16"/>
                <w:szCs w:val="16"/>
                <w:color w:val="auto"/>
              </w:rPr>
            </w:pPr>
          </w:p>
        </w:tc>
        <w:tc>
          <w:tcPr>
            <w:tcW w:w="1060" w:type="dxa"/>
            <w:vAlign w:val="bottom"/>
          </w:tcPr>
          <w:p>
            <w:pPr>
              <w:jc w:val="right"/>
              <w:ind w:right="227"/>
              <w:spacing w:after="0"/>
              <w:rPr>
                <w:sz w:val="20"/>
                <w:szCs w:val="20"/>
                <w:color w:val="auto"/>
              </w:rPr>
            </w:pPr>
            <w:r>
              <w:rPr>
                <w:rFonts w:ascii="Arial" w:cs="Arial" w:eastAsia="Arial" w:hAnsi="Arial"/>
                <w:sz w:val="14"/>
                <w:szCs w:val="14"/>
                <w:b w:val="1"/>
                <w:bCs w:val="1"/>
                <w:color w:val="auto"/>
              </w:rPr>
              <w:t>Change</w:t>
            </w:r>
          </w:p>
        </w:tc>
      </w:tr>
      <w:tr>
        <w:trPr>
          <w:trHeight w:val="206"/>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233.5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177.8</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462.7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424.4</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01"/>
        </w:trPr>
        <w:tc>
          <w:tcPr>
            <w:tcW w:w="3400" w:type="dxa"/>
            <w:vAlign w:val="bottom"/>
          </w:tcPr>
          <w:p>
            <w:pPr>
              <w:ind w:left="140"/>
              <w:spacing w:after="0"/>
              <w:rPr>
                <w:sz w:val="20"/>
                <w:szCs w:val="20"/>
                <w:color w:val="auto"/>
              </w:rPr>
            </w:pPr>
            <w:r>
              <w:rPr>
                <w:rFonts w:ascii="Arial" w:cs="Arial" w:eastAsia="Arial" w:hAnsi="Arial"/>
                <w:sz w:val="15"/>
                <w:szCs w:val="15"/>
                <w:color w:val="auto"/>
              </w:rPr>
              <w:t>% of Restaurant sales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30.9 %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27.0 %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w:t>
            </w:r>
          </w:p>
        </w:tc>
      </w:tr>
    </w:tbl>
    <w:p>
      <w:pPr>
        <w:spacing w:after="0" w:line="2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Other restaurant operating expenses decreased as a percentage of Restaurant sales during the thirteen weeks ended June 27, 2021 as compared to the thirteen weeks ended June 28, 2020 primarily due to: (i) 7.8% from leveraging increased restaurant sales, (ii) 3.3% from a decrease in off-premises related costs and (iii) 1.0% from lower advertising expense. These decreases were partially offset by increases as a percentage of Restaurant sales of 3.0% from higher operating and utilities expense and 0.3% from higher insurance costs.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Other restaurant operating expenses decreased as a percentage of Restaurant sales during the twenty-six weeks ended June 27, 2021 as compared to the twenty-six weeks ended June 28, 2020 primarily due to: (i) 2.9% from leveraging increased restaurant sales, (ii) 1.7% from lower advertising expense and (iii) 0.3% from a decrease in off-premises related costs. These decreases were partially offset by an increase as a percentage of Restaurant sales of 0.6% from higher operating and utilities expense.</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 xml:space="preserve">Subsequent to June 27, 2021, we entered into the Royalty Termination Agreement and made a cash payment of $61.9 million to the Carrabba’s Founders. See Note 20 - </w:t>
      </w:r>
      <w:r>
        <w:rPr>
          <w:rFonts w:ascii="Arial" w:cs="Arial" w:eastAsia="Arial" w:hAnsi="Arial"/>
          <w:sz w:val="19"/>
          <w:szCs w:val="19"/>
          <w:i w:val="1"/>
          <w:iCs w:val="1"/>
          <w:color w:val="auto"/>
        </w:rPr>
        <w:t>Subsequent Events</w:t>
      </w:r>
      <w:r>
        <w:rPr>
          <w:rFonts w:ascii="Arial" w:cs="Arial" w:eastAsia="Arial" w:hAnsi="Arial"/>
          <w:sz w:val="19"/>
          <w:szCs w:val="19"/>
          <w:color w:val="auto"/>
        </w:rPr>
        <w:t xml:space="preserve"> for additional details regarding the Royalty Termination Agreement. We recorded Carrabba’s Italian Grill royalty expense of $2.7 million, $3.8 million and $6.6 million during the twenty-six weeks ended June 27, 2021, fiscal year 2020 and fiscal year 2019,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Depreciation and amortization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200"/>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27, 2021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07"/>
              <w:spacing w:after="0"/>
              <w:rPr>
                <w:sz w:val="20"/>
                <w:szCs w:val="20"/>
                <w:color w:val="auto"/>
              </w:rPr>
            </w:pPr>
            <w:r>
              <w:rPr>
                <w:rFonts w:ascii="Arial" w:cs="Arial" w:eastAsia="Arial" w:hAnsi="Arial"/>
                <w:sz w:val="14"/>
                <w:szCs w:val="14"/>
                <w:b w:val="1"/>
                <w:bCs w:val="1"/>
                <w:color w:val="auto"/>
                <w:w w:val="96"/>
              </w:rPr>
              <w:t>JUNE 28, 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27, 2021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27"/>
              <w:spacing w:after="0"/>
              <w:rPr>
                <w:sz w:val="20"/>
                <w:szCs w:val="20"/>
                <w:color w:val="auto"/>
              </w:rPr>
            </w:pPr>
            <w:r>
              <w:rPr>
                <w:rFonts w:ascii="Arial" w:cs="Arial" w:eastAsia="Arial" w:hAnsi="Arial"/>
                <w:sz w:val="14"/>
                <w:szCs w:val="14"/>
                <w:b w:val="1"/>
                <w:bCs w:val="1"/>
                <w:color w:val="auto"/>
                <w:w w:val="93"/>
              </w:rPr>
              <w:t>JUNE 28, 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87"/>
              <w:spacing w:after="0"/>
              <w:rPr>
                <w:sz w:val="20"/>
                <w:szCs w:val="20"/>
                <w:color w:val="auto"/>
              </w:rPr>
            </w:pPr>
            <w:r>
              <w:rPr>
                <w:rFonts w:ascii="Arial" w:cs="Arial" w:eastAsia="Arial" w:hAnsi="Arial"/>
                <w:sz w:val="14"/>
                <w:szCs w:val="14"/>
                <w:b w:val="1"/>
                <w:bCs w:val="1"/>
                <w:color w:val="auto"/>
              </w:rPr>
              <w:t>Change</w:t>
            </w:r>
          </w:p>
        </w:tc>
      </w:tr>
      <w:tr>
        <w:trPr>
          <w:trHeight w:val="20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r>
    </w:tbl>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Depreciation and amortization expense decreased during the thirteen weeks ended June 27, 2021 as compared to the thirteen weeks ended June 28, 2020 primarily due to impairment and decreased capital expenditures.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Depreciation and amortization expense decreased during the twenty-six weeks ended June 27, 2021 as compared to the twenty-six weeks ended June 28, 2020 primarily due to impairment, decreased capital expenditures and the effect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General and administrative</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periods indicated: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7"/>
                <w:szCs w:val="17"/>
                <w:color w:val="auto"/>
              </w:rPr>
            </w:pPr>
          </w:p>
        </w:tc>
        <w:tc>
          <w:tcPr>
            <w:tcW w:w="2480" w:type="dxa"/>
            <w:vAlign w:val="bottom"/>
            <w:gridSpan w:val="2"/>
          </w:tcPr>
          <w:p>
            <w:pPr>
              <w:ind w:left="16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400" w:type="dxa"/>
            <w:vAlign w:val="bottom"/>
          </w:tcPr>
          <w:p>
            <w:pPr>
              <w:jc w:val="right"/>
              <w:ind w:right="263"/>
              <w:spacing w:after="0"/>
              <w:rPr>
                <w:sz w:val="20"/>
                <w:szCs w:val="20"/>
                <w:color w:val="auto"/>
              </w:rPr>
            </w:pPr>
            <w:r>
              <w:rPr>
                <w:rFonts w:ascii="Arial" w:cs="Arial" w:eastAsia="Arial" w:hAnsi="Arial"/>
                <w:sz w:val="14"/>
                <w:szCs w:val="14"/>
                <w:b w:val="1"/>
                <w:bCs w:val="1"/>
                <w:color w:val="auto"/>
              </w:rPr>
              <w:t>TWENTY-SIX WEEKS ENDED</w:t>
            </w:r>
          </w:p>
        </w:tc>
      </w:tr>
      <w:tr>
        <w:trPr>
          <w:trHeight w:val="206"/>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June 28, 2020</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55.5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140.3</w:t>
            </w:r>
          </w:p>
        </w:tc>
      </w:tr>
      <w:tr>
        <w:trPr>
          <w:trHeight w:val="203"/>
        </w:trPr>
        <w:tc>
          <w:tcPr>
            <w:tcW w:w="588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9"/>
        </w:trPr>
        <w:tc>
          <w:tcPr>
            <w:tcW w:w="5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Employee stock-based compensation</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r>
      <w:tr>
        <w:trPr>
          <w:trHeight w:val="203"/>
        </w:trPr>
        <w:tc>
          <w:tcPr>
            <w:tcW w:w="5880" w:type="dxa"/>
            <w:vAlign w:val="bottom"/>
          </w:tcPr>
          <w:p>
            <w:pPr>
              <w:ind w:left="320"/>
              <w:spacing w:after="0"/>
              <w:rPr>
                <w:sz w:val="20"/>
                <w:szCs w:val="20"/>
                <w:color w:val="auto"/>
              </w:rPr>
            </w:pPr>
            <w:r>
              <w:rPr>
                <w:rFonts w:ascii="Arial" w:cs="Arial" w:eastAsia="Arial" w:hAnsi="Arial"/>
                <w:sz w:val="15"/>
                <w:szCs w:val="15"/>
                <w:color w:val="auto"/>
              </w:rPr>
              <w:t>Incentive compensation</w:t>
            </w:r>
          </w:p>
        </w:tc>
        <w:tc>
          <w:tcPr>
            <w:tcW w:w="260" w:type="dxa"/>
            <w:vAlign w:val="bottom"/>
          </w:tcPr>
          <w:p>
            <w:pPr>
              <w:spacing w:after="0"/>
              <w:rPr>
                <w:sz w:val="17"/>
                <w:szCs w:val="17"/>
                <w:color w:val="auto"/>
              </w:rPr>
            </w:pPr>
          </w:p>
        </w:tc>
        <w:tc>
          <w:tcPr>
            <w:tcW w:w="2380" w:type="dxa"/>
            <w:vAlign w:val="bottom"/>
          </w:tcPr>
          <w:p>
            <w:pPr>
              <w:jc w:val="right"/>
              <w:ind w:right="3"/>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09"/>
        </w:trPr>
        <w:tc>
          <w:tcPr>
            <w:tcW w:w="5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compensation</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203"/>
        </w:trPr>
        <w:tc>
          <w:tcPr>
            <w:tcW w:w="5880" w:type="dxa"/>
            <w:vAlign w:val="bottom"/>
          </w:tcPr>
          <w:p>
            <w:pPr>
              <w:ind w:left="320"/>
              <w:spacing w:after="0"/>
              <w:rPr>
                <w:sz w:val="20"/>
                <w:szCs w:val="20"/>
                <w:color w:val="auto"/>
              </w:rPr>
            </w:pPr>
            <w:r>
              <w:rPr>
                <w:rFonts w:ascii="Arial" w:cs="Arial" w:eastAsia="Arial" w:hAnsi="Arial"/>
                <w:sz w:val="15"/>
                <w:szCs w:val="15"/>
                <w:color w:val="auto"/>
              </w:rPr>
              <w:t>Expected credit losses and contingent lease liabilities</w:t>
            </w:r>
          </w:p>
        </w:tc>
        <w:tc>
          <w:tcPr>
            <w:tcW w:w="260" w:type="dxa"/>
            <w:vAlign w:val="bottom"/>
          </w:tcPr>
          <w:p>
            <w:pPr>
              <w:spacing w:after="0"/>
              <w:rPr>
                <w:sz w:val="17"/>
                <w:szCs w:val="17"/>
                <w:color w:val="auto"/>
              </w:rPr>
            </w:pPr>
          </w:p>
        </w:tc>
        <w:tc>
          <w:tcPr>
            <w:tcW w:w="238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09"/>
        </w:trPr>
        <w:tc>
          <w:tcPr>
            <w:tcW w:w="5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Travel and entertainment</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203"/>
        </w:trPr>
        <w:tc>
          <w:tcPr>
            <w:tcW w:w="5880" w:type="dxa"/>
            <w:vAlign w:val="bottom"/>
          </w:tcPr>
          <w:p>
            <w:pPr>
              <w:ind w:left="320"/>
              <w:spacing w:after="0"/>
              <w:rPr>
                <w:sz w:val="20"/>
                <w:szCs w:val="20"/>
                <w:color w:val="auto"/>
              </w:rPr>
            </w:pPr>
            <w:r>
              <w:rPr>
                <w:rFonts w:ascii="Arial" w:cs="Arial" w:eastAsia="Arial" w:hAnsi="Arial"/>
                <w:sz w:val="15"/>
                <w:szCs w:val="15"/>
                <w:color w:val="auto"/>
              </w:rPr>
              <w:t>Severance</w:t>
            </w:r>
          </w:p>
        </w:tc>
        <w:tc>
          <w:tcPr>
            <w:tcW w:w="26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209"/>
        </w:trPr>
        <w:tc>
          <w:tcPr>
            <w:tcW w:w="5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Transformational costs</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212"/>
        </w:trPr>
        <w:tc>
          <w:tcPr>
            <w:tcW w:w="58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r>
      <w:tr>
        <w:trPr>
          <w:trHeight w:val="231"/>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June 27, 2021</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123.7</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Provision for impaired assets and restaurant closings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200"/>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07"/>
              <w:spacing w:after="0"/>
              <w:rPr>
                <w:sz w:val="20"/>
                <w:szCs w:val="20"/>
                <w:color w:val="auto"/>
              </w:rPr>
            </w:pPr>
            <w:r>
              <w:rPr>
                <w:rFonts w:ascii="Arial" w:cs="Arial" w:eastAsia="Arial" w:hAnsi="Arial"/>
                <w:sz w:val="14"/>
                <w:szCs w:val="14"/>
                <w:b w:val="1"/>
                <w:bCs w:val="1"/>
                <w:color w:val="auto"/>
                <w:w w:val="93"/>
              </w:rPr>
              <w:t>JUNE 28, 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27, 2021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27"/>
              <w:spacing w:after="0"/>
              <w:rPr>
                <w:sz w:val="20"/>
                <w:szCs w:val="20"/>
                <w:color w:val="auto"/>
              </w:rPr>
            </w:pPr>
            <w:r>
              <w:rPr>
                <w:rFonts w:ascii="Arial" w:cs="Arial" w:eastAsia="Arial" w:hAnsi="Arial"/>
                <w:sz w:val="14"/>
                <w:szCs w:val="14"/>
                <w:b w:val="1"/>
                <w:bCs w:val="1"/>
                <w:color w:val="auto"/>
                <w:w w:val="93"/>
              </w:rPr>
              <w:t>JUNE 28, 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87"/>
              <w:spacing w:after="0"/>
              <w:rPr>
                <w:sz w:val="20"/>
                <w:szCs w:val="20"/>
                <w:color w:val="auto"/>
              </w:rPr>
            </w:pPr>
            <w:r>
              <w:rPr>
                <w:rFonts w:ascii="Arial" w:cs="Arial" w:eastAsia="Arial" w:hAnsi="Arial"/>
                <w:sz w:val="14"/>
                <w:szCs w:val="14"/>
                <w:b w:val="1"/>
                <w:bCs w:val="1"/>
                <w:color w:val="auto"/>
              </w:rPr>
              <w:t>Change</w:t>
            </w:r>
          </w:p>
        </w:tc>
      </w:tr>
      <w:tr>
        <w:trPr>
          <w:trHeight w:val="20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w:t>
            </w:r>
          </w:p>
        </w:tc>
      </w:tr>
    </w:tbl>
    <w:p>
      <w:pPr>
        <w:spacing w:after="0" w:line="3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thirteen and twenty-six weeks ended June 28, 2020, we recognized asset impairment and closure charges of $24.8 million and $56.5 million, respectively, within the U.S. segment, and $0.3 million and $3.6 million, respectively, within the international segment, primarily related to the COVID-19 pandemic. Included in the amount for the thirteen and twenty-six weeks ended June 28, 2020 were pre-tax asset impairments and closure costs of $20.9 million in connection with the closure of 22 restaurants and from the update of certain cash flow assumptions, including lease renewal considerations. We also recognized asset impairment charges related to transformational initiatives of $6.3 million during the twenty-six weeks ended June 28, 2020, which were not allocated to our operating segments.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remaining impairment and closure charges during the periods presented resulted primarily from locations identified for relocation or closure.</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See Note 4 - </w:t>
      </w:r>
      <w:r>
        <w:rPr>
          <w:rFonts w:ascii="Arial" w:cs="Arial" w:eastAsia="Arial" w:hAnsi="Arial"/>
          <w:sz w:val="19"/>
          <w:szCs w:val="19"/>
          <w:i w:val="1"/>
          <w:iCs w:val="1"/>
          <w:color w:val="auto"/>
        </w:rPr>
        <w:t>Impairments and Exit Costs</w:t>
      </w:r>
      <w:r>
        <w:rPr>
          <w:rFonts w:ascii="Arial" w:cs="Arial" w:eastAsia="Arial" w:hAnsi="Arial"/>
          <w:sz w:val="19"/>
          <w:szCs w:val="19"/>
          <w:color w:val="auto"/>
        </w:rPr>
        <w:t xml:space="preserve"> of the Notes to Consolidated Financial Statements for further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(loss) from operations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TWENTY-SIX WEEKS ENDED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6"/>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46"/>
              <w:spacing w:after="0"/>
              <w:rPr>
                <w:sz w:val="20"/>
                <w:szCs w:val="20"/>
                <w:color w:val="auto"/>
              </w:rPr>
            </w:pPr>
            <w:r>
              <w:rPr>
                <w:rFonts w:ascii="Arial" w:cs="Arial" w:eastAsia="Arial" w:hAnsi="Arial"/>
                <w:sz w:val="14"/>
                <w:szCs w:val="14"/>
                <w:b w:val="1"/>
                <w:bCs w:val="1"/>
                <w:color w:val="auto"/>
                <w:w w:val="96"/>
              </w:rPr>
              <w:t>JUNE 28, 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46"/>
              <w:spacing w:after="0"/>
              <w:rPr>
                <w:sz w:val="20"/>
                <w:szCs w:val="20"/>
                <w:color w:val="auto"/>
              </w:rPr>
            </w:pPr>
            <w:r>
              <w:rPr>
                <w:rFonts w:ascii="Arial" w:cs="Arial" w:eastAsia="Arial" w:hAnsi="Arial"/>
                <w:sz w:val="14"/>
                <w:szCs w:val="14"/>
                <w:b w:val="1"/>
                <w:bCs w:val="1"/>
                <w:color w:val="auto"/>
                <w:w w:val="96"/>
              </w:rPr>
              <w:t>JUNE 28, 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26"/>
              <w:spacing w:after="0"/>
              <w:rPr>
                <w:sz w:val="20"/>
                <w:szCs w:val="20"/>
                <w:color w:val="auto"/>
              </w:rPr>
            </w:pPr>
            <w:r>
              <w:rPr>
                <w:rFonts w:ascii="Arial" w:cs="Arial" w:eastAsia="Arial" w:hAnsi="Arial"/>
                <w:sz w:val="14"/>
                <w:szCs w:val="14"/>
                <w:b w:val="1"/>
                <w:bCs w:val="1"/>
                <w:color w:val="auto"/>
              </w:rPr>
              <w:t>Change</w:t>
            </w:r>
          </w:p>
        </w:tc>
      </w:tr>
      <w:tr>
        <w:trPr>
          <w:trHeight w:val="206"/>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124.6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(111.9)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236.5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215.6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(153.5)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369.1</w:t>
            </w:r>
          </w:p>
        </w:tc>
      </w:tr>
      <w:tr>
        <w:trPr>
          <w:trHeight w:val="201"/>
        </w:trPr>
        <w:tc>
          <w:tcPr>
            <w:tcW w:w="3380" w:type="dxa"/>
            <w:vAlign w:val="bottom"/>
          </w:tcPr>
          <w:p>
            <w:pPr>
              <w:ind w:left="140"/>
              <w:spacing w:after="0"/>
              <w:rPr>
                <w:sz w:val="20"/>
                <w:szCs w:val="20"/>
                <w:color w:val="auto"/>
              </w:rPr>
            </w:pPr>
            <w:r>
              <w:rPr>
                <w:rFonts w:ascii="Arial" w:cs="Arial" w:eastAsia="Arial" w:hAnsi="Arial"/>
                <w:sz w:val="15"/>
                <w:szCs w:val="15"/>
                <w:color w:val="auto"/>
              </w:rPr>
              <w:t>% of Total revenues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20.1 %</w:t>
            </w:r>
          </w:p>
        </w:tc>
      </w:tr>
    </w:tbl>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Income from operations generated during the thirteen weeks ended June 27, 2021 as compared to Loss from operations during the thirteen weeks ended June 28, 2020 was primarily due to: (i) an increase in comparable restaurant sales, (ii) COVID-19 pandemic related asset impairment and closure charges during 2020, (iii) a decrease in off-premises related costs, (iv) lower advertising expense and (v) favorable court rulings in Brazil related to value-added taxes recorded in other revenues. These increases were partially offset by: (i) higher operating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utilities expense, (ii) the 2020 benefit of employee retention credits from relief pay, (iii) higher incentive compensation and (iv) higher management bonus.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Income from operations generated during the twenty-six weeks ended June 27, 2021 as compared to Loss from operations during the twenty-six weeks ended June 28, 2020 was primarily due to: (i) an increase in comparable restaurant sales, (ii) COVID-19 pandemic related charges during 2020, (iii) lower advertising expense, (iv) the 2020 impact of net relief pay, (v) the impact of restructuring and transformational initiatives during 2020 and (vi) the impact of certain cost savings initiatives. These increases were partially offset by additional: (i) management bonus, (ii) incentive compensation and (iii) operating and utilities expense.</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Interest expense, net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200"/>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07"/>
              <w:spacing w:after="0"/>
              <w:rPr>
                <w:sz w:val="20"/>
                <w:szCs w:val="20"/>
                <w:color w:val="auto"/>
              </w:rPr>
            </w:pPr>
            <w:r>
              <w:rPr>
                <w:rFonts w:ascii="Arial" w:cs="Arial" w:eastAsia="Arial" w:hAnsi="Arial"/>
                <w:sz w:val="14"/>
                <w:szCs w:val="14"/>
                <w:b w:val="1"/>
                <w:bCs w:val="1"/>
                <w:color w:val="auto"/>
                <w:w w:val="93"/>
              </w:rPr>
              <w:t>JUNE 28, 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27, 2021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27"/>
              <w:spacing w:after="0"/>
              <w:rPr>
                <w:sz w:val="20"/>
                <w:szCs w:val="20"/>
                <w:color w:val="auto"/>
              </w:rPr>
            </w:pPr>
            <w:r>
              <w:rPr>
                <w:rFonts w:ascii="Arial" w:cs="Arial" w:eastAsia="Arial" w:hAnsi="Arial"/>
                <w:sz w:val="14"/>
                <w:szCs w:val="14"/>
                <w:b w:val="1"/>
                <w:bCs w:val="1"/>
                <w:color w:val="auto"/>
                <w:w w:val="93"/>
              </w:rPr>
              <w:t>JUNE 28, 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87"/>
              <w:spacing w:after="0"/>
              <w:rPr>
                <w:sz w:val="20"/>
                <w:szCs w:val="20"/>
                <w:color w:val="auto"/>
              </w:rPr>
            </w:pPr>
            <w:r>
              <w:rPr>
                <w:rFonts w:ascii="Arial" w:cs="Arial" w:eastAsia="Arial" w:hAnsi="Arial"/>
                <w:sz w:val="14"/>
                <w:szCs w:val="14"/>
                <w:b w:val="1"/>
                <w:bCs w:val="1"/>
                <w:color w:val="auto"/>
              </w:rPr>
              <w:t>Change</w:t>
            </w:r>
          </w:p>
        </w:tc>
      </w:tr>
      <w:tr>
        <w:trPr>
          <w:trHeight w:val="20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15.0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r>
    </w:tbl>
    <w:p>
      <w:pPr>
        <w:spacing w:after="0" w:line="29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decrease in Interest expense, net for the thirteen weeks ended June 27, 2021 as compared to the thirteen weeks ended June 28, 2020 was primarily due to lower revolver borrowings and lower interest rates on our unhedged variable rate debt, partially offset by interest expense from our 2029 Notes issued in April 2021.</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increase in Interest expense, net for the twenty-six weeks ended June 27, 2021 as compared to the twenty-six weeks ended June 28, 2020 was primarily due to interest expense from our 2025 Notes issued in May 2020 and our 2029 Notes issued in April 2021, partially offset by lower revolver borrowings and lower interest rates on our unhedged variable rate debt.</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Provision (benefit) for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Pr>
          <w:p>
            <w:pPr>
              <w:spacing w:after="0"/>
              <w:rPr>
                <w:sz w:val="17"/>
                <w:szCs w:val="17"/>
                <w:color w:val="auto"/>
              </w:rPr>
            </w:pPr>
          </w:p>
        </w:tc>
        <w:tc>
          <w:tcPr>
            <w:tcW w:w="2800" w:type="dxa"/>
            <w:vAlign w:val="bottom"/>
            <w:gridSpan w:val="4"/>
          </w:tcPr>
          <w:p>
            <w:pPr>
              <w:ind w:left="460"/>
              <w:spacing w:after="0"/>
              <w:rPr>
                <w:sz w:val="20"/>
                <w:szCs w:val="20"/>
                <w:color w:val="auto"/>
              </w:rPr>
            </w:pPr>
            <w:r>
              <w:rPr>
                <w:rFonts w:ascii="Arial" w:cs="Arial" w:eastAsia="Arial" w:hAnsi="Arial"/>
                <w:sz w:val="14"/>
                <w:szCs w:val="14"/>
                <w:b w:val="1"/>
                <w:bCs w:val="1"/>
                <w:color w:val="auto"/>
              </w:rPr>
              <w:t>THIRTEEN WEEKS ENDED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4"/>
          </w:tcPr>
          <w:p>
            <w:pPr>
              <w:ind w:left="380"/>
              <w:spacing w:after="0"/>
              <w:rPr>
                <w:sz w:val="20"/>
                <w:szCs w:val="20"/>
                <w:color w:val="auto"/>
              </w:rPr>
            </w:pPr>
            <w:r>
              <w:rPr>
                <w:rFonts w:ascii="Arial" w:cs="Arial" w:eastAsia="Arial" w:hAnsi="Arial"/>
                <w:sz w:val="14"/>
                <w:szCs w:val="14"/>
                <w:b w:val="1"/>
                <w:bCs w:val="1"/>
                <w:color w:val="auto"/>
              </w:rPr>
              <w:t>TWENTY-SIX WEEKS ENDED</w:t>
            </w:r>
          </w:p>
        </w:tc>
        <w:tc>
          <w:tcPr>
            <w:tcW w:w="1040" w:type="dxa"/>
            <w:vAlign w:val="bottom"/>
          </w:tcPr>
          <w:p>
            <w:pPr>
              <w:spacing w:after="0"/>
              <w:rPr>
                <w:sz w:val="17"/>
                <w:szCs w:val="17"/>
                <w:color w:val="auto"/>
              </w:rPr>
            </w:pPr>
          </w:p>
        </w:tc>
      </w:tr>
      <w:tr>
        <w:trPr>
          <w:trHeight w:val="173"/>
        </w:trPr>
        <w:tc>
          <w:tcPr>
            <w:tcW w:w="3440" w:type="dxa"/>
            <w:vAlign w:val="bottom"/>
          </w:tcPr>
          <w:p>
            <w:pPr>
              <w:spacing w:after="0"/>
              <w:rPr>
                <w:sz w:val="15"/>
                <w:szCs w:val="15"/>
                <w:color w:val="auto"/>
              </w:rPr>
            </w:pPr>
          </w:p>
        </w:tc>
        <w:tc>
          <w:tcPr>
            <w:tcW w:w="140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JUNE 27, 2021</w:t>
            </w:r>
          </w:p>
        </w:tc>
        <w:tc>
          <w:tcPr>
            <w:tcW w:w="1300" w:type="dxa"/>
            <w:vAlign w:val="bottom"/>
            <w:tcBorders>
              <w:top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5"/>
                <w:szCs w:val="15"/>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27, 2021</w:t>
            </w:r>
          </w:p>
        </w:tc>
        <w:tc>
          <w:tcPr>
            <w:tcW w:w="1300" w:type="dxa"/>
            <w:vAlign w:val="bottom"/>
            <w:tcBorders>
              <w:top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5"/>
                <w:szCs w:val="15"/>
                <w:color w:val="auto"/>
              </w:rPr>
            </w:pPr>
          </w:p>
        </w:tc>
        <w:tc>
          <w:tcPr>
            <w:tcW w:w="1040" w:type="dxa"/>
            <w:vAlign w:val="bottom"/>
          </w:tcPr>
          <w:p>
            <w:pPr>
              <w:jc w:val="right"/>
              <w:ind w:right="227"/>
              <w:spacing w:after="0"/>
              <w:rPr>
                <w:sz w:val="20"/>
                <w:szCs w:val="20"/>
                <w:color w:val="auto"/>
              </w:rPr>
            </w:pPr>
            <w:r>
              <w:rPr>
                <w:rFonts w:ascii="Arial" w:cs="Arial" w:eastAsia="Arial" w:hAnsi="Arial"/>
                <w:sz w:val="14"/>
                <w:szCs w:val="14"/>
                <w:b w:val="1"/>
                <w:bCs w:val="1"/>
                <w:color w:val="auto"/>
              </w:rPr>
              <w:t>Change</w:t>
            </w:r>
          </w:p>
        </w:tc>
      </w:tr>
      <w:tr>
        <w:trPr>
          <w:trHeight w:val="206"/>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Effective income tax rate</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21.1 %</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27.9 %</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15.9 %</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30.4 %</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w:t>
            </w:r>
          </w:p>
        </w:tc>
      </w:tr>
    </w:tbl>
    <w:p>
      <w:pPr>
        <w:spacing w:after="0" w:line="30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effective income tax rate for the thirteen and twenty-six weeks ended June 27, 2021 decreased by 6.8 and 14.5 percentage points, respectively, as compared to the thirteen and twenty-six weeks ended June 28, 2020. These decreases were primarily due to the benefit of FICA tax credits on certain employees’ tips reducing the effective tax rate in 2021 as a result of forecasted pre-tax book income as compared to increasing the effective tax rate in 2020 as a result of forecasted pre-tax book loss.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SEGMENT PERFORMANCE</w:t>
      </w:r>
    </w:p>
    <w:p>
      <w:pPr>
        <w:spacing w:after="0" w:line="233"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We consider our restaurant concepts and international markets as operating segments, which reflects how we manage our business, review operating performance and allocate resources. Resources are allocated and performance is assessed by our CEO, whom we have determined to be our CODM. We aggregate our operating segments into two reportable segments, U.S. and international. The U.S. segment includes all restaurants operating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in the U.S. while restaurants operating outside the U.S. are included in the international segment. The following is a summary of reporting segments:</w:t>
      </w:r>
    </w:p>
    <w:p>
      <w:pPr>
        <w:spacing w:after="0" w:line="8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U.S.</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458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3820" w:type="dxa"/>
            <w:vAlign w:val="bottom"/>
            <w:tcBorders>
              <w:top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United States of America</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Bonefish Grill</w:t>
            </w:r>
          </w:p>
        </w:tc>
        <w:tc>
          <w:tcPr>
            <w:tcW w:w="100" w:type="dxa"/>
            <w:vAlign w:val="bottom"/>
            <w:tcBorders>
              <w:right w:val="single" w:sz="8" w:color="auto"/>
            </w:tcBorders>
            <w:shd w:val="clear" w:color="auto" w:fill="CCEEFF"/>
          </w:tcPr>
          <w:p>
            <w:pPr>
              <w:spacing w:after="0"/>
              <w:rPr>
                <w:sz w:val="8"/>
                <w:szCs w:val="8"/>
                <w:color w:val="auto"/>
              </w:rPr>
            </w:pPr>
          </w:p>
        </w:tc>
        <w:tc>
          <w:tcPr>
            <w:tcW w:w="3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660" w:type="dxa"/>
            <w:vAlign w:val="bottom"/>
            <w:tcBorders>
              <w:left w:val="single" w:sz="8" w:color="auto"/>
              <w:right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580" w:type="dxa"/>
            <w:vAlign w:val="bottom"/>
            <w:tcBorders>
              <w:right w:val="single" w:sz="8" w:color="auto"/>
            </w:tcBorders>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3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International</w:t>
            </w: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 Hong Kong/China</w:t>
            </w: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0"/>
                <w:szCs w:val="20"/>
                <w:color w:val="auto"/>
              </w:rPr>
            </w:pPr>
            <w:r>
              <w:rPr>
                <w:rFonts w:ascii="Arial" w:cs="Arial" w:eastAsia="Arial" w:hAnsi="Arial"/>
                <w:sz w:val="15"/>
                <w:szCs w:val="15"/>
                <w:color w:val="auto"/>
              </w:rPr>
              <w:t>_________________</w:t>
            </w:r>
          </w:p>
        </w:tc>
        <w:tc>
          <w:tcPr>
            <w:tcW w:w="10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franchise locations.</w:t>
      </w:r>
    </w:p>
    <w:p>
      <w:pPr>
        <w:spacing w:after="0" w:line="219"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Revenues for both segments include only transactions with customers and exclude intersegment revenues. Excluded from Income (loss) from operations for U.S. and international are certain legal and corporate costs not directly related to the performance of the segments, most stock-based compensation expenses and certain bonus expenses.</w:t>
      </w:r>
    </w:p>
    <w:p>
      <w:pPr>
        <w:spacing w:after="0" w:line="201" w:lineRule="exact"/>
        <w:rPr>
          <w:sz w:val="20"/>
          <w:szCs w:val="20"/>
          <w:color w:val="auto"/>
        </w:rPr>
      </w:pPr>
    </w:p>
    <w:p>
      <w:pPr>
        <w:jc w:val="both"/>
        <w:ind w:right="20"/>
        <w:spacing w:after="0" w:line="248" w:lineRule="auto"/>
        <w:rPr>
          <w:sz w:val="20"/>
          <w:szCs w:val="20"/>
          <w:color w:val="auto"/>
        </w:rPr>
      </w:pPr>
      <w:r>
        <w:rPr>
          <w:rFonts w:ascii="Arial" w:cs="Arial" w:eastAsia="Arial" w:hAnsi="Arial"/>
          <w:sz w:val="19"/>
          <w:szCs w:val="19"/>
          <w:color w:val="auto"/>
        </w:rPr>
        <w:t>During the thirteen and twenty-six weeks ended June 28, 2020, we recorded $2.4 million and $24.6 million, respectively, of pre-tax charges as a part of transformational initiatives. These costs were primarily recorded within General and administrative expense and Provision for impaired assets and restaurant closings and were not allocated to our segments since our CODM does not consider the impact of transformational initiatives when assessing segment performance.</w:t>
      </w:r>
    </w:p>
    <w:p>
      <w:pPr>
        <w:spacing w:after="0" w:line="206" w:lineRule="exact"/>
        <w:rPr>
          <w:sz w:val="20"/>
          <w:szCs w:val="20"/>
          <w:color w:val="auto"/>
        </w:rPr>
      </w:pPr>
    </w:p>
    <w:p>
      <w:pPr>
        <w:jc w:val="both"/>
        <w:ind w:right="20"/>
        <w:spacing w:after="0" w:line="264" w:lineRule="auto"/>
        <w:rPr>
          <w:sz w:val="20"/>
          <w:szCs w:val="20"/>
          <w:color w:val="auto"/>
        </w:rPr>
      </w:pPr>
      <w:r>
        <w:rPr>
          <w:rFonts w:ascii="Arial" w:cs="Arial" w:eastAsia="Arial" w:hAnsi="Arial"/>
          <w:sz w:val="19"/>
          <w:szCs w:val="19"/>
          <w:color w:val="auto"/>
        </w:rPr>
        <w:t xml:space="preserve">Refer to Note 19 </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Segment Reporting</w:t>
      </w:r>
      <w:r>
        <w:rPr>
          <w:rFonts w:ascii="Arial" w:cs="Arial" w:eastAsia="Arial" w:hAnsi="Arial"/>
          <w:sz w:val="19"/>
          <w:szCs w:val="19"/>
          <w:color w:val="auto"/>
        </w:rPr>
        <w:t xml:space="preserve"> of the Notes to Consolidated Financial Statements for reconciliations of segment income (loss) from operations to the consolidated operating results.</w:t>
      </w:r>
    </w:p>
    <w:p>
      <w:pPr>
        <w:spacing w:after="0" w:line="190" w:lineRule="exact"/>
        <w:rPr>
          <w:sz w:val="20"/>
          <w:szCs w:val="20"/>
          <w:color w:val="auto"/>
        </w:rPr>
      </w:pPr>
    </w:p>
    <w:p>
      <w:pPr>
        <w:jc w:val="both"/>
        <w:ind w:right="20"/>
        <w:spacing w:after="0" w:line="248" w:lineRule="auto"/>
        <w:rPr>
          <w:sz w:val="20"/>
          <w:szCs w:val="20"/>
          <w:color w:val="auto"/>
        </w:rPr>
      </w:pPr>
      <w:r>
        <w:rPr>
          <w:rFonts w:ascii="Arial" w:cs="Arial" w:eastAsia="Arial" w:hAnsi="Arial"/>
          <w:sz w:val="19"/>
          <w:szCs w:val="19"/>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Arial" w:cs="Arial" w:eastAsia="Arial" w:hAnsi="Arial"/>
          <w:sz w:val="19"/>
          <w:szCs w:val="19"/>
          <w:i w:val="1"/>
          <w:iCs w:val="1"/>
          <w:color w:val="auto"/>
        </w:rPr>
        <w:t xml:space="preserve">Overview-Key Performance Indicators </w:t>
      </w:r>
      <w:r>
        <w:rPr>
          <w:rFonts w:ascii="Arial" w:cs="Arial" w:eastAsia="Arial" w:hAnsi="Arial"/>
          <w:sz w:val="19"/>
          <w:szCs w:val="19"/>
          <w:color w:val="auto"/>
        </w:rPr>
        <w:t>and</w:t>
      </w:r>
      <w:r>
        <w:rPr>
          <w:rFonts w:ascii="Arial" w:cs="Arial" w:eastAsia="Arial" w:hAnsi="Arial"/>
          <w:sz w:val="19"/>
          <w:szCs w:val="19"/>
          <w:i w:val="1"/>
          <w:iCs w:val="1"/>
          <w:color w:val="auto"/>
        </w:rPr>
        <w:t xml:space="preserve"> Non-GAAP Financial Measures </w:t>
      </w:r>
      <w:r>
        <w:rPr>
          <w:rFonts w:ascii="Arial" w:cs="Arial" w:eastAsia="Arial" w:hAnsi="Arial"/>
          <w:sz w:val="19"/>
          <w:szCs w:val="19"/>
          <w:color w:val="auto"/>
        </w:rPr>
        <w:t>sections of Management’s Discussion and Analysis for additional</w:t>
      </w:r>
      <w:r>
        <w:rPr>
          <w:rFonts w:ascii="Arial" w:cs="Arial" w:eastAsia="Arial" w:hAnsi="Arial"/>
          <w:sz w:val="19"/>
          <w:szCs w:val="19"/>
          <w:i w:val="1"/>
          <w:iCs w:val="1"/>
          <w:color w:val="auto"/>
        </w:rPr>
        <w:t xml:space="preserve"> </w:t>
      </w:r>
      <w:r>
        <w:rPr>
          <w:rFonts w:ascii="Arial" w:cs="Arial" w:eastAsia="Arial" w:hAnsi="Arial"/>
          <w:sz w:val="19"/>
          <w:szCs w:val="19"/>
          <w:color w:val="auto"/>
        </w:rPr>
        <w:t>details regarding the calculation of restaurant-level operating margin.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720" w:type="dxa"/>
            <w:vAlign w:val="bottom"/>
            <w:gridSpan w:val="4"/>
          </w:tcPr>
          <w:p>
            <w:pPr>
              <w:jc w:val="right"/>
              <w:ind w:right="40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84"/>
              <w:spacing w:after="0"/>
              <w:rPr>
                <w:sz w:val="20"/>
                <w:szCs w:val="20"/>
                <w:color w:val="auto"/>
              </w:rPr>
            </w:pPr>
            <w:r>
              <w:rPr>
                <w:rFonts w:ascii="Arial" w:cs="Arial" w:eastAsia="Arial" w:hAnsi="Arial"/>
                <w:sz w:val="14"/>
                <w:szCs w:val="14"/>
                <w:b w:val="1"/>
                <w:bCs w:val="1"/>
                <w:color w:val="auto"/>
                <w:w w:val="96"/>
              </w:rPr>
              <w:t>JUNE 28, 2020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84"/>
              <w:spacing w:after="0"/>
              <w:rPr>
                <w:sz w:val="20"/>
                <w:szCs w:val="20"/>
                <w:color w:val="auto"/>
              </w:rPr>
            </w:pPr>
            <w:r>
              <w:rPr>
                <w:rFonts w:ascii="Arial" w:cs="Arial" w:eastAsia="Arial" w:hAnsi="Arial"/>
                <w:sz w:val="14"/>
                <w:szCs w:val="14"/>
                <w:b w:val="1"/>
                <w:bCs w:val="1"/>
                <w:color w:val="auto"/>
                <w:w w:val="98"/>
              </w:rPr>
              <w:t>JUNE 28, 2020</w:t>
            </w:r>
          </w:p>
        </w:tc>
      </w:tr>
      <w:tr>
        <w:trPr>
          <w:trHeight w:val="19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r>
      <w:tr>
        <w:trPr>
          <w:trHeight w:val="203"/>
        </w:trPr>
        <w:tc>
          <w:tcPr>
            <w:tcW w:w="532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25"/>
              <w:spacing w:after="0"/>
              <w:rPr>
                <w:sz w:val="20"/>
                <w:szCs w:val="20"/>
                <w:color w:val="auto"/>
              </w:rPr>
            </w:pPr>
            <w:r>
              <w:rPr>
                <w:rFonts w:ascii="Arial" w:cs="Arial" w:eastAsia="Arial" w:hAnsi="Arial"/>
                <w:sz w:val="15"/>
                <w:szCs w:val="15"/>
                <w:color w:val="auto"/>
              </w:rPr>
              <w:t>990,293</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536,767</w:t>
            </w:r>
          </w:p>
        </w:tc>
        <w:tc>
          <w:tcPr>
            <w:tcW w:w="1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1,890,352</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1,421,656</w:t>
            </w:r>
          </w:p>
        </w:tc>
      </w:tr>
      <w:tr>
        <w:trPr>
          <w:trHeight w:val="229"/>
        </w:trPr>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12,765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17,624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9,921</w:t>
            </w:r>
          </w:p>
        </w:tc>
      </w:tr>
      <w:tr>
        <w:trPr>
          <w:trHeight w:val="185"/>
        </w:trPr>
        <w:tc>
          <w:tcPr>
            <w:tcW w:w="53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revenues</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1,003,058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537,080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1,907,976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1,431,577</w:t>
            </w: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Restaurant-level operating margin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8.4 %</w:t>
            </w:r>
          </w:p>
        </w:tc>
      </w:tr>
      <w:tr>
        <w:trPr>
          <w:trHeight w:val="203"/>
        </w:trPr>
        <w:tc>
          <w:tcPr>
            <w:tcW w:w="5320" w:type="dxa"/>
            <w:vAlign w:val="bottom"/>
          </w:tcPr>
          <w:p>
            <w:pPr>
              <w:ind w:left="140"/>
              <w:spacing w:after="0"/>
              <w:rPr>
                <w:sz w:val="20"/>
                <w:szCs w:val="20"/>
                <w:color w:val="auto"/>
              </w:rPr>
            </w:pPr>
            <w:r>
              <w:rPr>
                <w:rFonts w:ascii="Arial" w:cs="Arial" w:eastAsia="Arial" w:hAnsi="Arial"/>
                <w:sz w:val="15"/>
                <w:szCs w:val="15"/>
                <w:color w:val="auto"/>
              </w:rPr>
              <w:t>Income (loss) from operations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25"/>
              <w:spacing w:after="0"/>
              <w:rPr>
                <w:sz w:val="20"/>
                <w:szCs w:val="20"/>
                <w:color w:val="auto"/>
              </w:rPr>
            </w:pPr>
            <w:r>
              <w:rPr>
                <w:rFonts w:ascii="Arial" w:cs="Arial" w:eastAsia="Arial" w:hAnsi="Arial"/>
                <w:sz w:val="15"/>
                <w:szCs w:val="15"/>
                <w:color w:val="auto"/>
              </w:rPr>
              <w:t>165,297</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(62,921)</w:t>
            </w:r>
          </w:p>
        </w:tc>
        <w:tc>
          <w:tcPr>
            <w:tcW w:w="1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287,032</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(51,542)</w:t>
            </w:r>
          </w:p>
        </w:tc>
      </w:tr>
      <w:tr>
        <w:trPr>
          <w:trHeight w:val="209"/>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 (loss) margin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U.S. segment Restaurant sales for the periods indicated:</w:t>
      </w:r>
    </w:p>
    <w:p>
      <w:pPr>
        <w:sectPr>
          <w:pgSz w:w="11900" w:h="16838" w:orient="portrait"/>
          <w:cols w:equalWidth="0" w:num="1">
            <w:col w:w="11240"/>
          </w:cols>
          <w:pgMar w:left="320" w:top="122" w:right="339" w:bottom="1440" w:gutter="0" w:footer="0" w:header="0"/>
        </w:sectPr>
      </w:pPr>
    </w:p>
    <w:p>
      <w:pPr>
        <w:spacing w:after="0" w:line="1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millions)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 the periods ended June 28, 2020</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 from:</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Comparable restaurant sales</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Restaurant openings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Restaurant closures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 the periods ended June 27, 2021</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60" w:type="dxa"/>
            <w:vAlign w:val="bottom"/>
          </w:tcPr>
          <w:p>
            <w:pPr>
              <w:spacing w:after="0"/>
              <w:rPr>
                <w:sz w:val="17"/>
                <w:szCs w:val="17"/>
                <w:color w:val="auto"/>
              </w:rPr>
            </w:pPr>
          </w:p>
        </w:tc>
        <w:tc>
          <w:tcPr>
            <w:tcW w:w="2480" w:type="dxa"/>
            <w:vAlign w:val="bottom"/>
            <w:gridSpan w:val="2"/>
          </w:tcPr>
          <w:p>
            <w:pPr>
              <w:ind w:left="16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400" w:type="dxa"/>
            <w:vAlign w:val="bottom"/>
          </w:tcPr>
          <w:p>
            <w:pPr>
              <w:jc w:val="right"/>
              <w:ind w:right="264"/>
              <w:spacing w:after="0"/>
              <w:rPr>
                <w:sz w:val="20"/>
                <w:szCs w:val="20"/>
                <w:color w:val="auto"/>
              </w:rPr>
            </w:pPr>
            <w:r>
              <w:rPr>
                <w:rFonts w:ascii="Arial" w:cs="Arial" w:eastAsia="Arial" w:hAnsi="Arial"/>
                <w:sz w:val="14"/>
                <w:szCs w:val="14"/>
                <w:b w:val="1"/>
                <w:bCs w:val="1"/>
                <w:color w:val="auto"/>
              </w:rPr>
              <w:t>TWENTY-SIX WEEKS ENDED</w:t>
            </w:r>
          </w:p>
        </w:tc>
      </w:tr>
      <w:tr>
        <w:trPr>
          <w:trHeight w:val="201"/>
        </w:trPr>
        <w:tc>
          <w:tcPr>
            <w:tcW w:w="26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23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536.8</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1,421.7</w:t>
            </w:r>
          </w:p>
        </w:tc>
      </w:tr>
      <w:tr>
        <w:trPr>
          <w:trHeight w:val="413"/>
        </w:trPr>
        <w:tc>
          <w:tcPr>
            <w:tcW w:w="260" w:type="dxa"/>
            <w:vAlign w:val="bottom"/>
          </w:tcPr>
          <w:p>
            <w:pPr>
              <w:spacing w:after="0"/>
              <w:rPr>
                <w:sz w:val="24"/>
                <w:szCs w:val="24"/>
                <w:color w:val="auto"/>
              </w:rPr>
            </w:pPr>
          </w:p>
        </w:tc>
        <w:tc>
          <w:tcPr>
            <w:tcW w:w="2380" w:type="dxa"/>
            <w:vAlign w:val="bottom"/>
          </w:tcPr>
          <w:p>
            <w:pPr>
              <w:jc w:val="right"/>
              <w:ind w:right="4"/>
              <w:spacing w:after="0"/>
              <w:rPr>
                <w:sz w:val="20"/>
                <w:szCs w:val="20"/>
                <w:color w:val="auto"/>
              </w:rPr>
            </w:pPr>
            <w:r>
              <w:rPr>
                <w:rFonts w:ascii="Arial" w:cs="Arial" w:eastAsia="Arial" w:hAnsi="Arial"/>
                <w:sz w:val="15"/>
                <w:szCs w:val="15"/>
                <w:color w:val="auto"/>
              </w:rPr>
              <w:t>453.0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5"/>
                <w:szCs w:val="15"/>
                <w:color w:val="auto"/>
              </w:rPr>
              <w:t>481.4</w:t>
            </w:r>
          </w:p>
        </w:tc>
      </w:tr>
      <w:tr>
        <w:trPr>
          <w:trHeight w:val="206"/>
        </w:trPr>
        <w:tc>
          <w:tcPr>
            <w:tcW w:w="260" w:type="dxa"/>
            <w:vAlign w:val="bottom"/>
          </w:tcPr>
          <w:p>
            <w:pPr>
              <w:spacing w:after="0"/>
              <w:rPr>
                <w:sz w:val="17"/>
                <w:szCs w:val="17"/>
                <w:color w:val="auto"/>
              </w:rPr>
            </w:pPr>
          </w:p>
        </w:tc>
        <w:tc>
          <w:tcPr>
            <w:tcW w:w="2380" w:type="dxa"/>
            <w:vAlign w:val="bottom"/>
          </w:tcPr>
          <w:p>
            <w:pPr>
              <w:jc w:val="right"/>
              <w:ind w:right="4"/>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218"/>
        </w:trPr>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w:t>
            </w:r>
          </w:p>
        </w:tc>
      </w:tr>
      <w:tr>
        <w:trPr>
          <w:trHeight w:val="203"/>
        </w:trPr>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2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990.3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1,890.4</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-842645</wp:posOffset>
            </wp:positionV>
            <wp:extent cx="7138670" cy="139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-572135</wp:posOffset>
            </wp:positionV>
            <wp:extent cx="7138670" cy="1308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-310515</wp:posOffset>
            </wp:positionV>
            <wp:extent cx="7138670" cy="139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360"/>
          </w:cols>
          <w:pgMar w:left="320" w:top="122" w:right="339" w:bottom="1440" w:gutter="0" w:footer="0" w:header="0"/>
          <w:type w:val="continuous"/>
        </w:sectPr>
      </w:pPr>
    </w:p>
    <w:p>
      <w:pPr>
        <w:spacing w:after="0" w:line="6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increase in U.S. Restaurant sales during the thirteen weeks ended June 27, 2021 was primarily due to higher comparable restaurant sales from in-restaurant dining and strong retention of off-premises sales and the opening of 11 new restaurants not included in our comparable restaurant sales base. The increase in U.S. Restaurant sales was partially offset by the closure of 33 restaurants since March 29, 2020.</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increase in U.S. Restaurant sales during the twenty-six weeks ended June 27, 2021 was primarily due to higher comparable restaurant sales from in-restaurant dining and strong retention of off-premises sales and the opening of 11 new restaurants not included in our comparable restaurant sales base. The increase in U.S. Restaurant sales was partially offset by the closure of 38 restaurants since December 29, 2019.</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(loss) from operations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U.S. Income from operations generated during the thirteen weeks ended June 27, 2021 as compared to Loss from operations during the thirteen weeks ended June 28, 2020 was primarily due to: (i) an increase in comparable restaurant sales, (ii) COVID-19 pandemic related asset impairment and closure charges during 2020, (iii) a decrease in off-premises related costs and (iv) lower advertising expense. These increases were partially offset by: (i) higher operating and utilities expense, (ii) the 2020 benefit of employee retention credits from relief pay, (iii) higher management bonus and (iv) higher incentive compensation.</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U.S. Income from operations generated during the twenty-six weeks ended June 27, 2021 as compared to Loss from operations during the twenty-six weeks ended June 28, 2020 was primarily due to: (i) an increase in comparable restaurant sales, (ii) COVID-19 pandemic related charges during 2020, (iii) lower advertising expense, (iv) net relief pay in 2020 and (v) the impact of certain cost savings initiatives. These increases were partially offset by higher management bonus and higher operating and utilities expense.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International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306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27, 2021</w:t>
            </w: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27, 2021</w:t>
            </w: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28, 2020</w:t>
            </w:r>
          </w:p>
        </w:tc>
      </w:tr>
      <w:tr>
        <w:trPr>
          <w:trHeight w:val="19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05"/>
              <w:spacing w:after="0"/>
              <w:rPr>
                <w:sz w:val="20"/>
                <w:szCs w:val="20"/>
                <w:color w:val="auto"/>
              </w:rPr>
            </w:pPr>
            <w:r>
              <w:rPr>
                <w:rFonts w:ascii="Arial" w:cs="Arial" w:eastAsia="Arial" w:hAnsi="Arial"/>
                <w:sz w:val="15"/>
                <w:szCs w:val="15"/>
                <w:color w:val="auto"/>
              </w:rPr>
              <w:t>64,934</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39,494</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144,326</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150,842</w:t>
            </w:r>
          </w:p>
        </w:tc>
      </w:tr>
      <w:tr>
        <w:trPr>
          <w:trHeight w:val="229"/>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9,374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1,885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12,537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4,377</w:t>
            </w:r>
          </w:p>
        </w:tc>
      </w:tr>
      <w:tr>
        <w:trPr>
          <w:trHeight w:val="185"/>
        </w:trPr>
        <w:tc>
          <w:tcPr>
            <w:tcW w:w="45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revenues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74,308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41,379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156,863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155,219</w:t>
            </w:r>
          </w:p>
        </w:tc>
      </w:tr>
      <w:tr>
        <w:trPr>
          <w:trHeight w:val="206"/>
        </w:trPr>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Restaurant-level operating margin</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8.0 %</w:t>
            </w: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color w:val="auto"/>
              </w:rPr>
              <w:t>Income (loss) from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05"/>
              <w:spacing w:after="0"/>
              <w:rPr>
                <w:sz w:val="20"/>
                <w:szCs w:val="20"/>
                <w:color w:val="auto"/>
              </w:rPr>
            </w:pPr>
            <w:r>
              <w:rPr>
                <w:rFonts w:ascii="Arial" w:cs="Arial" w:eastAsia="Arial" w:hAnsi="Arial"/>
                <w:sz w:val="15"/>
                <w:szCs w:val="15"/>
                <w:color w:val="auto"/>
              </w:rPr>
              <w:t>2,470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(17,070)</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6,007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(10,283)</w:t>
            </w:r>
          </w:p>
        </w:tc>
      </w:tr>
      <w:tr>
        <w:trPr>
          <w:trHeight w:val="209"/>
        </w:trPr>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 (loss) margin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international segment Restaurant sales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7"/>
                <w:szCs w:val="17"/>
                <w:color w:val="auto"/>
              </w:rPr>
            </w:pPr>
          </w:p>
        </w:tc>
        <w:tc>
          <w:tcPr>
            <w:tcW w:w="2480" w:type="dxa"/>
            <w:vAlign w:val="bottom"/>
            <w:gridSpan w:val="2"/>
          </w:tcPr>
          <w:p>
            <w:pPr>
              <w:ind w:left="16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400" w:type="dxa"/>
            <w:vAlign w:val="bottom"/>
          </w:tcPr>
          <w:p>
            <w:pPr>
              <w:jc w:val="right"/>
              <w:ind w:right="264"/>
              <w:spacing w:after="0"/>
              <w:rPr>
                <w:sz w:val="20"/>
                <w:szCs w:val="20"/>
                <w:color w:val="auto"/>
              </w:rPr>
            </w:pPr>
            <w:r>
              <w:rPr>
                <w:rFonts w:ascii="Arial" w:cs="Arial" w:eastAsia="Arial" w:hAnsi="Arial"/>
                <w:sz w:val="14"/>
                <w:szCs w:val="14"/>
                <w:b w:val="1"/>
                <w:bCs w:val="1"/>
                <w:color w:val="auto"/>
              </w:rPr>
              <w:t>TWENTY-SIX WEEKS ENDED</w:t>
            </w:r>
          </w:p>
        </w:tc>
      </w:tr>
      <w:tr>
        <w:trPr>
          <w:trHeight w:val="206"/>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June 28, 2020</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39.5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150.8</w:t>
            </w:r>
          </w:p>
        </w:tc>
      </w:tr>
      <w:tr>
        <w:trPr>
          <w:trHeight w:val="203"/>
        </w:trPr>
        <w:tc>
          <w:tcPr>
            <w:tcW w:w="588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9"/>
        </w:trPr>
        <w:tc>
          <w:tcPr>
            <w:tcW w:w="5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03"/>
        </w:trPr>
        <w:tc>
          <w:tcPr>
            <w:tcW w:w="5880" w:type="dxa"/>
            <w:vAlign w:val="bottom"/>
          </w:tcPr>
          <w:p>
            <w:pPr>
              <w:ind w:left="320"/>
              <w:spacing w:after="0"/>
              <w:rPr>
                <w:sz w:val="20"/>
                <w:szCs w:val="20"/>
                <w:color w:val="auto"/>
              </w:rPr>
            </w:pPr>
            <w:r>
              <w:rPr>
                <w:rFonts w:ascii="Arial" w:cs="Arial" w:eastAsia="Arial" w:hAnsi="Arial"/>
                <w:sz w:val="15"/>
                <w:szCs w:val="15"/>
                <w:color w:val="auto"/>
              </w:rPr>
              <w:t>Restaurant openings</w:t>
            </w:r>
          </w:p>
        </w:tc>
        <w:tc>
          <w:tcPr>
            <w:tcW w:w="260" w:type="dxa"/>
            <w:vAlign w:val="bottom"/>
          </w:tcPr>
          <w:p>
            <w:pPr>
              <w:spacing w:after="0"/>
              <w:rPr>
                <w:sz w:val="17"/>
                <w:szCs w:val="17"/>
                <w:color w:val="auto"/>
              </w:rPr>
            </w:pPr>
          </w:p>
        </w:tc>
        <w:tc>
          <w:tcPr>
            <w:tcW w:w="2380" w:type="dxa"/>
            <w:vAlign w:val="bottom"/>
          </w:tcPr>
          <w:p>
            <w:pPr>
              <w:jc w:val="right"/>
              <w:ind w:right="4"/>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5"/>
                <w:szCs w:val="15"/>
                <w:color w:val="auto"/>
              </w:rPr>
              <w:t>13.9</w:t>
            </w:r>
          </w:p>
        </w:tc>
      </w:tr>
      <w:tr>
        <w:trPr>
          <w:trHeight w:val="209"/>
        </w:trPr>
        <w:tc>
          <w:tcPr>
            <w:tcW w:w="5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Effect of foreign currency translation</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r>
      <w:tr>
        <w:trPr>
          <w:trHeight w:val="199"/>
        </w:trPr>
        <w:tc>
          <w:tcPr>
            <w:tcW w:w="58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Restaurant closures</w:t>
            </w:r>
          </w:p>
        </w:tc>
        <w:tc>
          <w:tcPr>
            <w:tcW w:w="2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r>
      <w:tr>
        <w:trPr>
          <w:trHeight w:val="231"/>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June 27, 2021</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increase in international Restaurant sales during the thirteen weeks ended June 27, 2021 was primarily due to higher comparable restaurant sales principally attributable to the impact of the COVID-19 pandemic on fiscal year 2020 international Restaurant sales and the opening of 21 new restaurants not included in our comparable restaurant sales base.</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decrease in international Restaurant sales during the twenty-six weeks ended June 27, 2021 was primarily due to the effect of foreign currency translation of the Brazilian Real relative to the U.S. dollar partially offset by the opening of 24 new restaurants not included in our comparable restaurant sales base.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(loss) from operations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International Income from operations generated during the thirteen weeks ended June 27, 2021, as compared to Loss from operations during the thirteen weeks ended June 28, 2020, was primarily due to: (i) higher restaurant sales due to the reopening of restaurant dining rooms and increases in average check per person, (ii) favorable court rulings in Brazil related to value-added taxes recorded in other revenues and (iii) a decrease in off-premises related costs. These increases were partially offset by additional: (i) utilities, rent and operating expense, (ii) higher labor costs and (iii) commodity inflation.</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International Income from operations generated during the twenty-six weeks ended June 27, 2021, as compared to Loss from operations during the twenty-six weeks ended June 28, 2020, was primarily due to: (i) higher restaurant sales from increases in average check per person and the reopening of restaurant dining rooms, (ii) lower labor costs and (iii) favorable court rulings in Brazil related to value-added taxes recorded in other revenues. These increases were partially offset by additional: (i) commodity inflation, (ii) utilities and operating expense and (iii) incremental off-premises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 xml:space="preserve">System-Wide Sales - </w:t>
      </w:r>
      <w:r>
        <w:rPr>
          <w:rFonts w:ascii="Arial" w:cs="Arial" w:eastAsia="Arial" w:hAnsi="Arial"/>
          <w:sz w:val="17"/>
          <w:szCs w:val="17"/>
          <w:color w:val="auto"/>
        </w:rPr>
        <w:t>System-wide sales is a non-GAAP financial measure that includes sales of all restaurants operating under our brand names,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3 </w:t>
      </w:r>
      <w:r>
        <w:rPr>
          <w:rFonts w:ascii="Arial" w:cs="Arial" w:eastAsia="Arial" w:hAnsi="Arial"/>
          <w:sz w:val="15"/>
          <w:szCs w:val="15"/>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of the Notes to Consolidated Financial Statements.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7"/>
                <w:szCs w:val="17"/>
                <w:color w:val="auto"/>
              </w:rPr>
            </w:pPr>
          </w:p>
        </w:tc>
        <w:tc>
          <w:tcPr>
            <w:tcW w:w="3260" w:type="dxa"/>
            <w:vAlign w:val="bottom"/>
            <w:gridSpan w:val="4"/>
          </w:tcPr>
          <w:p>
            <w:pPr>
              <w:jc w:val="right"/>
              <w:ind w:right="704"/>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27, 2021</w:t>
            </w:r>
          </w:p>
        </w:tc>
        <w:tc>
          <w:tcPr>
            <w:tcW w:w="2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19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12"/>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Bonefish Grill</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Steakhouse-South Korea</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12"/>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12"/>
        </w:trPr>
        <w:tc>
          <w:tcPr>
            <w:tcW w:w="4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06"/>
        </w:trPr>
        <w:tc>
          <w:tcPr>
            <w:tcW w:w="4560" w:type="dxa"/>
            <w:vAlign w:val="bottom"/>
          </w:tcPr>
          <w:p>
            <w:pPr>
              <w:ind w:left="20"/>
              <w:spacing w:after="0"/>
              <w:rPr>
                <w:sz w:val="20"/>
                <w:szCs w:val="20"/>
                <w:color w:val="auto"/>
              </w:rPr>
            </w:pPr>
            <w:r>
              <w:rPr>
                <w:rFonts w:ascii="Arial" w:cs="Arial" w:eastAsia="Arial" w:hAnsi="Arial"/>
                <w:sz w:val="15"/>
                <w:szCs w:val="15"/>
                <w:color w:val="auto"/>
              </w:rPr>
              <w:t>Total franchise sales (1)</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5"/>
                <w:szCs w:val="15"/>
                <w:color w:val="auto"/>
              </w:rPr>
              <w:t>_____________________</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Franchise sales are not included in Total revenues in the Consolidated Statements of Operations and Comprehensive Income (Loss).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90"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i w:val="1"/>
          <w:iCs w:val="1"/>
          <w:color w:val="auto"/>
        </w:rPr>
        <w:t xml:space="preserve">Restaurant-level operating margin </w:t>
      </w:r>
      <w:r>
        <w:rPr>
          <w:rFonts w:ascii="Arial" w:cs="Arial" w:eastAsia="Arial" w:hAnsi="Arial"/>
          <w:sz w:val="19"/>
          <w:szCs w:val="19"/>
          <w:color w:val="auto"/>
        </w:rPr>
        <w:t>- The following tables reconcile consolidated and segment Income (loss) from operations and the corresponding</w:t>
      </w:r>
      <w:r>
        <w:rPr>
          <w:rFonts w:ascii="Arial" w:cs="Arial" w:eastAsia="Arial" w:hAnsi="Arial"/>
          <w:sz w:val="19"/>
          <w:szCs w:val="19"/>
          <w:i w:val="1"/>
          <w:iCs w:val="1"/>
          <w:color w:val="auto"/>
        </w:rPr>
        <w:t xml:space="preserve"> </w:t>
      </w:r>
      <w:r>
        <w:rPr>
          <w:rFonts w:ascii="Arial" w:cs="Arial" w:eastAsia="Arial" w:hAnsi="Arial"/>
          <w:sz w:val="19"/>
          <w:szCs w:val="19"/>
          <w:color w:val="auto"/>
        </w:rPr>
        <w:t>margins to Restaurant-level operating income (loss) and the corresponding margins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Consolidated</w:t>
            </w:r>
          </w:p>
        </w:tc>
        <w:tc>
          <w:tcPr>
            <w:tcW w:w="240" w:type="dxa"/>
            <w:vAlign w:val="bottom"/>
          </w:tcPr>
          <w:p>
            <w:pPr>
              <w:spacing w:after="0"/>
              <w:rPr>
                <w:sz w:val="18"/>
                <w:szCs w:val="18"/>
                <w:color w:val="auto"/>
              </w:rPr>
            </w:pPr>
          </w:p>
        </w:tc>
        <w:tc>
          <w:tcPr>
            <w:tcW w:w="31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8"/>
                <w:szCs w:val="18"/>
                <w:color w:val="auto"/>
              </w:rPr>
            </w:pPr>
          </w:p>
        </w:tc>
        <w:tc>
          <w:tcPr>
            <w:tcW w:w="308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TWENTY-SIX WEEKS ENDED</w:t>
            </w:r>
          </w:p>
        </w:tc>
      </w:tr>
      <w:tr>
        <w:trPr>
          <w:trHeight w:val="173"/>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28, 2020</w:t>
            </w:r>
          </w:p>
        </w:tc>
      </w:tr>
      <w:tr>
        <w:trPr>
          <w:trHeight w:val="20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124,637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(111,912)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215,635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(153,480)</w:t>
            </w: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i w:val="1"/>
                <w:iCs w:val="1"/>
                <w:color w:val="auto"/>
              </w:rPr>
              <w:t>Operating income (loss) margin</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(9.7)%</w:t>
            </w:r>
          </w:p>
        </w:tc>
      </w:tr>
      <w:tr>
        <w:trPr>
          <w:trHeight w:val="209"/>
        </w:trPr>
        <w:tc>
          <w:tcPr>
            <w:tcW w:w="4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22,139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2,198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30,161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14,298</w:t>
            </w:r>
          </w:p>
        </w:tc>
      </w:tr>
      <w:tr>
        <w:trPr>
          <w:trHeight w:val="209"/>
        </w:trPr>
        <w:tc>
          <w:tcPr>
            <w:tcW w:w="4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40,539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45,784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81,765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94,052</w:t>
            </w:r>
          </w:p>
        </w:tc>
      </w:tr>
      <w:tr>
        <w:trPr>
          <w:trHeight w:val="209"/>
        </w:trPr>
        <w:tc>
          <w:tcPr>
            <w:tcW w:w="4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66,462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55,487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123,710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140,289</w:t>
            </w:r>
          </w:p>
        </w:tc>
      </w:tr>
      <w:tr>
        <w:trPr>
          <w:trHeight w:val="212"/>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5,177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24,959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7,377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66,277</w:t>
            </w:r>
          </w:p>
        </w:tc>
      </w:tr>
      <w:tr>
        <w:trPr>
          <w:trHeight w:val="22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214,676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12,120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398,326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132,840</w:t>
            </w:r>
          </w:p>
        </w:tc>
      </w:tr>
      <w:tr>
        <w:trPr>
          <w:trHeight w:val="186"/>
        </w:trPr>
        <w:tc>
          <w:tcPr>
            <w:tcW w:w="456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20.3 %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19.6 %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8.4 %</w:t>
            </w:r>
          </w:p>
        </w:tc>
      </w:tr>
      <w:tr>
        <w:trPr>
          <w:trHeight w:val="463"/>
        </w:trPr>
        <w:tc>
          <w:tcPr>
            <w:tcW w:w="45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U.S.</w:t>
            </w:r>
          </w:p>
        </w:tc>
        <w:tc>
          <w:tcPr>
            <w:tcW w:w="240" w:type="dxa"/>
            <w:vAlign w:val="bottom"/>
          </w:tcPr>
          <w:p>
            <w:pPr>
              <w:spacing w:after="0"/>
              <w:rPr>
                <w:sz w:val="24"/>
                <w:szCs w:val="24"/>
                <w:color w:val="auto"/>
              </w:rPr>
            </w:pPr>
          </w:p>
        </w:tc>
        <w:tc>
          <w:tcPr>
            <w:tcW w:w="31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24"/>
                <w:szCs w:val="24"/>
                <w:color w:val="auto"/>
              </w:rPr>
            </w:pPr>
          </w:p>
        </w:tc>
        <w:tc>
          <w:tcPr>
            <w:tcW w:w="308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TWENTY-SIX WEEKS ENDED</w:t>
            </w:r>
          </w:p>
        </w:tc>
      </w:tr>
      <w:tr>
        <w:trPr>
          <w:trHeight w:val="173"/>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28, 2020</w:t>
            </w:r>
          </w:p>
        </w:tc>
      </w:tr>
      <w:tr>
        <w:trPr>
          <w:trHeight w:val="20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165,297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(62,921)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287,032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(51,542)</w:t>
            </w: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i w:val="1"/>
                <w:iCs w:val="1"/>
                <w:color w:val="auto"/>
              </w:rPr>
              <w:t>Operating income (loss) margin</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09"/>
        </w:trPr>
        <w:tc>
          <w:tcPr>
            <w:tcW w:w="4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12,765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313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17,624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9,921</w:t>
            </w:r>
          </w:p>
        </w:tc>
      </w:tr>
      <w:tr>
        <w:trPr>
          <w:trHeight w:val="209"/>
        </w:trPr>
        <w:tc>
          <w:tcPr>
            <w:tcW w:w="4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33,579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37,308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67,224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74,948</w:t>
            </w:r>
          </w:p>
        </w:tc>
      </w:tr>
      <w:tr>
        <w:trPr>
          <w:trHeight w:val="209"/>
        </w:trPr>
        <w:tc>
          <w:tcPr>
            <w:tcW w:w="4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22,953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18,343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44,045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49,223</w:t>
            </w:r>
          </w:p>
        </w:tc>
      </w:tr>
      <w:tr>
        <w:trPr>
          <w:trHeight w:val="212"/>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5,676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24,781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7,139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56,475</w:t>
            </w:r>
          </w:p>
        </w:tc>
      </w:tr>
      <w:tr>
        <w:trPr>
          <w:trHeight w:val="22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214,740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17,198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387,816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119,183</w:t>
            </w:r>
          </w:p>
        </w:tc>
      </w:tr>
      <w:tr>
        <w:trPr>
          <w:trHeight w:val="186"/>
        </w:trPr>
        <w:tc>
          <w:tcPr>
            <w:tcW w:w="456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8.4 %</w:t>
            </w:r>
          </w:p>
        </w:tc>
      </w:tr>
      <w:tr>
        <w:trPr>
          <w:trHeight w:val="463"/>
        </w:trPr>
        <w:tc>
          <w:tcPr>
            <w:tcW w:w="45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International</w:t>
            </w:r>
          </w:p>
        </w:tc>
        <w:tc>
          <w:tcPr>
            <w:tcW w:w="240" w:type="dxa"/>
            <w:vAlign w:val="bottom"/>
          </w:tcPr>
          <w:p>
            <w:pPr>
              <w:spacing w:after="0"/>
              <w:rPr>
                <w:sz w:val="24"/>
                <w:szCs w:val="24"/>
                <w:color w:val="auto"/>
              </w:rPr>
            </w:pPr>
          </w:p>
        </w:tc>
        <w:tc>
          <w:tcPr>
            <w:tcW w:w="31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24"/>
                <w:szCs w:val="24"/>
                <w:color w:val="auto"/>
              </w:rPr>
            </w:pPr>
          </w:p>
        </w:tc>
        <w:tc>
          <w:tcPr>
            <w:tcW w:w="308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TWENTY-SIX WEEKS ENDED</w:t>
            </w:r>
          </w:p>
        </w:tc>
      </w:tr>
      <w:tr>
        <w:trPr>
          <w:trHeight w:val="173"/>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28, 2020</w:t>
            </w:r>
          </w:p>
        </w:tc>
      </w:tr>
      <w:tr>
        <w:trPr>
          <w:trHeight w:val="20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2,470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(17,070)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6,007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(10,283)</w:t>
            </w: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i w:val="1"/>
                <w:iCs w:val="1"/>
                <w:color w:val="auto"/>
              </w:rPr>
              <w:t>Operating income (loss) margin</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09"/>
        </w:trPr>
        <w:tc>
          <w:tcPr>
            <w:tcW w:w="4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9,374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1,885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12,537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4,377</w:t>
            </w:r>
          </w:p>
        </w:tc>
      </w:tr>
      <w:tr>
        <w:trPr>
          <w:trHeight w:val="209"/>
        </w:trPr>
        <w:tc>
          <w:tcPr>
            <w:tcW w:w="4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5,565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5,884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11,285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12,642</w:t>
            </w:r>
          </w:p>
        </w:tc>
      </w:tr>
      <w:tr>
        <w:trPr>
          <w:trHeight w:val="209"/>
        </w:trPr>
        <w:tc>
          <w:tcPr>
            <w:tcW w:w="4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4,116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4,146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8,721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10,402</w:t>
            </w:r>
          </w:p>
        </w:tc>
      </w:tr>
      <w:tr>
        <w:trPr>
          <w:trHeight w:val="212"/>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(708)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3,640</w:t>
            </w:r>
          </w:p>
        </w:tc>
      </w:tr>
      <w:tr>
        <w:trPr>
          <w:trHeight w:val="22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 (loss)</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2,069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(8,629)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13,475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12,024</w:t>
            </w:r>
          </w:p>
        </w:tc>
      </w:tr>
      <w:tr>
        <w:trPr>
          <w:trHeight w:val="186"/>
        </w:trPr>
        <w:tc>
          <w:tcPr>
            <w:tcW w:w="456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i w:val="1"/>
          <w:iCs w:val="1"/>
          <w:color w:val="auto"/>
        </w:rPr>
        <w:t xml:space="preserve">Adjusted restaurant-level operating margin - </w:t>
      </w:r>
      <w:r>
        <w:rPr>
          <w:rFonts w:ascii="Arial" w:cs="Arial" w:eastAsia="Arial" w:hAnsi="Arial"/>
          <w:sz w:val="19"/>
          <w:szCs w:val="19"/>
          <w:color w:val="auto"/>
        </w:rPr>
        <w:t>The following tables present the percentages of certain operating cost financial statement line items in</w:t>
      </w:r>
      <w:r>
        <w:rPr>
          <w:rFonts w:ascii="Arial" w:cs="Arial" w:eastAsia="Arial" w:hAnsi="Arial"/>
          <w:sz w:val="19"/>
          <w:szCs w:val="19"/>
          <w:i w:val="1"/>
          <w:iCs w:val="1"/>
          <w:color w:val="auto"/>
        </w:rPr>
        <w:t xml:space="preserve"> </w:t>
      </w:r>
      <w:r>
        <w:rPr>
          <w:rFonts w:ascii="Arial" w:cs="Arial" w:eastAsia="Arial" w:hAnsi="Arial"/>
          <w:sz w:val="19"/>
          <w:szCs w:val="19"/>
          <w:color w:val="auto"/>
        </w:rPr>
        <w:t>relation to Restaurant sales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b w:val="1"/>
                <w:bCs w:val="1"/>
                <w:color w:val="auto"/>
                <w:w w:val="99"/>
              </w:rPr>
              <w:t>THIRTEEN WEEKS ENDED</w:t>
            </w:r>
          </w:p>
        </w:tc>
        <w:tc>
          <w:tcPr>
            <w:tcW w:w="1640" w:type="dxa"/>
            <w:vAlign w:val="bottom"/>
            <w:tcBorders>
              <w:bottom w:val="single" w:sz="8" w:color="auto"/>
            </w:tcBorders>
          </w:tcPr>
          <w:p>
            <w:pPr>
              <w:spacing w:after="0"/>
              <w:rPr>
                <w:sz w:val="17"/>
                <w:szCs w:val="17"/>
                <w:color w:val="auto"/>
              </w:rPr>
            </w:pPr>
          </w:p>
        </w:tc>
      </w:tr>
      <w:tr>
        <w:trPr>
          <w:trHeight w:val="186"/>
        </w:trPr>
        <w:tc>
          <w:tcPr>
            <w:tcW w:w="4500" w:type="dxa"/>
            <w:vAlign w:val="bottom"/>
          </w:tcPr>
          <w:p>
            <w:pPr>
              <w:spacing w:after="0"/>
              <w:rPr>
                <w:sz w:val="16"/>
                <w:szCs w:val="16"/>
                <w:color w:val="auto"/>
              </w:rPr>
            </w:pPr>
          </w:p>
        </w:tc>
        <w:tc>
          <w:tcPr>
            <w:tcW w:w="21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1"/>
              </w:rPr>
              <w:t>JUNE 27, 2021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1144"/>
              <w:spacing w:after="0"/>
              <w:rPr>
                <w:sz w:val="20"/>
                <w:szCs w:val="20"/>
                <w:color w:val="auto"/>
              </w:rPr>
            </w:pPr>
            <w:r>
              <w:rPr>
                <w:rFonts w:ascii="Arial" w:cs="Arial" w:eastAsia="Arial" w:hAnsi="Arial"/>
                <w:sz w:val="14"/>
                <w:szCs w:val="14"/>
                <w:b w:val="1"/>
                <w:bCs w:val="1"/>
                <w:color w:val="auto"/>
              </w:rPr>
              <w:t>JUNE 28, 2020</w:t>
            </w:r>
          </w:p>
        </w:tc>
      </w:tr>
      <w:tr>
        <w:trPr>
          <w:trHeight w:val="186"/>
        </w:trPr>
        <w:tc>
          <w:tcPr>
            <w:tcW w:w="4500" w:type="dxa"/>
            <w:vAlign w:val="bottom"/>
          </w:tcPr>
          <w:p>
            <w:pPr>
              <w:spacing w:after="0"/>
              <w:rPr>
                <w:sz w:val="16"/>
                <w:szCs w:val="16"/>
                <w:color w:val="auto"/>
              </w:rPr>
            </w:pPr>
          </w:p>
        </w:tc>
        <w:tc>
          <w:tcPr>
            <w:tcW w:w="2120" w:type="dxa"/>
            <w:vAlign w:val="bottom"/>
            <w:gridSpan w:val="3"/>
          </w:tcPr>
          <w:p>
            <w:pPr>
              <w:ind w:left="420"/>
              <w:spacing w:after="0"/>
              <w:rPr>
                <w:sz w:val="20"/>
                <w:szCs w:val="20"/>
                <w:color w:val="auto"/>
              </w:rPr>
            </w:pPr>
            <w:r>
              <w:rPr>
                <w:rFonts w:ascii="Arial" w:cs="Arial" w:eastAsia="Arial" w:hAnsi="Arial"/>
                <w:sz w:val="14"/>
                <w:szCs w:val="14"/>
                <w:b w:val="1"/>
                <w:bCs w:val="1"/>
                <w:color w:val="auto"/>
              </w:rPr>
              <w:t>REPORTED</w:t>
            </w:r>
          </w:p>
        </w:tc>
        <w:tc>
          <w:tcPr>
            <w:tcW w:w="1180" w:type="dxa"/>
            <w:vAlign w:val="bottom"/>
          </w:tcPr>
          <w:p>
            <w:pPr>
              <w:jc w:val="right"/>
              <w:ind w:right="365"/>
              <w:spacing w:after="0"/>
              <w:rPr>
                <w:sz w:val="20"/>
                <w:szCs w:val="20"/>
                <w:color w:val="auto"/>
              </w:rPr>
            </w:pPr>
            <w:r>
              <w:rPr>
                <w:rFonts w:ascii="Arial" w:cs="Arial" w:eastAsia="Arial" w:hAnsi="Arial"/>
                <w:sz w:val="14"/>
                <w:szCs w:val="14"/>
                <w:b w:val="1"/>
                <w:bCs w:val="1"/>
                <w:color w:val="auto"/>
                <w:w w:val="95"/>
              </w:rPr>
              <w:t>ADJUSTED</w:t>
            </w:r>
          </w:p>
        </w:tc>
        <w:tc>
          <w:tcPr>
            <w:tcW w:w="100" w:type="dxa"/>
            <w:vAlign w:val="bottom"/>
          </w:tcPr>
          <w:p>
            <w:pPr>
              <w:spacing w:after="0"/>
              <w:rPr>
                <w:sz w:val="16"/>
                <w:szCs w:val="16"/>
                <w:color w:val="auto"/>
              </w:rPr>
            </w:pPr>
          </w:p>
        </w:tc>
        <w:tc>
          <w:tcPr>
            <w:tcW w:w="1700" w:type="dxa"/>
            <w:vAlign w:val="bottom"/>
            <w:gridSpan w:val="2"/>
          </w:tcPr>
          <w:p>
            <w:pPr>
              <w:ind w:left="420"/>
              <w:spacing w:after="0"/>
              <w:rPr>
                <w:sz w:val="20"/>
                <w:szCs w:val="20"/>
                <w:color w:val="auto"/>
              </w:rPr>
            </w:pPr>
            <w:r>
              <w:rPr>
                <w:rFonts w:ascii="Arial" w:cs="Arial" w:eastAsia="Arial" w:hAnsi="Arial"/>
                <w:sz w:val="14"/>
                <w:szCs w:val="14"/>
                <w:b w:val="1"/>
                <w:bCs w:val="1"/>
                <w:color w:val="auto"/>
              </w:rPr>
              <w:t>REPORTED</w:t>
            </w:r>
          </w:p>
        </w:tc>
        <w:tc>
          <w:tcPr>
            <w:tcW w:w="1640" w:type="dxa"/>
            <w:vAlign w:val="bottom"/>
          </w:tcPr>
          <w:p>
            <w:pPr>
              <w:jc w:val="right"/>
              <w:ind w:right="284"/>
              <w:spacing w:after="0"/>
              <w:rPr>
                <w:sz w:val="20"/>
                <w:szCs w:val="20"/>
                <w:color w:val="auto"/>
              </w:rPr>
            </w:pPr>
            <w:r>
              <w:rPr>
                <w:rFonts w:ascii="Arial" w:cs="Arial" w:eastAsia="Arial" w:hAnsi="Arial"/>
                <w:sz w:val="14"/>
                <w:szCs w:val="14"/>
                <w:b w:val="1"/>
                <w:bCs w:val="1"/>
                <w:color w:val="auto"/>
              </w:rPr>
              <w:t>ADJUSTED (1)</w:t>
            </w:r>
          </w:p>
        </w:tc>
      </w:tr>
      <w:tr>
        <w:trPr>
          <w:trHeight w:val="20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 sales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06"/>
        </w:trPr>
        <w:tc>
          <w:tcPr>
            <w:tcW w:w="4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31.2 %</w:t>
            </w:r>
          </w:p>
        </w:tc>
      </w:tr>
      <w:tr>
        <w:trPr>
          <w:trHeight w:val="203"/>
        </w:trPr>
        <w:tc>
          <w:tcPr>
            <w:tcW w:w="4500" w:type="dxa"/>
            <w:vAlign w:val="bottom"/>
          </w:tcPr>
          <w:p>
            <w:pPr>
              <w:ind w:left="20"/>
              <w:spacing w:after="0"/>
              <w:rPr>
                <w:sz w:val="20"/>
                <w:szCs w:val="20"/>
                <w:color w:val="auto"/>
              </w:rPr>
            </w:pPr>
            <w:r>
              <w:rPr>
                <w:rFonts w:ascii="Arial" w:cs="Arial" w:eastAsia="Arial" w:hAnsi="Arial"/>
                <w:sz w:val="15"/>
                <w:szCs w:val="15"/>
                <w:color w:val="auto"/>
              </w:rPr>
              <w:t>Labor and other related</w:t>
            </w:r>
          </w:p>
        </w:tc>
        <w:tc>
          <w:tcPr>
            <w:tcW w:w="1600" w:type="dxa"/>
            <w:vAlign w:val="bottom"/>
          </w:tcPr>
          <w:p>
            <w:pPr>
              <w:jc w:val="right"/>
              <w:spacing w:after="0"/>
              <w:rPr>
                <w:sz w:val="20"/>
                <w:szCs w:val="20"/>
                <w:color w:val="auto"/>
              </w:rPr>
            </w:pPr>
            <w:r>
              <w:rPr>
                <w:rFonts w:ascii="Arial" w:cs="Arial" w:eastAsia="Arial" w:hAnsi="Arial"/>
                <w:sz w:val="15"/>
                <w:szCs w:val="15"/>
                <w:color w:val="auto"/>
              </w:rPr>
              <w:t>28.0 %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28.0 %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35.7 %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35.7 %</w:t>
            </w: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30.4 %</w:t>
            </w:r>
          </w:p>
        </w:tc>
      </w:tr>
      <w:tr>
        <w:trPr>
          <w:trHeight w:val="206"/>
        </w:trPr>
        <w:tc>
          <w:tcPr>
            <w:tcW w:w="4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Restaurant-level operating margin</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r>
      <w:tr>
        <w:trPr>
          <w:trHeight w:val="393"/>
        </w:trPr>
        <w:tc>
          <w:tcPr>
            <w:tcW w:w="45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4"/>
                <w:szCs w:val="14"/>
                <w:b w:val="1"/>
                <w:bCs w:val="1"/>
                <w:color w:val="auto"/>
                <w:w w:val="98"/>
              </w:rPr>
              <w:t>TWENTY-SIX WEEKS ENDED</w:t>
            </w:r>
          </w:p>
        </w:tc>
        <w:tc>
          <w:tcPr>
            <w:tcW w:w="1640" w:type="dxa"/>
            <w:vAlign w:val="bottom"/>
            <w:tcBorders>
              <w:bottom w:val="single" w:sz="8" w:color="auto"/>
            </w:tcBorders>
          </w:tcPr>
          <w:p>
            <w:pPr>
              <w:spacing w:after="0"/>
              <w:rPr>
                <w:sz w:val="24"/>
                <w:szCs w:val="24"/>
                <w:color w:val="auto"/>
              </w:rPr>
            </w:pPr>
          </w:p>
        </w:tc>
      </w:tr>
      <w:tr>
        <w:trPr>
          <w:trHeight w:val="186"/>
        </w:trPr>
        <w:tc>
          <w:tcPr>
            <w:tcW w:w="4500" w:type="dxa"/>
            <w:vAlign w:val="bottom"/>
          </w:tcPr>
          <w:p>
            <w:pPr>
              <w:spacing w:after="0"/>
              <w:rPr>
                <w:sz w:val="16"/>
                <w:szCs w:val="16"/>
                <w:color w:val="auto"/>
              </w:rPr>
            </w:pPr>
          </w:p>
        </w:tc>
        <w:tc>
          <w:tcPr>
            <w:tcW w:w="21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1"/>
              </w:rPr>
              <w:t>JUNE 27, 2021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1144"/>
              <w:spacing w:after="0"/>
              <w:rPr>
                <w:sz w:val="20"/>
                <w:szCs w:val="20"/>
                <w:color w:val="auto"/>
              </w:rPr>
            </w:pPr>
            <w:r>
              <w:rPr>
                <w:rFonts w:ascii="Arial" w:cs="Arial" w:eastAsia="Arial" w:hAnsi="Arial"/>
                <w:sz w:val="14"/>
                <w:szCs w:val="14"/>
                <w:b w:val="1"/>
                <w:bCs w:val="1"/>
                <w:color w:val="auto"/>
              </w:rPr>
              <w:t>JUNE 28, 2020</w:t>
            </w:r>
          </w:p>
        </w:tc>
      </w:tr>
      <w:tr>
        <w:trPr>
          <w:trHeight w:val="186"/>
        </w:trPr>
        <w:tc>
          <w:tcPr>
            <w:tcW w:w="4500" w:type="dxa"/>
            <w:vAlign w:val="bottom"/>
          </w:tcPr>
          <w:p>
            <w:pPr>
              <w:spacing w:after="0"/>
              <w:rPr>
                <w:sz w:val="16"/>
                <w:szCs w:val="16"/>
                <w:color w:val="auto"/>
              </w:rPr>
            </w:pPr>
          </w:p>
        </w:tc>
        <w:tc>
          <w:tcPr>
            <w:tcW w:w="2120" w:type="dxa"/>
            <w:vAlign w:val="bottom"/>
            <w:gridSpan w:val="3"/>
          </w:tcPr>
          <w:p>
            <w:pPr>
              <w:ind w:left="420"/>
              <w:spacing w:after="0"/>
              <w:rPr>
                <w:sz w:val="20"/>
                <w:szCs w:val="20"/>
                <w:color w:val="auto"/>
              </w:rPr>
            </w:pPr>
            <w:r>
              <w:rPr>
                <w:rFonts w:ascii="Arial" w:cs="Arial" w:eastAsia="Arial" w:hAnsi="Arial"/>
                <w:sz w:val="14"/>
                <w:szCs w:val="14"/>
                <w:b w:val="1"/>
                <w:bCs w:val="1"/>
                <w:color w:val="auto"/>
              </w:rPr>
              <w:t>REPORTED</w:t>
            </w:r>
          </w:p>
        </w:tc>
        <w:tc>
          <w:tcPr>
            <w:tcW w:w="1180" w:type="dxa"/>
            <w:vAlign w:val="bottom"/>
          </w:tcPr>
          <w:p>
            <w:pPr>
              <w:jc w:val="right"/>
              <w:ind w:right="365"/>
              <w:spacing w:after="0"/>
              <w:rPr>
                <w:sz w:val="20"/>
                <w:szCs w:val="20"/>
                <w:color w:val="auto"/>
              </w:rPr>
            </w:pPr>
            <w:r>
              <w:rPr>
                <w:rFonts w:ascii="Arial" w:cs="Arial" w:eastAsia="Arial" w:hAnsi="Arial"/>
                <w:sz w:val="14"/>
                <w:szCs w:val="14"/>
                <w:b w:val="1"/>
                <w:bCs w:val="1"/>
                <w:color w:val="auto"/>
                <w:w w:val="95"/>
              </w:rPr>
              <w:t>ADJUSTED</w:t>
            </w:r>
          </w:p>
        </w:tc>
        <w:tc>
          <w:tcPr>
            <w:tcW w:w="100" w:type="dxa"/>
            <w:vAlign w:val="bottom"/>
          </w:tcPr>
          <w:p>
            <w:pPr>
              <w:spacing w:after="0"/>
              <w:rPr>
                <w:sz w:val="16"/>
                <w:szCs w:val="16"/>
                <w:color w:val="auto"/>
              </w:rPr>
            </w:pPr>
          </w:p>
        </w:tc>
        <w:tc>
          <w:tcPr>
            <w:tcW w:w="1700" w:type="dxa"/>
            <w:vAlign w:val="bottom"/>
            <w:gridSpan w:val="2"/>
          </w:tcPr>
          <w:p>
            <w:pPr>
              <w:ind w:left="420"/>
              <w:spacing w:after="0"/>
              <w:rPr>
                <w:sz w:val="20"/>
                <w:szCs w:val="20"/>
                <w:color w:val="auto"/>
              </w:rPr>
            </w:pPr>
            <w:r>
              <w:rPr>
                <w:rFonts w:ascii="Arial" w:cs="Arial" w:eastAsia="Arial" w:hAnsi="Arial"/>
                <w:sz w:val="14"/>
                <w:szCs w:val="14"/>
                <w:b w:val="1"/>
                <w:bCs w:val="1"/>
                <w:color w:val="auto"/>
              </w:rPr>
              <w:t>REPORTED</w:t>
            </w:r>
          </w:p>
        </w:tc>
        <w:tc>
          <w:tcPr>
            <w:tcW w:w="1640" w:type="dxa"/>
            <w:vAlign w:val="bottom"/>
          </w:tcPr>
          <w:p>
            <w:pPr>
              <w:jc w:val="right"/>
              <w:ind w:right="284"/>
              <w:spacing w:after="0"/>
              <w:rPr>
                <w:sz w:val="20"/>
                <w:szCs w:val="20"/>
                <w:color w:val="auto"/>
              </w:rPr>
            </w:pPr>
            <w:r>
              <w:rPr>
                <w:rFonts w:ascii="Arial" w:cs="Arial" w:eastAsia="Arial" w:hAnsi="Arial"/>
                <w:sz w:val="14"/>
                <w:szCs w:val="14"/>
                <w:b w:val="1"/>
                <w:bCs w:val="1"/>
                <w:color w:val="auto"/>
              </w:rPr>
              <w:t>ADJUSTED (1)</w:t>
            </w:r>
          </w:p>
        </w:tc>
      </w:tr>
      <w:tr>
        <w:trPr>
          <w:trHeight w:val="20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 sales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45"/>
        </w:trPr>
        <w:tc>
          <w:tcPr>
            <w:tcW w:w="4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31.4 %</w:t>
            </w:r>
          </w:p>
        </w:tc>
      </w:tr>
      <w:tr>
        <w:trPr>
          <w:trHeight w:val="203"/>
        </w:trPr>
        <w:tc>
          <w:tcPr>
            <w:tcW w:w="4500" w:type="dxa"/>
            <w:vAlign w:val="bottom"/>
          </w:tcPr>
          <w:p>
            <w:pPr>
              <w:ind w:left="20"/>
              <w:spacing w:after="0"/>
              <w:rPr>
                <w:sz w:val="20"/>
                <w:szCs w:val="20"/>
                <w:color w:val="auto"/>
              </w:rPr>
            </w:pPr>
            <w:r>
              <w:rPr>
                <w:rFonts w:ascii="Arial" w:cs="Arial" w:eastAsia="Arial" w:hAnsi="Arial"/>
                <w:sz w:val="15"/>
                <w:szCs w:val="15"/>
                <w:color w:val="auto"/>
              </w:rPr>
              <w:t>Labor and other related</w:t>
            </w:r>
          </w:p>
        </w:tc>
        <w:tc>
          <w:tcPr>
            <w:tcW w:w="1600" w:type="dxa"/>
            <w:vAlign w:val="bottom"/>
          </w:tcPr>
          <w:p>
            <w:pPr>
              <w:jc w:val="right"/>
              <w:spacing w:after="0"/>
              <w:rPr>
                <w:sz w:val="20"/>
                <w:szCs w:val="20"/>
                <w:color w:val="auto"/>
              </w:rPr>
            </w:pPr>
            <w:r>
              <w:rPr>
                <w:rFonts w:ascii="Arial" w:cs="Arial" w:eastAsia="Arial" w:hAnsi="Arial"/>
                <w:sz w:val="15"/>
                <w:szCs w:val="15"/>
                <w:color w:val="auto"/>
              </w:rPr>
              <w:t>28.0 %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28.0 %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32.7 %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32.7 %</w:t>
            </w: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27.0 %</w:t>
            </w:r>
          </w:p>
        </w:tc>
      </w:tr>
      <w:tr>
        <w:trPr>
          <w:trHeight w:val="245"/>
        </w:trPr>
        <w:tc>
          <w:tcPr>
            <w:tcW w:w="4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Restaurant-level operating margin</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8.9 %</w:t>
            </w:r>
          </w:p>
        </w:tc>
      </w:tr>
      <w:tr>
        <w:trPr>
          <w:trHeight w:val="262"/>
        </w:trPr>
        <w:tc>
          <w:tcPr>
            <w:tcW w:w="4500" w:type="dxa"/>
            <w:vAlign w:val="bottom"/>
          </w:tcPr>
          <w:p>
            <w:pPr>
              <w:spacing w:after="0"/>
              <w:rPr>
                <w:sz w:val="20"/>
                <w:szCs w:val="20"/>
                <w:color w:val="auto"/>
              </w:rPr>
            </w:pPr>
            <w:r>
              <w:rPr>
                <w:rFonts w:ascii="Arial" w:cs="Arial" w:eastAsia="Arial" w:hAnsi="Arial"/>
                <w:sz w:val="15"/>
                <w:szCs w:val="15"/>
                <w:color w:val="auto"/>
              </w:rPr>
              <w:t>_________________</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r>
    </w:tbl>
    <w:p>
      <w:pPr>
        <w:ind w:left="620" w:hanging="617"/>
        <w:spacing w:after="0" w:line="303" w:lineRule="auto"/>
        <w:tabs>
          <w:tab w:leader="none" w:pos="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Includes unfavorable (favorable) adjustments recorded in Other restaurant operating expense (unless otherwise noted below) for the following activities, as described in the </w:t>
      </w:r>
      <w:r>
        <w:rPr>
          <w:rFonts w:ascii="Arial" w:cs="Arial" w:eastAsia="Arial" w:hAnsi="Arial"/>
          <w:sz w:val="14"/>
          <w:szCs w:val="14"/>
          <w:i w:val="1"/>
          <w:iCs w:val="1"/>
          <w:color w:val="auto"/>
        </w:rPr>
        <w:t xml:space="preserve">Adjusted income (loss) from operations, Adjusted net income (loss) and Adjusted diluted earnings (loss) per share </w:t>
      </w:r>
      <w:r>
        <w:rPr>
          <w:rFonts w:ascii="Arial" w:cs="Arial" w:eastAsia="Arial" w:hAnsi="Arial"/>
          <w:sz w:val="14"/>
          <w:szCs w:val="14"/>
          <w:color w:val="auto"/>
        </w:rPr>
        <w:t>table below for the periods indicated:</w:t>
      </w:r>
    </w:p>
    <w:p>
      <w:pPr>
        <w:spacing w:after="0" w:line="47" w:lineRule="exact"/>
        <w:rPr>
          <w:sz w:val="20"/>
          <w:szCs w:val="20"/>
          <w:color w:val="auto"/>
        </w:rPr>
      </w:pPr>
    </w:p>
    <w:tbl>
      <w:tblPr>
        <w:tblLayout w:type="fixed"/>
        <w:tblInd w:w="630" w:type="dxa"/>
        <w:tblCellMar>
          <w:top w:w="0" w:type="dxa"/>
          <w:left w:w="0" w:type="dxa"/>
          <w:bottom w:w="0" w:type="dxa"/>
          <w:right w:w="0" w:type="dxa"/>
        </w:tblCellMar>
      </w:tblPr>
      <w:tr>
        <w:trPr>
          <w:trHeight w:val="195"/>
        </w:trPr>
        <w:tc>
          <w:tcPr>
            <w:tcW w:w="4800" w:type="dxa"/>
            <w:vAlign w:val="bottom"/>
            <w:tcBorders>
              <w:top w:val="single" w:sz="8" w:color="auto"/>
              <w:left w:val="single" w:sz="8" w:color="auto"/>
            </w:tcBorders>
          </w:tcPr>
          <w:p>
            <w:pPr>
              <w:spacing w:after="0"/>
              <w:rPr>
                <w:sz w:val="16"/>
                <w:szCs w:val="16"/>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320" w:type="dxa"/>
            <w:vAlign w:val="bottom"/>
            <w:tcBorders>
              <w:top w:val="single" w:sz="8" w:color="auto"/>
              <w:right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9"/>
              </w:rPr>
              <w:t>TWENTY-SIX WEEKS ENDED</w:t>
            </w:r>
          </w:p>
        </w:tc>
      </w:tr>
      <w:tr>
        <w:trPr>
          <w:trHeight w:val="211"/>
        </w:trPr>
        <w:tc>
          <w:tcPr>
            <w:tcW w:w="480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14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JUNE 28, 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1"/>
              </w:rPr>
              <w:t>JUNE 28, 2020</w:t>
            </w:r>
          </w:p>
        </w:tc>
      </w:tr>
      <w:tr>
        <w:trPr>
          <w:trHeight w:val="206"/>
        </w:trPr>
        <w:tc>
          <w:tcPr>
            <w:tcW w:w="48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COVID-19 related costs (1)</w:t>
            </w:r>
          </w:p>
        </w:tc>
        <w:tc>
          <w:tcPr>
            <w:tcW w:w="2140" w:type="dxa"/>
            <w:vAlign w:val="bottom"/>
            <w:shd w:val="clear" w:color="auto" w:fill="CCEEFF"/>
          </w:tcPr>
          <w:p>
            <w:pPr>
              <w:jc w:val="right"/>
              <w:ind w:right="1967"/>
              <w:spacing w:after="0"/>
              <w:rPr>
                <w:sz w:val="20"/>
                <w:szCs w:val="20"/>
                <w:color w:val="auto"/>
              </w:rPr>
            </w:pPr>
            <w:r>
              <w:rPr>
                <w:rFonts w:ascii="Arial" w:cs="Arial" w:eastAsia="Arial" w:hAnsi="Arial"/>
                <w:sz w:val="15"/>
                <w:szCs w:val="15"/>
                <w:color w:val="auto"/>
                <w:w w:val="95"/>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2320" w:type="dxa"/>
            <w:vAlign w:val="bottom"/>
            <w:tcBorders>
              <w:right w:val="single" w:sz="8" w:color="auto"/>
            </w:tcBorders>
            <w:shd w:val="clear" w:color="auto" w:fill="CCEEFF"/>
          </w:tcPr>
          <w:p>
            <w:pPr>
              <w:jc w:val="center"/>
              <w:ind w:left="1866"/>
              <w:spacing w:after="0"/>
              <w:rPr>
                <w:sz w:val="20"/>
                <w:szCs w:val="20"/>
                <w:color w:val="auto"/>
              </w:rPr>
            </w:pPr>
            <w:r>
              <w:rPr>
                <w:rFonts w:ascii="Arial" w:cs="Arial" w:eastAsia="Arial" w:hAnsi="Arial"/>
                <w:sz w:val="15"/>
                <w:szCs w:val="15"/>
                <w:color w:val="auto"/>
                <w:w w:val="97"/>
              </w:rPr>
              <w:t>(9.9)</w:t>
            </w:r>
          </w:p>
        </w:tc>
      </w:tr>
      <w:tr>
        <w:trPr>
          <w:trHeight w:val="212"/>
        </w:trPr>
        <w:tc>
          <w:tcPr>
            <w:tcW w:w="480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Restaurant relocations, asset impairments and closing costs</w:t>
            </w:r>
          </w:p>
        </w:tc>
        <w:tc>
          <w:tcPr>
            <w:tcW w:w="21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2320" w:type="dxa"/>
            <w:vAlign w:val="bottom"/>
            <w:tcBorders>
              <w:right w:val="single" w:sz="8" w:color="auto"/>
            </w:tcBorders>
          </w:tcPr>
          <w:p>
            <w:pPr>
              <w:jc w:val="center"/>
              <w:ind w:left="1886"/>
              <w:spacing w:after="0"/>
              <w:rPr>
                <w:sz w:val="20"/>
                <w:szCs w:val="20"/>
                <w:color w:val="auto"/>
              </w:rPr>
            </w:pPr>
            <w:r>
              <w:rPr>
                <w:rFonts w:ascii="Arial" w:cs="Arial" w:eastAsia="Arial" w:hAnsi="Arial"/>
                <w:sz w:val="15"/>
                <w:szCs w:val="15"/>
                <w:color w:val="auto"/>
                <w:w w:val="95"/>
              </w:rPr>
              <w:t>2.7</w:t>
            </w:r>
          </w:p>
        </w:tc>
      </w:tr>
      <w:tr>
        <w:trPr>
          <w:trHeight w:val="248"/>
        </w:trPr>
        <w:tc>
          <w:tcPr>
            <w:tcW w:w="4800" w:type="dxa"/>
            <w:vAlign w:val="bottom"/>
            <w:tcBorders>
              <w:top w:val="single" w:sz="8" w:color="CCEEFF"/>
              <w:left w:val="single" w:sz="8" w:color="auto"/>
              <w:bottom w:val="single" w:sz="8" w:color="CCEEFF"/>
            </w:tcBorders>
            <w:shd w:val="clear" w:color="auto" w:fill="CCEEFF"/>
          </w:tcPr>
          <w:p>
            <w:pPr>
              <w:spacing w:after="0"/>
              <w:rPr>
                <w:sz w:val="21"/>
                <w:szCs w:val="21"/>
                <w:color w:val="auto"/>
              </w:rPr>
            </w:pPr>
          </w:p>
        </w:tc>
        <w:tc>
          <w:tcPr>
            <w:tcW w:w="2140" w:type="dxa"/>
            <w:vAlign w:val="bottom"/>
            <w:tcBorders>
              <w:top w:val="single" w:sz="8" w:color="auto"/>
              <w:bottom w:val="single" w:sz="8" w:color="auto"/>
            </w:tcBorders>
            <w:shd w:val="clear" w:color="auto" w:fill="CCEEFF"/>
          </w:tcPr>
          <w:p>
            <w:pPr>
              <w:jc w:val="right"/>
              <w:ind w:right="1967"/>
              <w:spacing w:after="0"/>
              <w:rPr>
                <w:sz w:val="20"/>
                <w:szCs w:val="20"/>
                <w:color w:val="auto"/>
              </w:rPr>
            </w:pPr>
            <w:r>
              <w:rPr>
                <w:rFonts w:ascii="Arial" w:cs="Arial" w:eastAsia="Arial" w:hAnsi="Arial"/>
                <w:sz w:val="15"/>
                <w:szCs w:val="15"/>
                <w:color w:val="auto"/>
                <w:w w:val="95"/>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7"/>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2320" w:type="dxa"/>
            <w:vAlign w:val="bottom"/>
            <w:tcBorders>
              <w:top w:val="single" w:sz="8" w:color="auto"/>
              <w:bottom w:val="single" w:sz="8" w:color="auto"/>
              <w:right w:val="single" w:sz="8" w:color="auto"/>
            </w:tcBorders>
            <w:shd w:val="clear" w:color="auto" w:fill="CCEEFF"/>
          </w:tcPr>
          <w:p>
            <w:pPr>
              <w:jc w:val="center"/>
              <w:ind w:left="1866"/>
              <w:spacing w:after="0"/>
              <w:rPr>
                <w:sz w:val="20"/>
                <w:szCs w:val="20"/>
                <w:color w:val="auto"/>
              </w:rPr>
            </w:pPr>
            <w:r>
              <w:rPr>
                <w:rFonts w:ascii="Arial" w:cs="Arial" w:eastAsia="Arial" w:hAnsi="Arial"/>
                <w:sz w:val="15"/>
                <w:szCs w:val="15"/>
                <w:color w:val="auto"/>
                <w:w w:val="97"/>
              </w:rPr>
              <w:t>(7.2)</w:t>
            </w:r>
          </w:p>
        </w:tc>
      </w:tr>
      <w:tr>
        <w:trPr>
          <w:trHeight w:val="20"/>
        </w:trPr>
        <w:tc>
          <w:tcPr>
            <w:tcW w:w="4800" w:type="dxa"/>
            <w:vAlign w:val="bottom"/>
            <w:tcBorders>
              <w:top w:val="single" w:sz="8" w:color="auto"/>
            </w:tcBorders>
          </w:tcPr>
          <w:p>
            <w:pPr>
              <w:spacing w:after="0" w:line="20" w:lineRule="exact"/>
              <w:rPr>
                <w:sz w:val="1"/>
                <w:szCs w:val="1"/>
                <w:color w:val="auto"/>
              </w:rPr>
            </w:pPr>
          </w:p>
        </w:tc>
        <w:tc>
          <w:tcPr>
            <w:tcW w:w="214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2320" w:type="dxa"/>
            <w:vAlign w:val="bottom"/>
            <w:tcBorders>
              <w:top w:val="single" w:sz="8" w:color="CCEEFF"/>
              <w:right w:val="single" w:sz="8" w:color="auto"/>
            </w:tcBorders>
            <w:shd w:val="clear" w:color="auto" w:fill="000000"/>
          </w:tcPr>
          <w:p>
            <w:pPr>
              <w:spacing w:after="0" w:line="20" w:lineRule="exact"/>
              <w:rPr>
                <w:sz w:val="1"/>
                <w:szCs w:val="1"/>
                <w:color w:val="auto"/>
              </w:rPr>
            </w:pPr>
          </w:p>
        </w:tc>
      </w:tr>
    </w:tbl>
    <w:p>
      <w:pPr>
        <w:spacing w:after="0" w:line="8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_________________</w:t>
      </w:r>
    </w:p>
    <w:p>
      <w:pPr>
        <w:spacing w:after="0" w:line="20" w:lineRule="exact"/>
        <w:rPr>
          <w:sz w:val="20"/>
          <w:szCs w:val="20"/>
          <w:color w:val="auto"/>
        </w:rPr>
      </w:pPr>
    </w:p>
    <w:p>
      <w:pPr>
        <w:ind w:left="1240" w:hanging="618"/>
        <w:spacing w:after="0" w:line="266" w:lineRule="auto"/>
        <w:tabs>
          <w:tab w:leader="none" w:pos="12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$1.2 million and $7.3 million of adjustments for the thirteen and twenty-six weeks ended June 28, 2020, respectively, recorded in Food and beverage costs.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Adjusted income (loss) from operations, Adjusted net income (loss) and Adjusted diluted earnings (loss)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0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206"/>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124,637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(111,912)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215,635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(153,480)</w:t>
            </w:r>
          </w:p>
        </w:tc>
        <w:tc>
          <w:tcPr>
            <w:tcW w:w="0" w:type="dxa"/>
            <w:vAlign w:val="bottom"/>
          </w:tcPr>
          <w:p>
            <w:pPr>
              <w:spacing w:after="0"/>
              <w:rPr>
                <w:sz w:val="1"/>
                <w:szCs w:val="1"/>
                <w:color w:val="auto"/>
              </w:rPr>
            </w:pPr>
          </w:p>
        </w:tc>
      </w:tr>
      <w:tr>
        <w:trPr>
          <w:trHeight w:val="203"/>
        </w:trPr>
        <w:tc>
          <w:tcPr>
            <w:tcW w:w="4920" w:type="dxa"/>
            <w:vAlign w:val="bottom"/>
          </w:tcPr>
          <w:p>
            <w:pPr>
              <w:ind w:left="140"/>
              <w:spacing w:after="0"/>
              <w:rPr>
                <w:sz w:val="20"/>
                <w:szCs w:val="20"/>
                <w:color w:val="auto"/>
              </w:rPr>
            </w:pPr>
            <w:r>
              <w:rPr>
                <w:rFonts w:ascii="Arial" w:cs="Arial" w:eastAsia="Arial" w:hAnsi="Arial"/>
                <w:sz w:val="15"/>
                <w:szCs w:val="15"/>
                <w:i w:val="1"/>
                <w:iCs w:val="1"/>
                <w:color w:val="auto"/>
              </w:rPr>
              <w:t>Operating income (loss) margin</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140"/>
              <w:spacing w:after="0"/>
              <w:rPr>
                <w:sz w:val="20"/>
                <w:szCs w:val="20"/>
                <w:color w:val="auto"/>
              </w:rPr>
            </w:pPr>
            <w:r>
              <w:rPr>
                <w:rFonts w:ascii="Arial" w:cs="Arial" w:eastAsia="Arial" w:hAnsi="Arial"/>
                <w:sz w:val="15"/>
                <w:szCs w:val="15"/>
                <w:color w:val="auto"/>
              </w:rPr>
              <w:t>Legal and other matters (1)</w:t>
            </w:r>
          </w:p>
        </w:tc>
        <w:tc>
          <w:tcPr>
            <w:tcW w:w="20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(6,337)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(6,337)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103"/>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COVID-19-related costs (2)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30,342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79,218</w:t>
            </w:r>
          </w:p>
        </w:tc>
        <w:tc>
          <w:tcPr>
            <w:tcW w:w="0" w:type="dxa"/>
            <w:vAlign w:val="bottom"/>
          </w:tcPr>
          <w:p>
            <w:pPr>
              <w:spacing w:after="0"/>
              <w:rPr>
                <w:sz w:val="1"/>
                <w:szCs w:val="1"/>
                <w:color w:val="auto"/>
              </w:rPr>
            </w:pPr>
          </w:p>
        </w:tc>
      </w:tr>
      <w:tr>
        <w:trPr>
          <w:trHeight w:val="203"/>
        </w:trPr>
        <w:tc>
          <w:tcPr>
            <w:tcW w:w="4920" w:type="dxa"/>
            <w:vAlign w:val="bottom"/>
          </w:tcPr>
          <w:p>
            <w:pPr>
              <w:ind w:left="140"/>
              <w:spacing w:after="0"/>
              <w:rPr>
                <w:sz w:val="20"/>
                <w:szCs w:val="20"/>
                <w:color w:val="auto"/>
              </w:rPr>
            </w:pPr>
            <w:r>
              <w:rPr>
                <w:rFonts w:ascii="Arial" w:cs="Arial" w:eastAsia="Arial" w:hAnsi="Arial"/>
                <w:sz w:val="15"/>
                <w:szCs w:val="15"/>
                <w:color w:val="auto"/>
              </w:rPr>
              <w:t>Severance and other transformational costs (3)</w:t>
            </w:r>
          </w:p>
        </w:tc>
        <w:tc>
          <w:tcPr>
            <w:tcW w:w="20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2,415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103"/>
              <w:spacing w:after="0"/>
              <w:rPr>
                <w:sz w:val="20"/>
                <w:szCs w:val="20"/>
                <w:color w:val="auto"/>
              </w:rPr>
            </w:pPr>
            <w:r>
              <w:rPr>
                <w:rFonts w:ascii="Arial" w:cs="Arial" w:eastAsia="Arial" w:hAnsi="Arial"/>
                <w:sz w:val="15"/>
                <w:szCs w:val="15"/>
                <w:color w:val="auto"/>
              </w:rPr>
              <w:t>24,647</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Restaurant relocations, asset impairments and closing costs (4)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(2,205)</w:t>
            </w:r>
          </w:p>
        </w:tc>
        <w:tc>
          <w:tcPr>
            <w:tcW w:w="0" w:type="dxa"/>
            <w:vAlign w:val="bottom"/>
          </w:tcPr>
          <w:p>
            <w:pPr>
              <w:spacing w:after="0"/>
              <w:rPr>
                <w:sz w:val="1"/>
                <w:szCs w:val="1"/>
                <w:color w:val="auto"/>
              </w:rPr>
            </w:pPr>
          </w:p>
        </w:tc>
      </w:tr>
      <w:tr>
        <w:trPr>
          <w:trHeight w:val="212"/>
        </w:trPr>
        <w:tc>
          <w:tcPr>
            <w:tcW w:w="49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5"/>
                <w:szCs w:val="15"/>
                <w:color w:val="auto"/>
              </w:rPr>
              <w:t>Total income (loss) from operations adjustments</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(6,337)</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rPr>
              <w:t>32,757</w:t>
            </w:r>
          </w:p>
        </w:tc>
        <w:tc>
          <w:tcPr>
            <w:tcW w:w="1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(6,337)</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101,838</w:t>
            </w:r>
          </w:p>
        </w:tc>
        <w:tc>
          <w:tcPr>
            <w:tcW w:w="0" w:type="dxa"/>
            <w:vAlign w:val="bottom"/>
          </w:tcPr>
          <w:p>
            <w:pPr>
              <w:spacing w:after="0"/>
              <w:rPr>
                <w:sz w:val="1"/>
                <w:szCs w:val="1"/>
                <w:color w:val="auto"/>
              </w:rPr>
            </w:pPr>
          </w:p>
        </w:tc>
      </w:tr>
      <w:tr>
        <w:trPr>
          <w:trHeight w:val="22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income (loss) from operations</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118,300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(79,155)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209,298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(51,642)</w:t>
            </w:r>
          </w:p>
        </w:tc>
        <w:tc>
          <w:tcPr>
            <w:tcW w:w="0" w:type="dxa"/>
            <w:vAlign w:val="bottom"/>
          </w:tcPr>
          <w:p>
            <w:pPr>
              <w:spacing w:after="0"/>
              <w:rPr>
                <w:sz w:val="1"/>
                <w:szCs w:val="1"/>
                <w:color w:val="auto"/>
              </w:rPr>
            </w:pPr>
          </w:p>
        </w:tc>
      </w:tr>
      <w:tr>
        <w:trPr>
          <w:trHeight w:val="189"/>
        </w:trPr>
        <w:tc>
          <w:tcPr>
            <w:tcW w:w="4920" w:type="dxa"/>
            <w:vAlign w:val="bottom"/>
          </w:tcPr>
          <w:p>
            <w:pPr>
              <w:ind w:left="140"/>
              <w:spacing w:after="0"/>
              <w:rPr>
                <w:sz w:val="20"/>
                <w:szCs w:val="20"/>
                <w:color w:val="auto"/>
              </w:rPr>
            </w:pPr>
            <w:r>
              <w:rPr>
                <w:rFonts w:ascii="Arial" w:cs="Arial" w:eastAsia="Arial" w:hAnsi="Arial"/>
                <w:sz w:val="15"/>
                <w:szCs w:val="15"/>
                <w:i w:val="1"/>
                <w:iCs w:val="1"/>
                <w:color w:val="auto"/>
              </w:rPr>
              <w:t>Adjusted operating income (loss) margin</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48"/>
        </w:trPr>
        <w:tc>
          <w:tcPr>
            <w:tcW w:w="4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Arial" w:cs="Arial" w:eastAsia="Arial" w:hAnsi="Arial"/>
                <w:sz w:val="15"/>
                <w:szCs w:val="15"/>
                <w:color w:val="auto"/>
              </w:rPr>
              <w:t>Diluted net income (loss) attributable to common stockholders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82,545</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(92,256)</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152,098</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63"/>
              <w:spacing w:after="0"/>
              <w:rPr>
                <w:sz w:val="20"/>
                <w:szCs w:val="20"/>
                <w:color w:val="auto"/>
              </w:rPr>
            </w:pPr>
            <w:r>
              <w:rPr>
                <w:rFonts w:ascii="Arial" w:cs="Arial" w:eastAsia="Arial" w:hAnsi="Arial"/>
                <w:sz w:val="15"/>
                <w:szCs w:val="15"/>
                <w:color w:val="auto"/>
              </w:rPr>
              <w:t>(130,363)</w:t>
            </w: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w w:val="95"/>
              </w:rPr>
              <w:t>Convertible senior notes if-converted method interest adjustment, net of tax</w:t>
            </w:r>
          </w:p>
        </w:tc>
        <w:tc>
          <w:tcPr>
            <w:tcW w:w="20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rPr>
              <w:t>691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(5)</w:t>
            </w:r>
          </w:p>
        </w:tc>
        <w:tc>
          <w:tcPr>
            <w:tcW w:w="2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5"/>
                <w:szCs w:val="15"/>
                <w:color w:val="auto"/>
              </w:rPr>
              <w:t>Net income (loss) attributable to common stockholders</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rPr>
              <w:t>82,545</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(92,256)</w:t>
            </w:r>
          </w:p>
        </w:tc>
        <w:tc>
          <w:tcPr>
            <w:tcW w:w="1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rPr>
              <w:t>151,407</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rPr>
              <w:t>(130,363)</w:t>
            </w:r>
          </w:p>
        </w:tc>
        <w:tc>
          <w:tcPr>
            <w:tcW w:w="0" w:type="dxa"/>
            <w:vAlign w:val="bottom"/>
          </w:tcPr>
          <w:p>
            <w:pPr>
              <w:spacing w:after="0"/>
              <w:rPr>
                <w:sz w:val="1"/>
                <w:szCs w:val="1"/>
                <w:color w:val="auto"/>
              </w:rPr>
            </w:pPr>
          </w:p>
        </w:tc>
      </w:tr>
      <w:tr>
        <w:trPr>
          <w:trHeight w:val="193"/>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140"/>
              <w:spacing w:after="0"/>
              <w:rPr>
                <w:sz w:val="20"/>
                <w:szCs w:val="20"/>
                <w:color w:val="auto"/>
              </w:rPr>
            </w:pPr>
            <w:r>
              <w:rPr>
                <w:rFonts w:ascii="Arial" w:cs="Arial" w:eastAsia="Arial" w:hAnsi="Arial"/>
                <w:sz w:val="15"/>
                <w:szCs w:val="15"/>
                <w:color w:val="auto"/>
              </w:rPr>
              <w:t>Income (loss) from operations adjustments</w:t>
            </w:r>
          </w:p>
        </w:tc>
        <w:tc>
          <w:tcPr>
            <w:tcW w:w="20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(6,337)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32,757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(6,337)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103"/>
              <w:spacing w:after="0"/>
              <w:rPr>
                <w:sz w:val="20"/>
                <w:szCs w:val="20"/>
                <w:color w:val="auto"/>
              </w:rPr>
            </w:pPr>
            <w:r>
              <w:rPr>
                <w:rFonts w:ascii="Arial" w:cs="Arial" w:eastAsia="Arial" w:hAnsi="Arial"/>
                <w:sz w:val="15"/>
                <w:szCs w:val="15"/>
                <w:color w:val="auto"/>
              </w:rPr>
              <w:t>101,838</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extinguishment and modification of debt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2,073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2,073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4920" w:type="dxa"/>
            <w:vAlign w:val="bottom"/>
          </w:tcPr>
          <w:p>
            <w:pPr>
              <w:ind w:left="140"/>
              <w:spacing w:after="0"/>
              <w:rPr>
                <w:sz w:val="20"/>
                <w:szCs w:val="20"/>
                <w:color w:val="auto"/>
              </w:rPr>
            </w:pPr>
            <w:r>
              <w:rPr>
                <w:rFonts w:ascii="Arial" w:cs="Arial" w:eastAsia="Arial" w:hAnsi="Arial"/>
                <w:sz w:val="15"/>
                <w:szCs w:val="15"/>
                <w:color w:val="auto"/>
              </w:rPr>
              <w:t>Amortization of debt discount (6)</w:t>
            </w:r>
          </w:p>
        </w:tc>
        <w:tc>
          <w:tcPr>
            <w:tcW w:w="20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1,379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103"/>
              <w:spacing w:after="0"/>
              <w:rPr>
                <w:sz w:val="20"/>
                <w:szCs w:val="20"/>
                <w:color w:val="auto"/>
              </w:rPr>
            </w:pPr>
            <w:r>
              <w:rPr>
                <w:rFonts w:ascii="Arial" w:cs="Arial" w:eastAsia="Arial" w:hAnsi="Arial"/>
                <w:sz w:val="15"/>
                <w:szCs w:val="15"/>
                <w:color w:val="auto"/>
              </w:rPr>
              <w:t>1,379</w:t>
            </w:r>
          </w:p>
        </w:tc>
        <w:tc>
          <w:tcPr>
            <w:tcW w:w="0" w:type="dxa"/>
            <w:vAlign w:val="bottom"/>
          </w:tcPr>
          <w:p>
            <w:pPr>
              <w:spacing w:after="0"/>
              <w:rPr>
                <w:sz w:val="1"/>
                <w:szCs w:val="1"/>
                <w:color w:val="auto"/>
              </w:rPr>
            </w:pPr>
          </w:p>
        </w:tc>
      </w:tr>
      <w:tr>
        <w:trPr>
          <w:trHeight w:val="206"/>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adjustments, before income taxes</w:t>
            </w: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(4,264)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34,136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(4,264)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103,217</w:t>
            </w:r>
          </w:p>
        </w:tc>
        <w:tc>
          <w:tcPr>
            <w:tcW w:w="0" w:type="dxa"/>
            <w:vAlign w:val="bottom"/>
          </w:tcPr>
          <w:p>
            <w:pPr>
              <w:spacing w:after="0"/>
              <w:rPr>
                <w:sz w:val="1"/>
                <w:szCs w:val="1"/>
                <w:color w:val="auto"/>
              </w:rPr>
            </w:pPr>
          </w:p>
        </w:tc>
      </w:tr>
      <w:tr>
        <w:trPr>
          <w:trHeight w:val="203"/>
        </w:trPr>
        <w:tc>
          <w:tcPr>
            <w:tcW w:w="4920" w:type="dxa"/>
            <w:vAlign w:val="bottom"/>
          </w:tcPr>
          <w:p>
            <w:pPr>
              <w:ind w:left="140"/>
              <w:spacing w:after="0"/>
              <w:rPr>
                <w:sz w:val="20"/>
                <w:szCs w:val="20"/>
                <w:color w:val="auto"/>
              </w:rPr>
            </w:pPr>
            <w:r>
              <w:rPr>
                <w:rFonts w:ascii="Arial" w:cs="Arial" w:eastAsia="Arial" w:hAnsi="Arial"/>
                <w:sz w:val="15"/>
                <w:szCs w:val="15"/>
                <w:color w:val="auto"/>
              </w:rPr>
              <w:t>Adjustment to provision for income taxes (7)</w:t>
            </w:r>
          </w:p>
        </w:tc>
        <w:tc>
          <w:tcPr>
            <w:tcW w:w="200" w:type="dxa"/>
            <w:vAlign w:val="bottom"/>
          </w:tcPr>
          <w:p>
            <w:pPr>
              <w:spacing w:after="0"/>
              <w:rPr>
                <w:sz w:val="17"/>
                <w:szCs w:val="17"/>
                <w:color w:val="auto"/>
              </w:rPr>
            </w:pP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1,243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83"/>
              <w:spacing w:after="0"/>
              <w:rPr>
                <w:sz w:val="20"/>
                <w:szCs w:val="20"/>
                <w:color w:val="auto"/>
              </w:rPr>
            </w:pPr>
            <w:r>
              <w:rPr>
                <w:rFonts w:ascii="Arial" w:cs="Arial" w:eastAsia="Arial" w:hAnsi="Arial"/>
                <w:sz w:val="15"/>
                <w:szCs w:val="15"/>
                <w:color w:val="auto"/>
              </w:rPr>
              <w:t>(6,474)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1,243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63"/>
              <w:spacing w:after="0"/>
              <w:rPr>
                <w:sz w:val="20"/>
                <w:szCs w:val="20"/>
                <w:color w:val="auto"/>
              </w:rPr>
            </w:pPr>
            <w:r>
              <w:rPr>
                <w:rFonts w:ascii="Arial" w:cs="Arial" w:eastAsia="Arial" w:hAnsi="Arial"/>
                <w:sz w:val="15"/>
                <w:szCs w:val="15"/>
                <w:color w:val="auto"/>
              </w:rPr>
              <w:t>(28,469)</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Redemption of preferred stock in excess of carrying value (8)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3,496</w:t>
            </w:r>
          </w:p>
        </w:tc>
        <w:tc>
          <w:tcPr>
            <w:tcW w:w="0" w:type="dxa"/>
            <w:vAlign w:val="bottom"/>
          </w:tcPr>
          <w:p>
            <w:pPr>
              <w:spacing w:after="0"/>
              <w:rPr>
                <w:sz w:val="1"/>
                <w:szCs w:val="1"/>
                <w:color w:val="auto"/>
              </w:rPr>
            </w:pPr>
          </w:p>
        </w:tc>
      </w:tr>
      <w:tr>
        <w:trPr>
          <w:trHeight w:val="212"/>
        </w:trPr>
        <w:tc>
          <w:tcPr>
            <w:tcW w:w="49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5"/>
                <w:szCs w:val="15"/>
                <w:color w:val="auto"/>
              </w:rPr>
              <w:t>Net adjustments</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(3,021)</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rPr>
              <w:t>27,662</w:t>
            </w:r>
          </w:p>
        </w:tc>
        <w:tc>
          <w:tcPr>
            <w:tcW w:w="1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(3,021)</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78,244</w:t>
            </w:r>
          </w:p>
        </w:tc>
        <w:tc>
          <w:tcPr>
            <w:tcW w:w="0" w:type="dxa"/>
            <w:vAlign w:val="bottom"/>
          </w:tcPr>
          <w:p>
            <w:pPr>
              <w:spacing w:after="0"/>
              <w:rPr>
                <w:sz w:val="1"/>
                <w:szCs w:val="1"/>
                <w:color w:val="auto"/>
              </w:rPr>
            </w:pPr>
          </w:p>
        </w:tc>
      </w:tr>
      <w:tr>
        <w:trPr>
          <w:trHeight w:val="231"/>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net income (loss)</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79,524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(64,594)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148,386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(52,119)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earnings (loss) per share attributable to common stockholders (9)</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20" w:type="dxa"/>
            <w:vAlign w:val="bottom"/>
          </w:tcPr>
          <w:p>
            <w:pPr>
              <w:ind w:left="20"/>
              <w:spacing w:after="0"/>
              <w:rPr>
                <w:sz w:val="20"/>
                <w:szCs w:val="20"/>
                <w:color w:val="auto"/>
              </w:rPr>
            </w:pPr>
            <w:r>
              <w:rPr>
                <w:rFonts w:ascii="Arial" w:cs="Arial" w:eastAsia="Arial" w:hAnsi="Arial"/>
                <w:sz w:val="15"/>
                <w:szCs w:val="15"/>
                <w:color w:val="auto"/>
              </w:rPr>
              <w:t>Adjusted diluted earnings (loss) per share (9)(10)</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0.81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(0.74)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(0.60)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20"/>
              <w:spacing w:after="0"/>
              <w:rPr>
                <w:sz w:val="20"/>
                <w:szCs w:val="20"/>
                <w:color w:val="auto"/>
              </w:rPr>
            </w:pPr>
            <w:r>
              <w:rPr>
                <w:rFonts w:ascii="Arial" w:cs="Arial" w:eastAsia="Arial" w:hAnsi="Arial"/>
                <w:sz w:val="15"/>
                <w:szCs w:val="15"/>
                <w:color w:val="auto"/>
              </w:rPr>
              <w:t>Diluted weighted average common shares outstanding (9)</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109,805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87,496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110,223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87,312</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diluted weighted average common shares outstanding (9)(10)</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98,574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87,496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97,011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87,312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9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20" w:hanging="617"/>
        <w:spacing w:after="0" w:line="251" w:lineRule="auto"/>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thirteen and twenty-six weeks ended June 27, 2021 includes the recognition of recoverable PIS and COFINS taxes, including accrued interest, within other revenues as a result of favorable court rulings in Brazil during the second quarter of 2021.</w:t>
      </w:r>
    </w:p>
    <w:p>
      <w:pPr>
        <w:jc w:val="both"/>
        <w:ind w:left="620" w:hanging="617"/>
        <w:spacing w:after="0" w:line="251" w:lineRule="auto"/>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Costs incurred in connection with the COVID-19 pandemic, primarily consisting of fixed asset and right-of-use asset impairments, restructuring charges, inventory obsolescence and spoilage, contingent lease liabilities and current expected credit losses. See Note 2 - </w:t>
      </w:r>
      <w:r>
        <w:rPr>
          <w:rFonts w:ascii="Arial" w:cs="Arial" w:eastAsia="Arial" w:hAnsi="Arial"/>
          <w:sz w:val="15"/>
          <w:szCs w:val="15"/>
          <w:i w:val="1"/>
          <w:iCs w:val="1"/>
          <w:color w:val="auto"/>
        </w:rPr>
        <w:t>COVID-19 Charges</w:t>
      </w:r>
      <w:r>
        <w:rPr>
          <w:rFonts w:ascii="Arial" w:cs="Arial" w:eastAsia="Arial" w:hAnsi="Arial"/>
          <w:sz w:val="15"/>
          <w:szCs w:val="15"/>
          <w:color w:val="auto"/>
        </w:rPr>
        <w:t xml:space="preserve"> of the Notes to Consolidated Financial Statements for additional details regarding the impact of certain COVID-19 pandemic related charges on our financial results.</w:t>
      </w:r>
    </w:p>
    <w:p>
      <w:pPr>
        <w:ind w:left="620" w:hanging="617"/>
        <w:spacing w:after="0"/>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Severance, professional fees and other costs incurred as a result of transformational and restructuring activities.</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Includes asset impairment charges and accelerated depreciation incurred in connection with our relocation program and a lease termination gain of $2.8 million.</w:t>
      </w:r>
    </w:p>
    <w:p>
      <w:pPr>
        <w:spacing w:after="0" w:line="8" w:lineRule="exact"/>
        <w:rPr>
          <w:rFonts w:ascii="Arial" w:cs="Arial" w:eastAsia="Arial" w:hAnsi="Arial"/>
          <w:sz w:val="15"/>
          <w:szCs w:val="15"/>
          <w:color w:val="auto"/>
        </w:rPr>
      </w:pPr>
    </w:p>
    <w:p>
      <w:pPr>
        <w:ind w:left="620" w:hanging="617"/>
        <w:spacing w:after="0" w:line="251" w:lineRule="auto"/>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Adjustment for interest expense related to the 2025 Notes weighted for the portion of the period prior to our election under the 2025 Notes indenture to settle the principal portion of our 2025 Notes in cash. The calculation of adjusted diluted earnings per share excludes 2025 Notes interest adjustment.</w:t>
      </w:r>
    </w:p>
    <w:p>
      <w:pPr>
        <w:ind w:left="620" w:hanging="617"/>
        <w:spacing w:after="0" w:line="251" w:lineRule="auto"/>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Amortization of the debt discount related to the issuance of the 2025 Notes. See Note 10 - </w:t>
      </w:r>
      <w:r>
        <w:rPr>
          <w:rFonts w:ascii="Arial" w:cs="Arial" w:eastAsia="Arial" w:hAnsi="Arial"/>
          <w:sz w:val="15"/>
          <w:szCs w:val="15"/>
          <w:i w:val="1"/>
          <w:iCs w:val="1"/>
          <w:color w:val="auto"/>
        </w:rPr>
        <w:t>Convertible Senior Notes</w:t>
      </w:r>
      <w:r>
        <w:rPr>
          <w:rFonts w:ascii="Arial" w:cs="Arial" w:eastAsia="Arial" w:hAnsi="Arial"/>
          <w:sz w:val="15"/>
          <w:szCs w:val="15"/>
          <w:color w:val="auto"/>
        </w:rPr>
        <w:t xml:space="preserve"> of the Notes to Consolidated Financial Statements for details.</w:t>
      </w:r>
    </w:p>
    <w:p>
      <w:pPr>
        <w:ind w:left="620" w:hanging="617"/>
        <w:spacing w:after="0"/>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Income tax effect of the adjustments for the periods presented.</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Consideration paid in excess of the carrying value for the redemption of preferred stock of our Abbraccio subsidiary.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42" w:lineRule="exact"/>
        <w:rPr>
          <w:sz w:val="20"/>
          <w:szCs w:val="20"/>
          <w:color w:val="auto"/>
        </w:rPr>
      </w:pPr>
    </w:p>
    <w:p>
      <w:pPr>
        <w:ind w:left="620" w:hanging="617"/>
        <w:spacing w:after="0" w:line="259" w:lineRule="auto"/>
        <w:tabs>
          <w:tab w:leader="none" w:pos="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Due to the GAAP net loss, the effect of dilutive securities was excluded from the calculation of GAAP diluted loss per share for the thirteen and twenty-six weeks ended June 28, 2020.</w:t>
      </w:r>
    </w:p>
    <w:p>
      <w:pPr>
        <w:jc w:val="both"/>
        <w:ind w:left="620" w:hanging="617"/>
        <w:spacing w:after="0" w:line="255" w:lineRule="auto"/>
        <w:tabs>
          <w:tab w:leader="none" w:pos="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For the twenty-six weeks ended June 27, 2021, adjusted diluted weighted average common shares outstanding was calculated assuming our February 2021 election to settle the principal portion of the 2025 Notes in cash was in effect for the entire period. For the thirteen and twenty-six weeks ended June 27, 2021, adjusted diluted weighted average common shares outstanding was calculated excluding the dilutive effect of 11,231 and 10,442 shares, respectively, to be issued upon conversion of the 2025 Notes to satisfy the amount in excess of the principal since the Convertible Note Hedge Transactions offset the dilutive impact of the shares underlying the 2025 Notes.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LIQUIDITY</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Cash flows generated from operating activities and availability under our revolving credit facility are our principal sources of liquidity, which we use for operating expenses, payments on our debt, remodeling or relocating older restaurants, obligations related to our deferred compensation plans and investment in technology.</w:t>
      </w:r>
    </w:p>
    <w:p>
      <w:pPr>
        <w:spacing w:after="0" w:line="201" w:lineRule="exact"/>
        <w:rPr>
          <w:sz w:val="20"/>
          <w:szCs w:val="20"/>
          <w:color w:val="auto"/>
        </w:rPr>
      </w:pPr>
    </w:p>
    <w:p>
      <w:pPr>
        <w:jc w:val="both"/>
        <w:spacing w:after="0" w:line="324"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 As of June 27, 2021, we had $101.3 million in cash and cash equivalents, of which $35.0 million was held by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The international jurisdictions in which we have significant cash do not have any known restrictions that would prohibit repatriation.</w:t>
      </w:r>
    </w:p>
    <w:p>
      <w:pPr>
        <w:spacing w:after="0" w:line="14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As of June 27, 2021, we had aggregate accumulated foreign earnings of approximately $38.8 million. This amount consisted primarily of historical earnings from 2017 and prior that were previously taxed in the U.S. under the 2017 Tax Cuts and Jobs Act and post-2017 foreign earnings, which we may repatriate to the U.S. without additional U.S. federal income tax. These amounts are no longer considered indefinitely reinvested in our foreign subsidiaries.</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 We estimate that our capital expenditures will total approximately $140 million to $150 million in 2021.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actual capital expenditures may be affected by general economic, financial, competitive, legislative and regulatory factors, among other things, including raw material constraints and restrictions imposed by our borrowing arrangements. Under the Second Amended and Restated Credit Agreement, we are limited to $200.0 million of aggregate capital expenditures during the year ended December 26, 2021.</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Credit Facilities </w:t>
      </w:r>
      <w:r>
        <w:rPr>
          <w:rFonts w:ascii="Arial" w:cs="Arial" w:eastAsia="Arial" w:hAnsi="Arial"/>
          <w:sz w:val="19"/>
          <w:szCs w:val="19"/>
          <w:color w:val="auto"/>
        </w:rPr>
        <w:t>- Following is a summary of our outstanding credit facilities as of the dates indicated and principal payments and debt issuance</w:t>
      </w:r>
      <w:r>
        <w:rPr>
          <w:rFonts w:ascii="Arial" w:cs="Arial" w:eastAsia="Arial" w:hAnsi="Arial"/>
          <w:sz w:val="19"/>
          <w:szCs w:val="19"/>
          <w:i w:val="1"/>
          <w:iCs w:val="1"/>
          <w:color w:val="auto"/>
        </w:rPr>
        <w:t xml:space="preserve"> </w:t>
      </w:r>
      <w:r>
        <w:rPr>
          <w:rFonts w:ascii="Arial" w:cs="Arial" w:eastAsia="Arial" w:hAnsi="Arial"/>
          <w:sz w:val="19"/>
          <w:szCs w:val="19"/>
          <w:color w:val="auto"/>
        </w:rPr>
        <w:t>during the period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9"/>
              </w:rPr>
              <w:t>SENIOR SECURED CREDIT FACILITY</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center"/>
              <w:ind w:right="106"/>
              <w:spacing w:after="0"/>
              <w:rPr>
                <w:sz w:val="20"/>
                <w:szCs w:val="20"/>
                <w:color w:val="auto"/>
              </w:rPr>
            </w:pPr>
            <w:r>
              <w:rPr>
                <w:rFonts w:ascii="Arial" w:cs="Arial" w:eastAsia="Arial" w:hAnsi="Arial"/>
                <w:sz w:val="14"/>
                <w:szCs w:val="14"/>
                <w:b w:val="1"/>
                <w:bCs w:val="1"/>
                <w:color w:val="auto"/>
              </w:rPr>
              <w:t>FORMER CREDIT FACILITY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120" w:type="dxa"/>
            <w:vAlign w:val="bottom"/>
            <w:gridSpan w:val="2"/>
            <w:vMerge w:val="restart"/>
          </w:tcPr>
          <w:p>
            <w:pPr>
              <w:jc w:val="right"/>
              <w:ind w:right="3"/>
              <w:spacing w:after="0"/>
              <w:rPr>
                <w:sz w:val="20"/>
                <w:szCs w:val="20"/>
                <w:color w:val="auto"/>
              </w:rPr>
            </w:pPr>
            <w:r>
              <w:rPr>
                <w:rFonts w:ascii="Arial" w:cs="Arial" w:eastAsia="Arial" w:hAnsi="Arial"/>
                <w:sz w:val="14"/>
                <w:szCs w:val="14"/>
                <w:b w:val="1"/>
                <w:bCs w:val="1"/>
                <w:color w:val="auto"/>
              </w:rPr>
              <w:t>TERM LOAN A</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REVOLVING</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 LOAN A</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REVOLVING</w:t>
            </w:r>
          </w:p>
        </w:tc>
        <w:tc>
          <w:tcPr>
            <w:tcW w:w="120" w:type="dxa"/>
            <w:vAlign w:val="bottom"/>
          </w:tcPr>
          <w:p>
            <w:pPr>
              <w:spacing w:after="0"/>
              <w:rPr>
                <w:sz w:val="13"/>
                <w:szCs w:val="13"/>
                <w:color w:val="auto"/>
              </w:rPr>
            </w:pPr>
          </w:p>
        </w:tc>
        <w:tc>
          <w:tcPr>
            <w:tcW w:w="10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6"/>
              </w:rPr>
              <w:t>2025 NOTES</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6"/>
              </w:rPr>
              <w:t>2029 NOTES</w:t>
            </w:r>
          </w:p>
        </w:tc>
        <w:tc>
          <w:tcPr>
            <w:tcW w:w="100" w:type="dxa"/>
            <w:vAlign w:val="bottom"/>
            <w:vMerge w:val="restart"/>
          </w:tcPr>
          <w:p>
            <w:pPr>
              <w:spacing w:after="0"/>
              <w:rPr>
                <w:sz w:val="13"/>
                <w:szCs w:val="13"/>
                <w:color w:val="auto"/>
              </w:rPr>
            </w:pPr>
          </w:p>
        </w:tc>
        <w:tc>
          <w:tcPr>
            <w:tcW w:w="1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TOTAL CREDIT</w:t>
            </w:r>
          </w:p>
        </w:tc>
        <w:tc>
          <w:tcPr>
            <w:tcW w:w="0" w:type="dxa"/>
            <w:vAlign w:val="bottom"/>
          </w:tcPr>
          <w:p>
            <w:pPr>
              <w:spacing w:after="0"/>
              <w:rPr>
                <w:sz w:val="1"/>
                <w:szCs w:val="1"/>
                <w:color w:val="auto"/>
              </w:rPr>
            </w:pPr>
          </w:p>
        </w:tc>
      </w:tr>
      <w:tr>
        <w:trPr>
          <w:trHeight w:val="186"/>
        </w:trPr>
        <w:tc>
          <w:tcPr>
            <w:tcW w:w="25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06"/>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December 27, 2020</w:t>
            </w: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447,000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230,000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1,102,000</w:t>
            </w:r>
          </w:p>
        </w:tc>
        <w:tc>
          <w:tcPr>
            <w:tcW w:w="0" w:type="dxa"/>
            <w:vAlign w:val="bottom"/>
          </w:tcPr>
          <w:p>
            <w:pPr>
              <w:spacing w:after="0"/>
              <w:rPr>
                <w:sz w:val="1"/>
                <w:szCs w:val="1"/>
                <w:color w:val="auto"/>
              </w:rPr>
            </w:pPr>
          </w:p>
        </w:tc>
      </w:tr>
      <w:tr>
        <w:trPr>
          <w:trHeight w:val="203"/>
        </w:trPr>
        <w:tc>
          <w:tcPr>
            <w:tcW w:w="2520" w:type="dxa"/>
            <w:vAlign w:val="bottom"/>
          </w:tcPr>
          <w:p>
            <w:pPr>
              <w:ind w:left="120"/>
              <w:spacing w:after="0"/>
              <w:rPr>
                <w:sz w:val="20"/>
                <w:szCs w:val="20"/>
                <w:color w:val="auto"/>
              </w:rPr>
            </w:pPr>
            <w:r>
              <w:rPr>
                <w:rFonts w:ascii="Arial" w:cs="Arial" w:eastAsia="Arial" w:hAnsi="Arial"/>
                <w:sz w:val="15"/>
                <w:szCs w:val="15"/>
                <w:color w:val="auto"/>
              </w:rPr>
              <w:t>2021 new debt</w:t>
            </w:r>
          </w:p>
        </w:tc>
        <w:tc>
          <w:tcPr>
            <w:tcW w:w="26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271,000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786,000</w:t>
            </w:r>
          </w:p>
        </w:tc>
        <w:tc>
          <w:tcPr>
            <w:tcW w:w="0" w:type="dxa"/>
            <w:vAlign w:val="bottom"/>
          </w:tcPr>
          <w:p>
            <w:pPr>
              <w:spacing w:after="0"/>
              <w:rPr>
                <w:sz w:val="1"/>
                <w:szCs w:val="1"/>
                <w:color w:val="auto"/>
              </w:rPr>
            </w:pPr>
          </w:p>
        </w:tc>
      </w:tr>
      <w:tr>
        <w:trPr>
          <w:trHeight w:val="215"/>
        </w:trPr>
        <w:tc>
          <w:tcPr>
            <w:tcW w:w="2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2021 payments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(137,000)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(462,000)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(1,024,000)</w:t>
            </w:r>
          </w:p>
        </w:tc>
        <w:tc>
          <w:tcPr>
            <w:tcW w:w="0" w:type="dxa"/>
            <w:vAlign w:val="bottom"/>
          </w:tcPr>
          <w:p>
            <w:pPr>
              <w:spacing w:after="0"/>
              <w:rPr>
                <w:sz w:val="1"/>
                <w:szCs w:val="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5"/>
                <w:szCs w:val="15"/>
                <w:color w:val="auto"/>
              </w:rPr>
              <w:t>Balance as of June 27, 2021</w:t>
            </w: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134,000</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230,000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864,000</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20"/>
              <w:spacing w:after="0" w:line="160" w:lineRule="exact"/>
              <w:rPr>
                <w:sz w:val="20"/>
                <w:szCs w:val="20"/>
                <w:color w:val="auto"/>
              </w:rPr>
            </w:pPr>
            <w:r>
              <w:rPr>
                <w:rFonts w:ascii="Arial" w:cs="Arial" w:eastAsia="Arial" w:hAnsi="Arial"/>
                <w:sz w:val="15"/>
                <w:szCs w:val="15"/>
                <w:color w:val="auto"/>
              </w:rPr>
              <w:t>Weighted-average interest rate, as of</w:t>
            </w: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2.59 %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2.59 %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5.00 %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5.13 %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520" w:type="dxa"/>
            <w:vAlign w:val="bottom"/>
          </w:tcPr>
          <w:p>
            <w:pPr>
              <w:ind w:left="20"/>
              <w:spacing w:after="0"/>
              <w:rPr>
                <w:sz w:val="20"/>
                <w:szCs w:val="20"/>
                <w:color w:val="auto"/>
              </w:rPr>
            </w:pPr>
            <w:r>
              <w:rPr>
                <w:rFonts w:ascii="Arial" w:cs="Arial" w:eastAsia="Arial" w:hAnsi="Arial"/>
                <w:sz w:val="15"/>
                <w:szCs w:val="15"/>
                <w:color w:val="auto"/>
              </w:rPr>
              <w:t>June 27, 2021</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maturity date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April 2026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April 2026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May 2025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April 2029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of June 27, 2021, we had $645.3 million in available unused borrowing capacity under our revolving credit facility, net of letters of credit of $20.7 million.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On August 2, 2021, we made a cash payment of $61.9 million to the Carrabba’s Founders in connection with the Royalty Termination Agreement detailed in Note 20 - </w:t>
      </w:r>
      <w:r>
        <w:rPr>
          <w:rFonts w:ascii="Arial" w:cs="Arial" w:eastAsia="Arial" w:hAnsi="Arial"/>
          <w:sz w:val="19"/>
          <w:szCs w:val="19"/>
          <w:i w:val="1"/>
          <w:iCs w:val="1"/>
          <w:color w:val="auto"/>
        </w:rPr>
        <w:t>Subsequent Events.</w:t>
      </w:r>
      <w:r>
        <w:rPr>
          <w:rFonts w:ascii="Arial" w:cs="Arial" w:eastAsia="Arial" w:hAnsi="Arial"/>
          <w:sz w:val="19"/>
          <w:szCs w:val="19"/>
          <w:color w:val="auto"/>
        </w:rPr>
        <w:t xml:space="preserve"> This cash payment was funded primarily by borrowings on our revolving credit facility and the remainder from cash on hand.</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2029 Notes - </w:t>
      </w:r>
      <w:r>
        <w:rPr>
          <w:rFonts w:ascii="Arial" w:cs="Arial" w:eastAsia="Arial" w:hAnsi="Arial"/>
          <w:sz w:val="19"/>
          <w:szCs w:val="19"/>
          <w:color w:val="auto"/>
        </w:rPr>
        <w:t>On April 16, 2021, we issued $300.0 million aggregate principal amount of senior unsecured notes due 2029. The 2029 Notes will</w:t>
      </w:r>
      <w:r>
        <w:rPr>
          <w:rFonts w:ascii="Arial" w:cs="Arial" w:eastAsia="Arial" w:hAnsi="Arial"/>
          <w:sz w:val="19"/>
          <w:szCs w:val="19"/>
          <w:i w:val="1"/>
          <w:iCs w:val="1"/>
          <w:color w:val="auto"/>
        </w:rPr>
        <w:t xml:space="preserve"> </w:t>
      </w:r>
      <w:r>
        <w:rPr>
          <w:rFonts w:ascii="Arial" w:cs="Arial" w:eastAsia="Arial" w:hAnsi="Arial"/>
          <w:sz w:val="19"/>
          <w:szCs w:val="19"/>
          <w:color w:val="auto"/>
        </w:rPr>
        <w:t>mature on April 15, 2029, unless earlier redeemed or purchased by us. The 2029 Notes bear cash interest at an annual rate of 5.125% payable semi-annually in arrears on April 15 and October 15 of each year, beginning on October 15, 2021.</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net proceeds from the 2029 Notes were approximately $294.5 million, after deducting the initial purchaser’s discount and our offering expenses. The net proceeds were used to repay a portion of our outstanding Term loan A and revolving credit facility in conjunction with the refinancing of our Former Credit Facility.</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Second Amended and Restated Credit Agreement </w:t>
      </w:r>
      <w:r>
        <w:rPr>
          <w:rFonts w:ascii="Arial" w:cs="Arial" w:eastAsia="Arial" w:hAnsi="Arial"/>
          <w:sz w:val="19"/>
          <w:szCs w:val="19"/>
          <w:color w:val="auto"/>
        </w:rPr>
        <w:t>- On April 16, 2021, we and OSI, as co-borrowers, entered into the Second Amended and Restated</w:t>
      </w:r>
      <w:r>
        <w:rPr>
          <w:rFonts w:ascii="Arial" w:cs="Arial" w:eastAsia="Arial" w:hAnsi="Arial"/>
          <w:sz w:val="19"/>
          <w:szCs w:val="19"/>
          <w:i w:val="1"/>
          <w:iCs w:val="1"/>
          <w:color w:val="auto"/>
        </w:rPr>
        <w:t xml:space="preserve"> </w:t>
      </w:r>
      <w:r>
        <w:rPr>
          <w:rFonts w:ascii="Arial" w:cs="Arial" w:eastAsia="Arial" w:hAnsi="Arial"/>
          <w:sz w:val="19"/>
          <w:szCs w:val="19"/>
          <w:color w:val="auto"/>
        </w:rPr>
        <w:t>Credit Agreement which provides for senior secured financing of up to $1.0 billion consisting of a $200.0 million Term loan A and an $800.0 million revolving credit facility. The Senior Secured Credit Facility matures on April 16, 2026 and replaced our Former Credit Facility financing of up to $1.5 billion.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Second Amended and Restated Credit Agreement limits, subject to certain exceptions, our ability and the ability of our subsidiaries to: incur additional indebtedness; make significant payments; sell assets; pay dividends and other restricted payments; make certain investments; acquire certain assets; effect mergers and similar transactions; and effect certain other transactions with affiliates. The Second Amended and Restated Credit Agreement also prohibits us from paying certain dividends and making certain restricted payments and acquisitions until we are in compliance with our TNLR covenant for the period ended September 26, 2021.</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Senior Secured Credit Facility contains mandatory prepayment requirements for Term loan A, including the requirement that we prepay outstanding amounts under these loans with 50% of our annual excess cash flow, as defined in the Second Amended and Restated Credit Agreement, commencing with the fiscal year ending December 25, 2022. The amount of outstanding loans required to be prepaid in accordance with the debt covenants may vary based on our CSSNLR and year end results. Other than the annual required minimum amortization premiums of $10.0 million, we do not anticipate any other payments will be required through June 26,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9 - </w:t>
      </w:r>
      <w:r>
        <w:rPr>
          <w:rFonts w:ascii="Arial" w:cs="Arial" w:eastAsia="Arial" w:hAnsi="Arial"/>
          <w:sz w:val="18"/>
          <w:szCs w:val="18"/>
          <w:i w:val="1"/>
          <w:iCs w:val="1"/>
          <w:color w:val="auto"/>
        </w:rPr>
        <w:t>Long-term Debt, Net</w:t>
      </w:r>
      <w:r>
        <w:rPr>
          <w:rFonts w:ascii="Arial" w:cs="Arial" w:eastAsia="Arial" w:hAnsi="Arial"/>
          <w:sz w:val="18"/>
          <w:szCs w:val="18"/>
          <w:color w:val="auto"/>
        </w:rPr>
        <w:t xml:space="preserve"> for additional details regarding the 2029 Notes and Second Amended and Restated Credit Agreement.</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of June 27, 2021 and December 27, 2020, we were in compliance with our debt covenants. We believe that we will remain in compliance with our debt covenants during the next 12 months.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SUMMARY OF CASH FLOWS</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following table presents a summary of our cash flows provided by (used in) operating, investing and financing activities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8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20" w:type="dxa"/>
            <w:vAlign w:val="bottom"/>
          </w:tcPr>
          <w:p>
            <w:pPr>
              <w:spacing w:after="0"/>
              <w:rPr>
                <w:sz w:val="16"/>
                <w:szCs w:val="16"/>
                <w:color w:val="auto"/>
              </w:rPr>
            </w:pPr>
          </w:p>
        </w:tc>
        <w:tc>
          <w:tcPr>
            <w:tcW w:w="1300" w:type="dxa"/>
            <w:vAlign w:val="bottom"/>
          </w:tcPr>
          <w:p>
            <w:pPr>
              <w:jc w:val="right"/>
              <w:ind w:right="244"/>
              <w:spacing w:after="0"/>
              <w:rPr>
                <w:sz w:val="20"/>
                <w:szCs w:val="20"/>
                <w:color w:val="auto"/>
              </w:rPr>
            </w:pPr>
            <w:r>
              <w:rPr>
                <w:rFonts w:ascii="Arial" w:cs="Arial" w:eastAsia="Arial" w:hAnsi="Arial"/>
                <w:sz w:val="14"/>
                <w:szCs w:val="14"/>
                <w:b w:val="1"/>
                <w:bCs w:val="1"/>
                <w:color w:val="auto"/>
              </w:rPr>
              <w:t>JUNE 28, 2020</w:t>
            </w:r>
          </w:p>
        </w:tc>
      </w:tr>
      <w:tr>
        <w:trPr>
          <w:trHeight w:val="206"/>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283,182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(3,313)</w:t>
            </w:r>
          </w:p>
        </w:tc>
      </w:tr>
      <w:tr>
        <w:trPr>
          <w:trHeight w:val="203"/>
        </w:trPr>
        <w:tc>
          <w:tcPr>
            <w:tcW w:w="812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(42,625)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(48,001)</w:t>
            </w:r>
          </w:p>
        </w:tc>
      </w:tr>
      <w:tr>
        <w:trPr>
          <w:trHeight w:val="209"/>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(248,018)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169,655</w:t>
            </w:r>
          </w:p>
        </w:tc>
      </w:tr>
      <w:tr>
        <w:trPr>
          <w:trHeight w:val="199"/>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(2,955)</w:t>
            </w:r>
          </w:p>
        </w:tc>
      </w:tr>
      <w:tr>
        <w:trPr>
          <w:trHeight w:val="231"/>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115,386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 Net cash provided by operating activities during the twenty-six weeks ended June 27, 2021, as compared to net cash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during the twenty-six weeks ended June 28, 2020, was primarily due to: (i) an increase in restaurant-level operating margin, (ii) timing of operational receipts and payments and (iii) a decrease in relief pay primarily due to the reopening of our restaurant dining rooms. These increases were partially offset by: (i) timing of collections of gift card receivables, (ii) deferral of payroll tax payments in 2020 as a result of the CARES Act, (iii) lower utilization of inventory on hand and (iv) cash paid to terminate interest rate swap agreements.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Investing activities - </w:t>
      </w:r>
      <w:r>
        <w:rPr>
          <w:rFonts w:ascii="Arial" w:cs="Arial" w:eastAsia="Arial" w:hAnsi="Arial"/>
          <w:sz w:val="19"/>
          <w:szCs w:val="19"/>
          <w:color w:val="auto"/>
        </w:rPr>
        <w:t>The decrease in net cash used in investing activities during the twenty-six weeks ended June 27, 2021 as compared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twenty-six weeks ended June 28, 2020 was primarily due to higher proceeds from the disposal of property, fixtures and equipment and lower capital expenditures.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Financing activities - </w:t>
      </w:r>
      <w:r>
        <w:rPr>
          <w:rFonts w:ascii="Arial" w:cs="Arial" w:eastAsia="Arial" w:hAnsi="Arial"/>
          <w:sz w:val="17"/>
          <w:szCs w:val="17"/>
          <w:color w:val="auto"/>
        </w:rPr>
        <w:t>Net cash used in financing activities during the twenty-six weeks ended June 27, 2021, as compared to net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activities during the twenty-six weeks ended June 28, 2020, was primarily due to: (i) net repayments on our revolving credit facility during 2021 as compared to net borrowings during 2020, (ii) proceeds from the issuance of the 2025 Notes and related warrants during 2020 and</w:t>
      </w:r>
    </w:p>
    <w:p>
      <w:pPr>
        <w:spacing w:after="0" w:line="2" w:lineRule="exact"/>
        <w:rPr>
          <w:sz w:val="20"/>
          <w:szCs w:val="20"/>
          <w:color w:val="auto"/>
        </w:rPr>
      </w:pPr>
    </w:p>
    <w:p>
      <w:pPr>
        <w:ind w:left="340" w:hanging="337"/>
        <w:spacing w:after="0"/>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net repayment of our Term loan A in conjunction with the refinance of our Senior Secured Credit Facility. These decreases were partially offset</w:t>
      </w:r>
    </w:p>
    <w:p>
      <w:pPr>
        <w:spacing w:after="0" w:line="23" w:lineRule="exact"/>
        <w:rPr>
          <w:rFonts w:ascii="Arial" w:cs="Arial" w:eastAsia="Arial" w:hAnsi="Arial"/>
          <w:sz w:val="17"/>
          <w:szCs w:val="17"/>
          <w:color w:val="auto"/>
        </w:rPr>
      </w:pPr>
    </w:p>
    <w:p>
      <w:pPr>
        <w:jc w:val="both"/>
        <w:spacing w:after="0" w:line="243" w:lineRule="auto"/>
        <w:rPr>
          <w:rFonts w:ascii="Arial" w:cs="Arial" w:eastAsia="Arial" w:hAnsi="Arial"/>
          <w:sz w:val="17"/>
          <w:szCs w:val="17"/>
          <w:color w:val="auto"/>
        </w:rPr>
      </w:pPr>
      <w:r>
        <w:rPr>
          <w:rFonts w:ascii="Arial" w:cs="Arial" w:eastAsia="Arial" w:hAnsi="Arial"/>
          <w:sz w:val="19"/>
          <w:szCs w:val="19"/>
          <w:color w:val="auto"/>
        </w:rPr>
        <w:t>by: (i) proceeds from the issuance of the 2029 Notes, (ii) premium payments for Convertible Note Hedge Transactions during 2020, (iii) payment of cash dividends on our common stock during 2020 and (iv) proceeds from the exercise of stock-based compensation during 2021 as compared to payment of taxes from the exercise of stock-based compensation during 2020.</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our current assets, current liabilities and working capital (deficit)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center"/>
              <w:ind w:left="945"/>
              <w:spacing w:after="0"/>
              <w:rPr>
                <w:sz w:val="20"/>
                <w:szCs w:val="20"/>
                <w:color w:val="auto"/>
              </w:rPr>
            </w:pPr>
            <w:r>
              <w:rPr>
                <w:rFonts w:ascii="Arial" w:cs="Arial" w:eastAsia="Arial" w:hAnsi="Arial"/>
                <w:sz w:val="15"/>
                <w:szCs w:val="15"/>
                <w:color w:val="auto"/>
                <w:w w:val="92"/>
              </w:rPr>
              <w:t>247,063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center"/>
              <w:ind w:left="1065"/>
              <w:spacing w:after="0"/>
              <w:rPr>
                <w:sz w:val="20"/>
                <w:szCs w:val="20"/>
                <w:color w:val="auto"/>
              </w:rPr>
            </w:pPr>
            <w:r>
              <w:rPr>
                <w:rFonts w:ascii="Arial" w:cs="Arial" w:eastAsia="Arial" w:hAnsi="Arial"/>
                <w:sz w:val="15"/>
                <w:szCs w:val="15"/>
                <w:color w:val="auto"/>
                <w:w w:val="92"/>
              </w:rPr>
              <w:t>323,854</w:t>
            </w:r>
          </w:p>
        </w:tc>
      </w:tr>
      <w:tr>
        <w:trPr>
          <w:trHeight w:val="21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Current liabilities</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left="945"/>
              <w:spacing w:after="0"/>
              <w:rPr>
                <w:sz w:val="20"/>
                <w:szCs w:val="20"/>
                <w:color w:val="auto"/>
              </w:rPr>
            </w:pPr>
            <w:r>
              <w:rPr>
                <w:rFonts w:ascii="Arial" w:cs="Arial" w:eastAsia="Arial" w:hAnsi="Arial"/>
                <w:sz w:val="15"/>
                <w:szCs w:val="15"/>
                <w:color w:val="auto"/>
                <w:w w:val="92"/>
              </w:rPr>
              <w:t>913,456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065"/>
              <w:spacing w:after="0"/>
              <w:rPr>
                <w:sz w:val="20"/>
                <w:szCs w:val="20"/>
                <w:color w:val="auto"/>
              </w:rPr>
            </w:pPr>
            <w:r>
              <w:rPr>
                <w:rFonts w:ascii="Arial" w:cs="Arial" w:eastAsia="Arial" w:hAnsi="Arial"/>
                <w:sz w:val="15"/>
                <w:szCs w:val="15"/>
                <w:color w:val="auto"/>
                <w:w w:val="92"/>
              </w:rPr>
              <w:t>950,104</w:t>
            </w:r>
          </w:p>
        </w:tc>
      </w:tr>
      <w:tr>
        <w:trPr>
          <w:trHeight w:val="231"/>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Working capital (deficit)</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center"/>
              <w:ind w:left="925"/>
              <w:spacing w:after="0"/>
              <w:rPr>
                <w:sz w:val="20"/>
                <w:szCs w:val="20"/>
                <w:color w:val="auto"/>
              </w:rPr>
            </w:pPr>
            <w:r>
              <w:rPr>
                <w:rFonts w:ascii="Arial" w:cs="Arial" w:eastAsia="Arial" w:hAnsi="Arial"/>
                <w:sz w:val="15"/>
                <w:szCs w:val="15"/>
                <w:color w:val="auto"/>
                <w:w w:val="93"/>
              </w:rPr>
              <w:t>(666,393)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center"/>
              <w:ind w:left="1045"/>
              <w:spacing w:after="0"/>
              <w:rPr>
                <w:sz w:val="20"/>
                <w:szCs w:val="20"/>
                <w:color w:val="auto"/>
              </w:rPr>
            </w:pPr>
            <w:r>
              <w:rPr>
                <w:rFonts w:ascii="Arial" w:cs="Arial" w:eastAsia="Arial" w:hAnsi="Arial"/>
                <w:sz w:val="15"/>
                <w:szCs w:val="15"/>
                <w:color w:val="auto"/>
                <w:w w:val="93"/>
              </w:rPr>
              <w:t>(626,250)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Working capital (deficit) includes: (i) Unearned revenue primarily from unredeemed gift cards of $303.0 million and $381.6 million as of June 27, 2021 and December 27, 2020, respectively, and (ii) current operating lease liabilities of $177.8 million and $176.8 million as of June 27, 2021 and December 27, 2020, respectively, with the corresponding operating right-of-use assets recorded as non-current on our Consolidated Balance Sheets. We have, and in the future may continue to have, negative working capital balances (as is common for many restaurant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companies). We operate successfully with negative working capital because cash collected on restaurant sales are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 xml:space="preserve">Deferred Compensation Programs - </w:t>
      </w:r>
      <w:r>
        <w:rPr>
          <w:rFonts w:ascii="Arial" w:cs="Arial" w:eastAsia="Arial" w:hAnsi="Arial"/>
          <w:sz w:val="17"/>
          <w:szCs w:val="17"/>
          <w:color w:val="auto"/>
        </w:rPr>
        <w:t>The deferred compensation obligation due to managing and chef partners was $21.3 million and $28.1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as of June 27, 2021 and December 27, 2020, respectively. We invest in various corporate-owned life insurance policies, which are held within an irrevocable grantor or rabbi trust account for settlement of our obligations under the deferred compensation plans. The rabbi trust is funded through our voluntary contributions. The obligation for managing and chef partners’ deferred compensation was fully funded as of June 27, 2021.</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Other Compensation Programs </w:t>
      </w:r>
      <w:r>
        <w:rPr>
          <w:rFonts w:ascii="Arial" w:cs="Arial" w:eastAsia="Arial" w:hAnsi="Arial"/>
          <w:sz w:val="19"/>
          <w:szCs w:val="19"/>
          <w:color w:val="auto"/>
        </w:rPr>
        <w:t>- Certain U.S. partners participate in a non-qualified long-term compensation program that we fund as the obligation</w:t>
      </w:r>
      <w:r>
        <w:rPr>
          <w:rFonts w:ascii="Arial" w:cs="Arial" w:eastAsia="Arial" w:hAnsi="Arial"/>
          <w:sz w:val="19"/>
          <w:szCs w:val="19"/>
          <w:i w:val="1"/>
          <w:iCs w:val="1"/>
          <w:color w:val="auto"/>
        </w:rPr>
        <w:t xml:space="preserve"> </w:t>
      </w:r>
      <w:r>
        <w:rPr>
          <w:rFonts w:ascii="Arial" w:cs="Arial" w:eastAsia="Arial" w:hAnsi="Arial"/>
          <w:sz w:val="19"/>
          <w:szCs w:val="19"/>
          <w:color w:val="auto"/>
        </w:rPr>
        <w:t>for each participant becomes due.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DIVIDENDS AND SHARE REPURCHASES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did not pay dividends or repurchase any shares of our outstanding common stock during the thirteen weeks ended June 27, 2021. The terms of our Second Amended and Restated Credit Agreement contain certain restrictions on cash dividends and share repurchases until after TNLR covenant compliance is met for the period ending September 26, 2021.</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our dividends and share repurchases from fiscal year 2015 through June 27,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1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SHARE REPURCHASES</w:t>
            </w:r>
          </w:p>
        </w:tc>
        <w:tc>
          <w:tcPr>
            <w:tcW w:w="360" w:type="dxa"/>
            <w:vAlign w:val="bottom"/>
          </w:tcPr>
          <w:p>
            <w:pPr>
              <w:spacing w:after="0"/>
              <w:rPr>
                <w:sz w:val="17"/>
                <w:szCs w:val="17"/>
                <w:color w:val="auto"/>
              </w:rPr>
            </w:pPr>
          </w:p>
        </w:tc>
        <w:tc>
          <w:tcPr>
            <w:tcW w:w="1380" w:type="dxa"/>
            <w:vAlign w:val="bottom"/>
          </w:tcPr>
          <w:p>
            <w:pPr>
              <w:jc w:val="right"/>
              <w:ind w:right="564"/>
              <w:spacing w:after="0"/>
              <w:rPr>
                <w:sz w:val="20"/>
                <w:szCs w:val="20"/>
                <w:color w:val="auto"/>
              </w:rPr>
            </w:pPr>
            <w:r>
              <w:rPr>
                <w:rFonts w:ascii="Arial" w:cs="Arial" w:eastAsia="Arial" w:hAnsi="Arial"/>
                <w:sz w:val="14"/>
                <w:szCs w:val="14"/>
                <w:b w:val="1"/>
                <w:bCs w:val="1"/>
                <w:color w:val="auto"/>
              </w:rPr>
              <w:t>TOTAL</w:t>
            </w:r>
          </w:p>
        </w:tc>
      </w:tr>
      <w:tr>
        <w:trPr>
          <w:trHeight w:val="20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Fiscal year 2015</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169,999</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199,331</w:t>
            </w: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2016</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31,379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309,887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341,266</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2017</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272,736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303,724</w:t>
            </w: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2018</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33,312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113,967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147,279</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2019</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142,726</w:t>
            </w: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2020</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17,480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17,480</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First fiscal quarter 2021</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5780" w:type="dxa"/>
            <w:vAlign w:val="bottom"/>
          </w:tcPr>
          <w:p>
            <w:pPr>
              <w:ind w:left="20"/>
              <w:spacing w:after="0"/>
              <w:rPr>
                <w:sz w:val="20"/>
                <w:szCs w:val="20"/>
                <w:color w:val="auto"/>
              </w:rPr>
            </w:pPr>
            <w:r>
              <w:rPr>
                <w:rFonts w:ascii="Arial" w:cs="Arial" w:eastAsia="Arial" w:hAnsi="Arial"/>
                <w:sz w:val="15"/>
                <w:szCs w:val="15"/>
                <w:color w:val="auto"/>
              </w:rPr>
              <w:t>Second fiscal quarter 2021</w:t>
            </w:r>
          </w:p>
        </w:tc>
        <w:tc>
          <w:tcPr>
            <w:tcW w:w="20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5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973,581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1,151,806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Financial Accounting Standards</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For a description of recently issued Financial Accounting Standards that we adopted during the twenty-six weeks ended June 27, 2021 and, that are applicable to us and likely to have material effect on our consolidated financial statements, but have not yet been adopted, see Note 1 -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the Business and Basis of Presentation </w:t>
      </w:r>
      <w:r>
        <w:rPr>
          <w:rFonts w:ascii="Arial" w:cs="Arial" w:eastAsia="Arial" w:hAnsi="Arial"/>
          <w:sz w:val="17"/>
          <w:szCs w:val="17"/>
          <w:color w:val="auto"/>
        </w:rPr>
        <w:t>of the Notes to Consolidated Financial Statements of this Quarterly Report on Form 10-Q.</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are exposed to market risk from changes in interest rates, changes in foreign currency exchange rates and changes in commodity prices. We believe that there have been no material changes in our market risk since December 27, 2020, except as set forth below. See Part II, Item 7A., “Quantitative and Qualitative Disclosures about Market Risk,” in our Annual Report on Form 10-K for the year ended December 27, 2020 for further information regarding market risk.</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Foreign Currency Exchange Rate Risk</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For the twenty-six weeks ended June 27, 2021, a 10% change in average foreign currency rates against the U.S. dollar would have increased or decreased our Total revenues for our consolidated foreign entities by $16.8 million. The 10% change would not have had a material effect on Net income. Currently, we do not enter into currency forward exchange or option contracts to hedge foreign currency exposures.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June 27, 2021.</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There have been no changes in our internal control over financial reporting during the thirteen weeks ended June 27,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PART II: OTHER INFORMATION</w:t>
      </w:r>
    </w:p>
    <w:p>
      <w:pPr>
        <w:spacing w:after="0" w:line="233"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9" w:lineRule="exact"/>
        <w:rPr>
          <w:sz w:val="20"/>
          <w:szCs w:val="20"/>
          <w:color w:val="auto"/>
        </w:rPr>
      </w:pPr>
    </w:p>
    <w:p>
      <w:pPr>
        <w:jc w:val="both"/>
        <w:ind w:right="20"/>
        <w:spacing w:after="0" w:line="264" w:lineRule="auto"/>
        <w:rPr>
          <w:sz w:val="20"/>
          <w:szCs w:val="20"/>
          <w:color w:val="auto"/>
        </w:rPr>
      </w:pPr>
      <w:r>
        <w:rPr>
          <w:rFonts w:ascii="Arial" w:cs="Arial" w:eastAsia="Arial" w:hAnsi="Arial"/>
          <w:sz w:val="19"/>
          <w:szCs w:val="19"/>
          <w:color w:val="auto"/>
        </w:rPr>
        <w:t xml:space="preserve">For a description of our legal proceedings, see Note 18 -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of the Notes to Consolidated Financial Statements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7"/>
          <w:szCs w:val="17"/>
          <w:color w:val="auto"/>
        </w:rPr>
        <w:t>In addition to the other information discussed in this report, please consider the factors described in Part I, Item 1A., “Risk Factors” in our 2020 Form 10-K which could materially affect our business, financial condition or future results. There have not been any material changes to the risk factors described in our 2020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equity securities during the thirteen weeks ended June 27, 2021 that were not registered under the Securities Act of 1933.</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We did not repurchase any shares of our outstanding common stock during the thirteen weeks ended June 27, 2021.</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2021 Short-Term Incentive Plan (“STIP”)</w:t>
      </w:r>
    </w:p>
    <w:p>
      <w:pPr>
        <w:spacing w:after="0" w:line="207"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As previously disclosed, the Compensation Committee of the Board of Directors of the Company (the “Committee”) implemented a qualitative bonus design for the first-half of fiscal 2021, with an intention to implement a formal set of financial and/or strategic goals for the second-half of fiscal 2021 due to the uncertainty caused by the COVID-19 pandemic. The Committee’s qualitative review of the first-half reflects a strong emphasis on relative performance as compared to key competitors and will be based on the Company’s performance in navigating and recovering from the COVID-19 pandemic, the Company’s relative performance on year-over-year comparable sales growth when compared to casual dining competitors, and the Company’s progress on continued sustainable savings targets set for 2021. The first-half payout will be capped at 50% of the aggregate annual target amount, with the full amount earned if target performance is achieved.</w:t>
      </w:r>
    </w:p>
    <w:p>
      <w:pPr>
        <w:spacing w:after="0" w:line="185" w:lineRule="exact"/>
        <w:rPr>
          <w:sz w:val="20"/>
          <w:szCs w:val="20"/>
          <w:color w:val="auto"/>
        </w:rPr>
      </w:pPr>
    </w:p>
    <w:p>
      <w:pPr>
        <w:jc w:val="both"/>
        <w:ind w:right="20"/>
        <w:spacing w:after="0" w:line="229" w:lineRule="auto"/>
        <w:rPr>
          <w:sz w:val="20"/>
          <w:szCs w:val="20"/>
          <w:color w:val="auto"/>
        </w:rPr>
      </w:pPr>
      <w:r>
        <w:rPr>
          <w:rFonts w:ascii="Arial" w:cs="Arial" w:eastAsia="Arial" w:hAnsi="Arial"/>
          <w:sz w:val="19"/>
          <w:szCs w:val="19"/>
          <w:color w:val="auto"/>
        </w:rPr>
        <w:t>On August 2, 2021, the Committee established the goals for the second half of fiscal 2021 and determined that it was appropriate to return to the metrics established under the Company’s pre-COVID STIP design, which was previously disclosed in the Company’s Proxy Statements on Schedule 14A filed on April 9, 2020 and March 30, 2021, and approved the following:</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720" w:type="dxa"/>
            <w:vAlign w:val="bottom"/>
            <w:tcBorders>
              <w:bottom w:val="single" w:sz="8" w:color="auto"/>
            </w:tcBorders>
          </w:tcPr>
          <w:p>
            <w:pPr>
              <w:ind w:left="3440"/>
              <w:spacing w:after="0"/>
              <w:rPr>
                <w:sz w:val="20"/>
                <w:szCs w:val="20"/>
                <w:color w:val="auto"/>
              </w:rPr>
            </w:pPr>
            <w:r>
              <w:rPr>
                <w:rFonts w:ascii="Arial" w:cs="Arial" w:eastAsia="Arial" w:hAnsi="Arial"/>
                <w:sz w:val="17"/>
                <w:szCs w:val="17"/>
                <w:b w:val="1"/>
                <w:bCs w:val="1"/>
                <w:color w:val="auto"/>
              </w:rPr>
              <w:t>2021 Second-Half Metric</w:t>
            </w:r>
          </w:p>
        </w:tc>
        <w:tc>
          <w:tcPr>
            <w:tcW w:w="2540" w:type="dxa"/>
            <w:vAlign w:val="bottom"/>
            <w:tcBorders>
              <w:bottom w:val="single" w:sz="8" w:color="auto"/>
            </w:tcBorders>
          </w:tcPr>
          <w:p>
            <w:pPr>
              <w:jc w:val="right"/>
              <w:ind w:right="934"/>
              <w:spacing w:after="0"/>
              <w:rPr>
                <w:sz w:val="20"/>
                <w:szCs w:val="20"/>
                <w:color w:val="auto"/>
              </w:rPr>
            </w:pPr>
            <w:r>
              <w:rPr>
                <w:rFonts w:ascii="Arial" w:cs="Arial" w:eastAsia="Arial" w:hAnsi="Arial"/>
                <w:sz w:val="17"/>
                <w:szCs w:val="17"/>
                <w:b w:val="1"/>
                <w:bCs w:val="1"/>
                <w:color w:val="auto"/>
              </w:rPr>
              <w:t>Weight</w:t>
            </w:r>
          </w:p>
        </w:tc>
      </w:tr>
      <w:tr>
        <w:trPr>
          <w:trHeight w:val="225"/>
        </w:trPr>
        <w:tc>
          <w:tcPr>
            <w:tcW w:w="87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Adjusted Revenue Growth (2-year basis)</w:t>
            </w:r>
          </w:p>
        </w:tc>
        <w:tc>
          <w:tcPr>
            <w:tcW w:w="2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5"/>
        </w:trPr>
        <w:tc>
          <w:tcPr>
            <w:tcW w:w="8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Adjusted Operating Margin Expansion (2-year basis)</w:t>
            </w:r>
          </w:p>
        </w:tc>
        <w:tc>
          <w:tcPr>
            <w:tcW w:w="2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40%</w:t>
            </w:r>
          </w:p>
        </w:tc>
      </w:tr>
      <w:tr>
        <w:trPr>
          <w:trHeight w:val="225"/>
        </w:trPr>
        <w:tc>
          <w:tcPr>
            <w:tcW w:w="87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Strategic Objective – Cost Savings</w:t>
            </w:r>
          </w:p>
        </w:tc>
        <w:tc>
          <w:tcPr>
            <w:tcW w:w="2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bl>
    <w:p>
      <w:pPr>
        <w:spacing w:after="0" w:line="293"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The second-half payout will be capped at 100% of the aggregate annual target amount (100% of the second-half payout will be earned if target metrics are achieved and 200% of the second-half payout will be earned if maximum metrics are achieved). The full-year payout will be capped at 150% of the aggregate annual target amount. The 2021 STIP design, including the second-half metrics and weighting approved by the Committee, reflects the Company’s continued commitment to following a performance-based incentive compensation strategy and positions the Company for success in the second-half of fiscal 2021 and in the long-term. The Committee will evaluate the results of the 2021 STIP following completion of fiscal 2021, and as in all performance years, may apply positive or negative discretion in approving the final STIP payout.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Carrabba’s Italian Grill Purchase and Sale of Royalty Payment Stream and Termination of Royalty Agreement</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 August 2, 2021, Carrabba’s Italian Grill, LLC (“CIG”) and OSI Restaurant Partners, LLC (“OSI”), both of which are indirect, wholly-owned subsidiaries of the Company, entered into the Purchase and Sale of Royalty Payment Stream and Termination of Royalty Agreement (the “Royalty Termination Agreement”) by and among CIG, OSI, Mangia Beve, Inc. (“MBI”), Mangia Beve II, Inc. (“MBI II”), Original, Inc. (“Original”), Voss, Inc. (“Voss”), John C. Carrabba, III, (“Johnny Carrabba”), Damian C. Mandola (“Damian Mandola”) and John C. Carrabba, Jr. (“John C. Carrabba, Jr.”, and together with MBI, MBI II, Original, Voss, Johnny Carrabba, and Damian Mandola, the “Carrabba’s Founders”).</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Pursuant to the Royalty Termination Agreement, the Royalty Agreement, dated April 1995, by and among CIG, OSI and the Carrabba’s Founders, as amended, and CIG’s obligation to pay future royalties on U.S. Carrabba’s Italian Grill restaurant sales and lump sum royalty fees on Carrabba’s Italian Grill restaurants opened outside the U.S. was terminated as of August 2, 2021. In addition, the Royalty Termination Agreement provides that each of CIG and the Carrabba’s Founders will accept and redeem Carrabba’s gift cards of the other party consistent with past practices and subject to certain conditions, confirms and acknowledges CIG’s sole and exclusive ownership of all intellectual property related to the Carrabba’s Italian Grill restaurant concept, and gives CIG a right of first refusal to acquire the two original Carrabba’s restaurants owned and operated by the Carrabba’s Founders subject to certain conditions and exceptions. CIG agreed to pay the Carrabba’s Founders Sixty-One Million Eight Hundred and Eighty Thousand Dollars (USD $61,880,000) in consideration of the Carrabba’s Founders’ entry into the Royalty Termination Agreement.</w:t>
      </w:r>
    </w:p>
    <w:p>
      <w:pPr>
        <w:spacing w:after="0" w:line="183"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The foregoing summary of the Royalty Termination Agreement does not purport to be complete and is qualified in its entirety by the full text of the Royalty Termination Agreement, a copy of which is filed as Exhibit 10.2 to this Quarterly Report on Form 10-Q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gridSpan w:val="2"/>
          </w:tcPr>
          <w:p>
            <w:pPr>
              <w:ind w:left="220"/>
              <w:spacing w:after="0"/>
              <w:rPr>
                <w:sz w:val="20"/>
                <w:szCs w:val="20"/>
                <w:color w:val="auto"/>
              </w:rPr>
            </w:pPr>
            <w:r>
              <w:rPr>
                <w:rFonts w:ascii="Arial" w:cs="Arial" w:eastAsia="Arial" w:hAnsi="Arial"/>
                <w:sz w:val="15"/>
                <w:szCs w:val="15"/>
                <w:b w:val="1"/>
                <w:bCs w:val="1"/>
                <w:color w:val="auto"/>
              </w:rPr>
              <w:t>EXHIBIT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40" w:type="dxa"/>
            <w:vAlign w:val="bottom"/>
            <w:gridSpan w:val="21"/>
            <w:vMerge w:val="restart"/>
          </w:tcPr>
          <w:p>
            <w:pPr>
              <w:ind w:left="640"/>
              <w:spacing w:after="0"/>
              <w:rPr>
                <w:sz w:val="20"/>
                <w:szCs w:val="20"/>
                <w:color w:val="auto"/>
              </w:rPr>
            </w:pPr>
            <w:r>
              <w:rPr>
                <w:rFonts w:ascii="Arial" w:cs="Arial" w:eastAsia="Arial" w:hAnsi="Arial"/>
                <w:sz w:val="15"/>
                <w:szCs w:val="15"/>
                <w:b w:val="1"/>
                <w:bCs w:val="1"/>
                <w:color w:val="auto"/>
              </w:rPr>
              <w:t>DESCRIPTION OF EXHIBITS</w:t>
            </w:r>
          </w:p>
        </w:tc>
        <w:tc>
          <w:tcPr>
            <w:tcW w:w="3600" w:type="dxa"/>
            <w:vAlign w:val="bottom"/>
          </w:tcPr>
          <w:p>
            <w:pPr>
              <w:jc w:val="center"/>
              <w:ind w:right="27"/>
              <w:spacing w:after="0"/>
              <w:rPr>
                <w:sz w:val="20"/>
                <w:szCs w:val="20"/>
                <w:color w:val="auto"/>
              </w:rPr>
            </w:pPr>
            <w:r>
              <w:rPr>
                <w:rFonts w:ascii="Arial" w:cs="Arial" w:eastAsia="Arial" w:hAnsi="Arial"/>
                <w:sz w:val="15"/>
                <w:szCs w:val="15"/>
                <w:b w:val="1"/>
                <w:bCs w:val="1"/>
                <w:color w:val="auto"/>
              </w:rPr>
              <w:t>FILINGS REFERENCED FOR</w:t>
            </w:r>
          </w:p>
        </w:tc>
        <w:tc>
          <w:tcPr>
            <w:tcW w:w="0" w:type="dxa"/>
            <w:vAlign w:val="bottom"/>
          </w:tcPr>
          <w:p>
            <w:pPr>
              <w:spacing w:after="0"/>
              <w:rPr>
                <w:sz w:val="1"/>
                <w:szCs w:val="1"/>
                <w:color w:val="auto"/>
              </w:rPr>
            </w:pPr>
          </w:p>
        </w:tc>
      </w:tr>
      <w:tr>
        <w:trPr>
          <w:trHeight w:val="212"/>
        </w:trPr>
        <w:tc>
          <w:tcPr>
            <w:tcW w:w="1180" w:type="dxa"/>
            <w:vAlign w:val="bottom"/>
            <w:gridSpan w:val="2"/>
          </w:tcPr>
          <w:p>
            <w:pPr>
              <w:ind w:left="200"/>
              <w:spacing w:after="0"/>
              <w:rPr>
                <w:sz w:val="20"/>
                <w:szCs w:val="20"/>
                <w:color w:val="auto"/>
              </w:rPr>
            </w:pPr>
            <w:r>
              <w:rPr>
                <w:rFonts w:ascii="Arial" w:cs="Arial" w:eastAsia="Arial" w:hAnsi="Arial"/>
                <w:sz w:val="15"/>
                <w:szCs w:val="15"/>
                <w:b w:val="1"/>
                <w:bCs w:val="1"/>
                <w:color w:val="auto"/>
              </w:rPr>
              <w:t>NUMBER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40" w:type="dxa"/>
            <w:vAlign w:val="bottom"/>
            <w:gridSpan w:val="21"/>
            <w:vMerge w:val="continue"/>
          </w:tcPr>
          <w:p>
            <w:pPr>
              <w:spacing w:after="0"/>
              <w:rPr>
                <w:sz w:val="18"/>
                <w:szCs w:val="18"/>
                <w:color w:val="auto"/>
              </w:rPr>
            </w:pPr>
          </w:p>
        </w:tc>
        <w:tc>
          <w:tcPr>
            <w:tcW w:w="3600" w:type="dxa"/>
            <w:vAlign w:val="bottom"/>
          </w:tcPr>
          <w:p>
            <w:pPr>
              <w:jc w:val="center"/>
              <w:ind w:right="27"/>
              <w:spacing w:after="0"/>
              <w:rPr>
                <w:sz w:val="20"/>
                <w:szCs w:val="20"/>
                <w:color w:val="auto"/>
              </w:rPr>
            </w:pPr>
            <w:r>
              <w:rPr>
                <w:rFonts w:ascii="Arial" w:cs="Arial" w:eastAsia="Arial" w:hAnsi="Arial"/>
                <w:sz w:val="15"/>
                <w:szCs w:val="15"/>
                <w:b w:val="1"/>
                <w:bCs w:val="1"/>
                <w:color w:val="auto"/>
              </w:rPr>
              <w:t>INCORPORATION BY REFERENCE</w:t>
            </w:r>
          </w:p>
        </w:tc>
        <w:tc>
          <w:tcPr>
            <w:tcW w:w="0" w:type="dxa"/>
            <w:vAlign w:val="bottom"/>
          </w:tcPr>
          <w:p>
            <w:pPr>
              <w:spacing w:after="0"/>
              <w:rPr>
                <w:sz w:val="1"/>
                <w:szCs w:val="1"/>
                <w:color w:val="auto"/>
              </w:rPr>
            </w:pPr>
          </w:p>
        </w:tc>
      </w:tr>
      <w:tr>
        <w:trPr>
          <w:trHeight w:val="232"/>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3.1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360" w:type="dxa"/>
            <w:vAlign w:val="bottom"/>
            <w:tcBorders>
              <w:top w:val="single" w:sz="8" w:color="auto"/>
              <w:bottom w:val="single" w:sz="8" w:color="0000FF"/>
            </w:tcBorders>
            <w:gridSpan w:val="7"/>
          </w:tcPr>
          <w:p>
            <w:pPr>
              <w:spacing w:after="0"/>
              <w:rPr>
                <w:rFonts w:ascii="Arial" w:cs="Arial" w:eastAsia="Arial" w:hAnsi="Arial"/>
                <w:sz w:val="19"/>
                <w:szCs w:val="19"/>
                <w:color w:val="0000FF"/>
                <w:w w:val="91"/>
              </w:rPr>
            </w:pPr>
            <w:hyperlink r:id="rId84">
              <w:r>
                <w:rPr>
                  <w:rFonts w:ascii="Arial" w:cs="Arial" w:eastAsia="Arial" w:hAnsi="Arial"/>
                  <w:sz w:val="19"/>
                  <w:szCs w:val="19"/>
                  <w:color w:val="0000FF"/>
                  <w:w w:val="91"/>
                </w:rPr>
                <w:t>Third Amended and Restated Certificate of Incorporation</w:t>
              </w:r>
            </w:hyperlink>
          </w:p>
        </w:tc>
        <w:tc>
          <w:tcPr>
            <w:tcW w:w="2080" w:type="dxa"/>
            <w:vAlign w:val="bottom"/>
            <w:tcBorders>
              <w:top w:val="single" w:sz="8" w:color="auto"/>
            </w:tcBorders>
            <w:gridSpan w:val="16"/>
          </w:tcPr>
          <w:p>
            <w:pPr>
              <w:spacing w:after="0"/>
              <w:rPr>
                <w:sz w:val="20"/>
                <w:szCs w:val="20"/>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May 19, 2021 Form 8-K, Exhibit 3.1</w:t>
            </w: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90"/>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40" w:type="dxa"/>
            <w:vAlign w:val="bottom"/>
            <w:gridSpan w:val="23"/>
          </w:tcPr>
          <w:p>
            <w:pPr>
              <w:spacing w:after="0"/>
              <w:rPr>
                <w:rFonts w:ascii="Arial" w:cs="Arial" w:eastAsia="Arial" w:hAnsi="Arial"/>
                <w:sz w:val="19"/>
                <w:szCs w:val="19"/>
                <w:color w:val="0000FF"/>
                <w:w w:val="96"/>
              </w:rPr>
            </w:pPr>
            <w:hyperlink r:id="rId85">
              <w:r>
                <w:rPr>
                  <w:rFonts w:ascii="Arial" w:cs="Arial" w:eastAsia="Arial" w:hAnsi="Arial"/>
                  <w:sz w:val="19"/>
                  <w:szCs w:val="19"/>
                  <w:color w:val="0000FF"/>
                  <w:w w:val="96"/>
                </w:rPr>
                <w:t>Indenture, dated as of April 16, 2021, by and among Bloomin’ Brands, Inc., OSI</w:t>
              </w:r>
            </w:hyperlink>
          </w:p>
        </w:tc>
        <w:tc>
          <w:tcPr>
            <w:tcW w:w="3600" w:type="dxa"/>
            <w:vAlign w:val="bottom"/>
          </w:tcPr>
          <w:p>
            <w:pPr>
              <w:spacing w:after="0"/>
              <w:rPr>
                <w:sz w:val="20"/>
                <w:szCs w:val="20"/>
                <w:color w:val="auto"/>
              </w:rPr>
            </w:pPr>
            <w:r>
              <w:rPr>
                <w:rFonts w:ascii="Arial" w:cs="Arial" w:eastAsia="Arial" w:hAnsi="Arial"/>
                <w:sz w:val="19"/>
                <w:szCs w:val="19"/>
                <w:color w:val="auto"/>
              </w:rPr>
              <w:t>April 20, 2021 Form 8-K, Exhibit 4.1</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15"/>
          </w:tcPr>
          <w:p>
            <w:pPr>
              <w:spacing w:after="0" w:line="161"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Restaurant Partners, LLC, the guarantors party thereto, and Wells Fargo Bank,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tcBorders>
              <w:bottom w:val="single" w:sz="8" w:color="0000FF"/>
            </w:tcBorders>
            <w:gridSpan w:val="3"/>
          </w:tcPr>
          <w:p>
            <w:pPr>
              <w:spacing w:after="0" w:line="161"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National Association, as trustee</w:t>
              </w:r>
            </w:hyperlink>
          </w:p>
        </w:tc>
        <w:tc>
          <w:tcPr>
            <w:tcW w:w="402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080" w:type="dxa"/>
            <w:vAlign w:val="bottom"/>
          </w:tcPr>
          <w:p>
            <w:pPr>
              <w:jc w:val="center"/>
              <w:spacing w:after="0"/>
              <w:rPr>
                <w:sz w:val="20"/>
                <w:szCs w:val="20"/>
                <w:color w:val="auto"/>
              </w:rPr>
            </w:pPr>
            <w:r>
              <w:rPr>
                <w:rFonts w:ascii="Arial" w:cs="Arial" w:eastAsia="Arial" w:hAnsi="Arial"/>
                <w:sz w:val="19"/>
                <w:szCs w:val="19"/>
                <w:color w:val="auto"/>
                <w:w w:val="90"/>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40" w:type="dxa"/>
            <w:vAlign w:val="bottom"/>
            <w:gridSpan w:val="23"/>
          </w:tcPr>
          <w:p>
            <w:pPr>
              <w:spacing w:after="0"/>
              <w:rPr>
                <w:rFonts w:ascii="Arial" w:cs="Arial" w:eastAsia="Arial" w:hAnsi="Arial"/>
                <w:sz w:val="19"/>
                <w:szCs w:val="19"/>
                <w:color w:val="0000FF"/>
              </w:rPr>
            </w:pPr>
            <w:hyperlink r:id="rId86">
              <w:r>
                <w:rPr>
                  <w:rFonts w:ascii="Arial" w:cs="Arial" w:eastAsia="Arial" w:hAnsi="Arial"/>
                  <w:sz w:val="19"/>
                  <w:szCs w:val="19"/>
                  <w:color w:val="0000FF"/>
                </w:rPr>
                <w:t>Form of 5.125% Senior Notes due 2029</w:t>
              </w:r>
            </w:hyperlink>
          </w:p>
        </w:tc>
        <w:tc>
          <w:tcPr>
            <w:tcW w:w="3600" w:type="dxa"/>
            <w:vAlign w:val="bottom"/>
          </w:tcPr>
          <w:p>
            <w:pPr>
              <w:spacing w:after="0"/>
              <w:rPr>
                <w:sz w:val="20"/>
                <w:szCs w:val="20"/>
                <w:color w:val="auto"/>
              </w:rPr>
            </w:pPr>
            <w:r>
              <w:rPr>
                <w:rFonts w:ascii="Arial" w:cs="Arial" w:eastAsia="Arial" w:hAnsi="Arial"/>
                <w:sz w:val="19"/>
                <w:szCs w:val="19"/>
                <w:color w:val="auto"/>
                <w:w w:val="91"/>
              </w:rPr>
              <w:t>April 20, 2021 Form 8-K, Included as Exhibit A</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20" w:type="dxa"/>
            <w:vAlign w:val="bottom"/>
            <w:tcBorders>
              <w:top w:val="single" w:sz="8" w:color="0000FF"/>
            </w:tcBorders>
          </w:tcPr>
          <w:p>
            <w:pPr>
              <w:spacing w:after="0"/>
              <w:rPr>
                <w:sz w:val="18"/>
                <w:szCs w:val="18"/>
                <w:color w:val="auto"/>
              </w:rPr>
            </w:pPr>
          </w:p>
        </w:tc>
        <w:tc>
          <w:tcPr>
            <w:tcW w:w="100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9"/>
                <w:szCs w:val="19"/>
                <w:color w:val="auto"/>
              </w:rPr>
              <w:t>to Exhibit 4.1</w:t>
            </w:r>
          </w:p>
        </w:tc>
        <w:tc>
          <w:tcPr>
            <w:tcW w:w="0" w:type="dxa"/>
            <w:vAlign w:val="bottom"/>
          </w:tcPr>
          <w:p>
            <w:pPr>
              <w:spacing w:after="0"/>
              <w:rPr>
                <w:sz w:val="1"/>
                <w:szCs w:val="1"/>
                <w:color w:val="auto"/>
              </w:rPr>
            </w:pPr>
          </w:p>
        </w:tc>
      </w:tr>
      <w:tr>
        <w:trPr>
          <w:trHeight w:val="237"/>
        </w:trPr>
        <w:tc>
          <w:tcPr>
            <w:tcW w:w="1080" w:type="dxa"/>
            <w:vAlign w:val="bottom"/>
          </w:tcPr>
          <w:p>
            <w:pPr>
              <w:jc w:val="center"/>
              <w:spacing w:after="0"/>
              <w:rPr>
                <w:sz w:val="20"/>
                <w:szCs w:val="20"/>
                <w:color w:val="auto"/>
              </w:rPr>
            </w:pPr>
            <w:r>
              <w:rPr>
                <w:rFonts w:ascii="Arial" w:cs="Arial" w:eastAsia="Arial" w:hAnsi="Arial"/>
                <w:sz w:val="19"/>
                <w:szCs w:val="19"/>
                <w:color w:val="auto"/>
                <w:w w:val="86"/>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40" w:type="dxa"/>
            <w:vAlign w:val="bottom"/>
            <w:gridSpan w:val="23"/>
          </w:tcPr>
          <w:p>
            <w:pPr>
              <w:spacing w:after="0"/>
              <w:rPr>
                <w:rFonts w:ascii="Arial" w:cs="Arial" w:eastAsia="Arial" w:hAnsi="Arial"/>
                <w:sz w:val="19"/>
                <w:szCs w:val="19"/>
                <w:color w:val="0000FF"/>
                <w:w w:val="95"/>
              </w:rPr>
            </w:pPr>
            <w:hyperlink r:id="rId87">
              <w:r>
                <w:rPr>
                  <w:rFonts w:ascii="Arial" w:cs="Arial" w:eastAsia="Arial" w:hAnsi="Arial"/>
                  <w:sz w:val="19"/>
                  <w:szCs w:val="19"/>
                  <w:color w:val="0000FF"/>
                  <w:w w:val="95"/>
                </w:rPr>
                <w:t>Second Amended and Restated Credit Agreement, dated April 16, 2021, by and</w:t>
              </w:r>
            </w:hyperlink>
          </w:p>
        </w:tc>
        <w:tc>
          <w:tcPr>
            <w:tcW w:w="3600" w:type="dxa"/>
            <w:vAlign w:val="bottom"/>
          </w:tcPr>
          <w:p>
            <w:pPr>
              <w:spacing w:after="0"/>
              <w:rPr>
                <w:sz w:val="20"/>
                <w:szCs w:val="20"/>
                <w:color w:val="auto"/>
              </w:rPr>
            </w:pPr>
            <w:r>
              <w:rPr>
                <w:rFonts w:ascii="Arial" w:cs="Arial" w:eastAsia="Arial" w:hAnsi="Arial"/>
                <w:sz w:val="19"/>
                <w:szCs w:val="19"/>
                <w:color w:val="auto"/>
              </w:rPr>
              <w:t>April 20, 2021 Form 8-K, Exhibit 10.1</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0" w:type="dxa"/>
            <w:vAlign w:val="bottom"/>
            <w:tcBorders>
              <w:top w:val="single" w:sz="8" w:color="0000FF"/>
            </w:tcBorders>
            <w:gridSpan w:val="21"/>
          </w:tcPr>
          <w:p>
            <w:pPr>
              <w:spacing w:after="0" w:line="161" w:lineRule="exact"/>
              <w:rPr>
                <w:rFonts w:ascii="Arial" w:cs="Arial" w:eastAsia="Arial" w:hAnsi="Arial"/>
                <w:sz w:val="18"/>
                <w:szCs w:val="18"/>
                <w:color w:val="0000FF"/>
              </w:rPr>
            </w:pPr>
            <w:hyperlink r:id="rId87">
              <w:r>
                <w:rPr>
                  <w:rFonts w:ascii="Arial" w:cs="Arial" w:eastAsia="Arial" w:hAnsi="Arial"/>
                  <w:sz w:val="18"/>
                  <w:szCs w:val="18"/>
                  <w:color w:val="0000FF"/>
                </w:rPr>
                <w:t>among Bloomin’ Brands, Inc., OSI Restaurant Partners, LLC, the guarantors</w:t>
              </w:r>
            </w:hyperlink>
          </w:p>
        </w:tc>
        <w:tc>
          <w:tcPr>
            <w:tcW w:w="40" w:type="dxa"/>
            <w:vAlign w:val="bottom"/>
            <w:gridSpan w:val="2"/>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10"/>
          </w:tcPr>
          <w:p>
            <w:pPr>
              <w:spacing w:after="0" w:line="161"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party  thereto,  the  lenders  party  thereto,  and  Wells  Fargo  Bank,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gridSpan w:val="18"/>
          </w:tcPr>
          <w:p>
            <w:pPr>
              <w:spacing w:after="0" w:line="161" w:lineRule="exact"/>
              <w:rPr>
                <w:rFonts w:ascii="Arial" w:cs="Arial" w:eastAsia="Arial" w:hAnsi="Arial"/>
                <w:sz w:val="18"/>
                <w:szCs w:val="18"/>
                <w:color w:val="0000FF"/>
              </w:rPr>
            </w:pPr>
            <w:hyperlink r:id="rId87">
              <w:r>
                <w:rPr>
                  <w:rFonts w:ascii="Arial" w:cs="Arial" w:eastAsia="Arial" w:hAnsi="Arial"/>
                  <w:sz w:val="18"/>
                  <w:szCs w:val="18"/>
                  <w:color w:val="0000FF"/>
                </w:rPr>
                <w:t>Association, as administrative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40" w:type="dxa"/>
            <w:vAlign w:val="bottom"/>
            <w:gridSpan w:val="23"/>
          </w:tcPr>
          <w:p>
            <w:pPr>
              <w:spacing w:after="0"/>
              <w:rPr>
                <w:rFonts w:ascii="Arial" w:cs="Arial" w:eastAsia="Arial" w:hAnsi="Arial"/>
                <w:sz w:val="19"/>
                <w:szCs w:val="19"/>
                <w:color w:val="0000FF"/>
              </w:rPr>
            </w:pPr>
            <w:hyperlink w:anchor="page61">
              <w:r>
                <w:rPr>
                  <w:rFonts w:ascii="Arial" w:cs="Arial" w:eastAsia="Arial" w:hAnsi="Arial"/>
                  <w:sz w:val="19"/>
                  <w:szCs w:val="19"/>
                  <w:color w:val="0000FF"/>
                </w:rPr>
                <w:t>Purchase and Sale of Royalty Payment Stream and Termination of Royalty</w:t>
              </w:r>
            </w:hyperlink>
          </w:p>
        </w:tc>
        <w:tc>
          <w:tcPr>
            <w:tcW w:w="36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4"/>
          </w:tcPr>
          <w:p>
            <w:pPr>
              <w:spacing w:after="0" w:line="161" w:lineRule="exact"/>
              <w:rPr>
                <w:rFonts w:ascii="Arial" w:cs="Arial" w:eastAsia="Arial" w:hAnsi="Arial"/>
                <w:sz w:val="18"/>
                <w:szCs w:val="18"/>
                <w:color w:val="0000FF"/>
              </w:rPr>
            </w:pPr>
            <w:hyperlink w:anchor="page61">
              <w:r>
                <w:rPr>
                  <w:rFonts w:ascii="Arial" w:cs="Arial" w:eastAsia="Arial" w:hAnsi="Arial"/>
                  <w:sz w:val="18"/>
                  <w:szCs w:val="18"/>
                  <w:color w:val="0000FF"/>
                </w:rPr>
                <w:t>Agreement dated August 2, 2021 by and among Carrabba’s Italian Grill, LLC,</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gridSpan w:val="6"/>
          </w:tcPr>
          <w:p>
            <w:pPr>
              <w:spacing w:after="0" w:line="161" w:lineRule="exact"/>
              <w:rPr>
                <w:rFonts w:ascii="Arial" w:cs="Arial" w:eastAsia="Arial" w:hAnsi="Arial"/>
                <w:sz w:val="18"/>
                <w:szCs w:val="18"/>
                <w:color w:val="0000FF"/>
                <w:w w:val="97"/>
              </w:rPr>
            </w:pPr>
            <w:hyperlink w:anchor="page61">
              <w:r>
                <w:rPr>
                  <w:rFonts w:ascii="Arial" w:cs="Arial" w:eastAsia="Arial" w:hAnsi="Arial"/>
                  <w:sz w:val="18"/>
                  <w:szCs w:val="18"/>
                  <w:color w:val="0000FF"/>
                  <w:w w:val="97"/>
                </w:rPr>
                <w:t>OSI Restaurant Partners, LLC Mangia Beve, Inc.,</w:t>
              </w:r>
            </w:hyperlink>
          </w:p>
        </w:tc>
        <w:tc>
          <w:tcPr>
            <w:tcW w:w="2500" w:type="dxa"/>
            <w:vAlign w:val="bottom"/>
            <w:gridSpan w:val="13"/>
          </w:tcPr>
          <w:p>
            <w:pPr>
              <w:spacing w:after="0" w:line="161" w:lineRule="exact"/>
              <w:rPr>
                <w:rFonts w:ascii="Arial" w:cs="Arial" w:eastAsia="Arial" w:hAnsi="Arial"/>
                <w:sz w:val="18"/>
                <w:szCs w:val="18"/>
                <w:color w:val="0000FF"/>
              </w:rPr>
            </w:pPr>
            <w:hyperlink w:anchor="page61">
              <w:r>
                <w:rPr>
                  <w:rFonts w:ascii="Arial" w:cs="Arial" w:eastAsia="Arial" w:hAnsi="Arial"/>
                  <w:sz w:val="18"/>
                  <w:szCs w:val="18"/>
                  <w:color w:val="0000FF"/>
                </w:rPr>
                <w:t>Mangia Beve II, Inc., Original,</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1"/>
          </w:tcPr>
          <w:p>
            <w:pPr>
              <w:spacing w:after="0" w:line="161" w:lineRule="exact"/>
              <w:rPr>
                <w:rFonts w:ascii="Arial" w:cs="Arial" w:eastAsia="Arial" w:hAnsi="Arial"/>
                <w:sz w:val="18"/>
                <w:szCs w:val="18"/>
                <w:color w:val="0000FF"/>
                <w:w w:val="94"/>
              </w:rPr>
            </w:pPr>
            <w:hyperlink w:anchor="page61">
              <w:r>
                <w:rPr>
                  <w:rFonts w:ascii="Arial" w:cs="Arial" w:eastAsia="Arial" w:hAnsi="Arial"/>
                  <w:sz w:val="18"/>
                  <w:szCs w:val="18"/>
                  <w:color w:val="0000FF"/>
                  <w:w w:val="94"/>
                </w:rPr>
                <w:t>Inc., Voss, Inc., John C. Carrabba, III, Damian C. Mandola and John C. Carrabba,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0000FF"/>
            </w:tcBorders>
          </w:tcPr>
          <w:p>
            <w:pPr>
              <w:spacing w:after="0" w:line="161" w:lineRule="exact"/>
              <w:rPr>
                <w:rFonts w:ascii="Arial" w:cs="Arial" w:eastAsia="Arial" w:hAnsi="Arial"/>
                <w:sz w:val="18"/>
                <w:szCs w:val="18"/>
                <w:color w:val="0000FF"/>
                <w:w w:val="79"/>
              </w:rPr>
            </w:pPr>
            <w:hyperlink w:anchor="page61">
              <w:r>
                <w:rPr>
                  <w:rFonts w:ascii="Arial" w:cs="Arial" w:eastAsia="Arial" w:hAnsi="Arial"/>
                  <w:sz w:val="18"/>
                  <w:szCs w:val="18"/>
                  <w:color w:val="0000FF"/>
                  <w:w w:val="79"/>
                </w:rPr>
                <w:t>Jr.</w:t>
              </w:r>
            </w:hyperlink>
          </w:p>
        </w:tc>
        <w:tc>
          <w:tcPr>
            <w:tcW w:w="6200" w:type="dxa"/>
            <w:vAlign w:val="bottom"/>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40" w:type="dxa"/>
            <w:vAlign w:val="bottom"/>
            <w:gridSpan w:val="23"/>
          </w:tcPr>
          <w:p>
            <w:pPr>
              <w:spacing w:after="0"/>
              <w:rPr>
                <w:rFonts w:ascii="Arial" w:cs="Arial" w:eastAsia="Arial" w:hAnsi="Arial"/>
                <w:sz w:val="19"/>
                <w:szCs w:val="19"/>
                <w:color w:val="0000FF"/>
                <w:w w:val="95"/>
              </w:rPr>
            </w:pPr>
            <w:hyperlink w:anchor="page82">
              <w:r>
                <w:rPr>
                  <w:rFonts w:ascii="Arial" w:cs="Arial" w:eastAsia="Arial" w:hAnsi="Arial"/>
                  <w:sz w:val="19"/>
                  <w:szCs w:val="19"/>
                  <w:color w:val="0000FF"/>
                  <w:w w:val="95"/>
                </w:rPr>
                <w:t>Certification of Chief Executive Officer pursuant to Section 302 of the Sarbanes-</w:t>
              </w:r>
            </w:hyperlink>
          </w:p>
        </w:tc>
        <w:tc>
          <w:tcPr>
            <w:tcW w:w="36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tcBorders>
            <w:gridSpan w:val="13"/>
          </w:tcPr>
          <w:p>
            <w:pPr>
              <w:spacing w:after="0" w:line="161" w:lineRule="exact"/>
              <w:rPr>
                <w:rFonts w:ascii="Arial" w:cs="Arial" w:eastAsia="Arial" w:hAnsi="Arial"/>
                <w:sz w:val="18"/>
                <w:szCs w:val="18"/>
                <w:color w:val="0000FF"/>
              </w:rPr>
            </w:pPr>
            <w:hyperlink w:anchor="page82">
              <w:r>
                <w:rPr>
                  <w:rFonts w:ascii="Arial" w:cs="Arial" w:eastAsia="Arial" w:hAnsi="Arial"/>
                  <w:sz w:val="18"/>
                  <w:szCs w:val="18"/>
                  <w:color w:val="0000FF"/>
                </w:rPr>
                <w:t>Oxley Act of 2002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40" w:type="dxa"/>
            <w:vAlign w:val="bottom"/>
            <w:gridSpan w:val="23"/>
          </w:tcPr>
          <w:p>
            <w:pPr>
              <w:spacing w:after="0"/>
              <w:rPr>
                <w:rFonts w:ascii="Arial" w:cs="Arial" w:eastAsia="Arial" w:hAnsi="Arial"/>
                <w:sz w:val="19"/>
                <w:szCs w:val="19"/>
                <w:color w:val="0000FF"/>
                <w:w w:val="96"/>
              </w:rPr>
            </w:pPr>
            <w:hyperlink w:anchor="page83">
              <w:r>
                <w:rPr>
                  <w:rFonts w:ascii="Arial" w:cs="Arial" w:eastAsia="Arial" w:hAnsi="Arial"/>
                  <w:sz w:val="19"/>
                  <w:szCs w:val="19"/>
                  <w:color w:val="0000FF"/>
                  <w:w w:val="96"/>
                </w:rPr>
                <w:t>Certification of Chief Financial Officer pursuant to Section 302 of the Sarbanes-</w:t>
              </w:r>
            </w:hyperlink>
          </w:p>
        </w:tc>
        <w:tc>
          <w:tcPr>
            <w:tcW w:w="36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20" w:type="dxa"/>
            <w:vAlign w:val="bottom"/>
            <w:tcBorders>
              <w:top w:val="single" w:sz="8" w:color="0000FF"/>
            </w:tcBorders>
            <w:gridSpan w:val="12"/>
          </w:tcPr>
          <w:p>
            <w:pPr>
              <w:spacing w:after="0" w:line="161" w:lineRule="exact"/>
              <w:rPr>
                <w:rFonts w:ascii="Arial" w:cs="Arial" w:eastAsia="Arial" w:hAnsi="Arial"/>
                <w:sz w:val="18"/>
                <w:szCs w:val="18"/>
                <w:color w:val="0000FF"/>
              </w:rPr>
            </w:pPr>
            <w:hyperlink w:anchor="page83">
              <w:r>
                <w:rPr>
                  <w:rFonts w:ascii="Arial" w:cs="Arial" w:eastAsia="Arial" w:hAnsi="Arial"/>
                  <w:sz w:val="18"/>
                  <w:szCs w:val="18"/>
                  <w:color w:val="0000FF"/>
                </w:rPr>
                <w:t>Oxley Act of 2002</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40" w:type="dxa"/>
            <w:vAlign w:val="bottom"/>
            <w:gridSpan w:val="23"/>
          </w:tcPr>
          <w:p>
            <w:pPr>
              <w:spacing w:after="0"/>
              <w:rPr>
                <w:rFonts w:ascii="Arial" w:cs="Arial" w:eastAsia="Arial" w:hAnsi="Arial"/>
                <w:sz w:val="19"/>
                <w:szCs w:val="19"/>
                <w:color w:val="0000FF"/>
                <w:w w:val="98"/>
              </w:rPr>
            </w:pPr>
            <w:hyperlink w:anchor="page84">
              <w:r>
                <w:rPr>
                  <w:rFonts w:ascii="Arial" w:cs="Arial" w:eastAsia="Arial" w:hAnsi="Arial"/>
                  <w:sz w:val="19"/>
                  <w:szCs w:val="19"/>
                  <w:color w:val="0000FF"/>
                  <w:w w:val="98"/>
                </w:rPr>
                <w:t>Certification of Chief Executive Officer pursuant to 18 U.S.C. Section 1350, as</w:t>
              </w:r>
            </w:hyperlink>
          </w:p>
        </w:tc>
        <w:tc>
          <w:tcPr>
            <w:tcW w:w="3600" w:type="dxa"/>
            <w:vAlign w:val="bottom"/>
          </w:tcPr>
          <w:p>
            <w:pPr>
              <w:spacing w:after="0"/>
              <w:rPr>
                <w:sz w:val="20"/>
                <w:szCs w:val="20"/>
                <w:color w:val="auto"/>
              </w:rPr>
            </w:pPr>
            <w:r>
              <w:rPr>
                <w:rFonts w:ascii="Arial" w:cs="Arial" w:eastAsia="Arial" w:hAnsi="Arial"/>
                <w:sz w:val="19"/>
                <w:szCs w:val="19"/>
                <w:color w:val="auto"/>
              </w:rPr>
              <w:t>Furnished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9"/>
          </w:tcPr>
          <w:p>
            <w:pPr>
              <w:spacing w:after="0" w:line="161" w:lineRule="exact"/>
              <w:rPr>
                <w:rFonts w:ascii="Arial" w:cs="Arial" w:eastAsia="Arial" w:hAnsi="Arial"/>
                <w:sz w:val="18"/>
                <w:szCs w:val="18"/>
                <w:color w:val="0000FF"/>
                <w:w w:val="95"/>
              </w:rPr>
            </w:pPr>
            <w:hyperlink w:anchor="page84">
              <w:r>
                <w:rPr>
                  <w:rFonts w:ascii="Arial" w:cs="Arial" w:eastAsia="Arial" w:hAnsi="Arial"/>
                  <w:sz w:val="18"/>
                  <w:szCs w:val="18"/>
                  <w:color w:val="0000FF"/>
                  <w:w w:val="95"/>
                </w:rPr>
                <w:t>adopted pursuant to Section 906 of the Sarbanes-Oxley Act of 2002 (1)</w:t>
              </w:r>
            </w:hyperlink>
          </w:p>
        </w:tc>
        <w:tc>
          <w:tcPr>
            <w:tcW w:w="900" w:type="dxa"/>
            <w:vAlign w:val="bottom"/>
            <w:tcBorders>
              <w:top w:val="single" w:sz="8" w:color="0000FF"/>
            </w:tcBorders>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40" w:type="dxa"/>
            <w:vAlign w:val="bottom"/>
            <w:gridSpan w:val="23"/>
          </w:tcPr>
          <w:p>
            <w:pPr>
              <w:spacing w:after="0"/>
              <w:rPr>
                <w:rFonts w:ascii="Arial" w:cs="Arial" w:eastAsia="Arial" w:hAnsi="Arial"/>
                <w:sz w:val="19"/>
                <w:szCs w:val="19"/>
                <w:color w:val="0000FF"/>
                <w:w w:val="99"/>
              </w:rPr>
            </w:pPr>
            <w:hyperlink w:anchor="page85">
              <w:r>
                <w:rPr>
                  <w:rFonts w:ascii="Arial" w:cs="Arial" w:eastAsia="Arial" w:hAnsi="Arial"/>
                  <w:sz w:val="19"/>
                  <w:szCs w:val="19"/>
                  <w:color w:val="0000FF"/>
                  <w:w w:val="99"/>
                </w:rPr>
                <w:t>Certification of Chief Financial Officer pursuant to 18 U.S.C. Section 1350, as</w:t>
              </w:r>
            </w:hyperlink>
          </w:p>
        </w:tc>
        <w:tc>
          <w:tcPr>
            <w:tcW w:w="3600" w:type="dxa"/>
            <w:vAlign w:val="bottom"/>
          </w:tcPr>
          <w:p>
            <w:pPr>
              <w:spacing w:after="0"/>
              <w:rPr>
                <w:sz w:val="20"/>
                <w:szCs w:val="20"/>
                <w:color w:val="auto"/>
              </w:rPr>
            </w:pPr>
            <w:r>
              <w:rPr>
                <w:rFonts w:ascii="Arial" w:cs="Arial" w:eastAsia="Arial" w:hAnsi="Arial"/>
                <w:sz w:val="19"/>
                <w:szCs w:val="19"/>
                <w:color w:val="auto"/>
              </w:rPr>
              <w:t>Furnished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61" w:lineRule="exact"/>
              <w:rPr>
                <w:rFonts w:ascii="Arial" w:cs="Arial" w:eastAsia="Arial" w:hAnsi="Arial"/>
                <w:sz w:val="18"/>
                <w:szCs w:val="18"/>
                <w:color w:val="0000FF"/>
                <w:w w:val="94"/>
              </w:rPr>
            </w:pPr>
            <w:hyperlink w:anchor="page85">
              <w:r>
                <w:rPr>
                  <w:rFonts w:ascii="Arial" w:cs="Arial" w:eastAsia="Arial" w:hAnsi="Arial"/>
                  <w:sz w:val="18"/>
                  <w:szCs w:val="18"/>
                  <w:color w:val="0000FF"/>
                  <w:w w:val="94"/>
                </w:rPr>
                <w:t>adopted pursuant to Section 906 of the Sarbanes-Oxley Act of 2002 (1)</w:t>
              </w:r>
            </w:hyperlink>
          </w:p>
        </w:tc>
        <w:tc>
          <w:tcPr>
            <w:tcW w:w="900" w:type="dxa"/>
            <w:vAlign w:val="bottom"/>
            <w:tcBorders>
              <w:top w:val="single" w:sz="8" w:color="0000FF"/>
            </w:tcBorders>
            <w:gridSpan w:val="8"/>
          </w:tcPr>
          <w:p>
            <w:pPr>
              <w:spacing w:after="0"/>
              <w:rPr>
                <w:sz w:val="13"/>
                <w:szCs w:val="13"/>
                <w:color w:val="auto"/>
              </w:rPr>
            </w:pPr>
          </w:p>
        </w:tc>
        <w:tc>
          <w:tcPr>
            <w:tcW w:w="140" w:type="dxa"/>
            <w:vAlign w:val="bottom"/>
            <w:gridSpan w:val="7"/>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180" w:type="dxa"/>
            <w:vAlign w:val="bottom"/>
            <w:gridSpan w:val="2"/>
          </w:tcPr>
          <w:p>
            <w:pPr>
              <w:ind w:left="220"/>
              <w:spacing w:after="0"/>
              <w:rPr>
                <w:sz w:val="20"/>
                <w:szCs w:val="20"/>
                <w:color w:val="auto"/>
              </w:rPr>
            </w:pPr>
            <w:r>
              <w:rPr>
                <w:rFonts w:ascii="Arial" w:cs="Arial" w:eastAsia="Arial" w:hAnsi="Arial"/>
                <w:sz w:val="19"/>
                <w:szCs w:val="19"/>
                <w:color w:val="auto"/>
              </w:rPr>
              <w:t>101.INS</w:t>
            </w:r>
          </w:p>
        </w:tc>
        <w:tc>
          <w:tcPr>
            <w:tcW w:w="20" w:type="dxa"/>
            <w:vAlign w:val="bottom"/>
          </w:tcPr>
          <w:p>
            <w:pPr>
              <w:spacing w:after="0"/>
              <w:rPr>
                <w:sz w:val="24"/>
                <w:szCs w:val="24"/>
                <w:color w:val="auto"/>
              </w:rPr>
            </w:pPr>
          </w:p>
        </w:tc>
        <w:tc>
          <w:tcPr>
            <w:tcW w:w="6440" w:type="dxa"/>
            <w:vAlign w:val="bottom"/>
            <w:gridSpan w:val="23"/>
          </w:tcPr>
          <w:p>
            <w:pPr>
              <w:spacing w:after="0"/>
              <w:rPr>
                <w:sz w:val="20"/>
                <w:szCs w:val="20"/>
                <w:color w:val="auto"/>
              </w:rPr>
            </w:pPr>
            <w:r>
              <w:rPr>
                <w:rFonts w:ascii="Arial" w:cs="Arial" w:eastAsia="Arial" w:hAnsi="Arial"/>
                <w:sz w:val="19"/>
                <w:szCs w:val="19"/>
                <w:color w:val="auto"/>
              </w:rPr>
              <w:t>Inline XBRL Instance Document</w:t>
            </w:r>
          </w:p>
        </w:tc>
        <w:tc>
          <w:tcPr>
            <w:tcW w:w="36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101.SCH</w:t>
            </w:r>
          </w:p>
        </w:tc>
        <w:tc>
          <w:tcPr>
            <w:tcW w:w="20" w:type="dxa"/>
            <w:vAlign w:val="bottom"/>
          </w:tcPr>
          <w:p>
            <w:pPr>
              <w:spacing w:after="0"/>
              <w:rPr>
                <w:sz w:val="24"/>
                <w:szCs w:val="24"/>
                <w:color w:val="auto"/>
              </w:rPr>
            </w:pPr>
          </w:p>
        </w:tc>
        <w:tc>
          <w:tcPr>
            <w:tcW w:w="6440" w:type="dxa"/>
            <w:vAlign w:val="bottom"/>
            <w:gridSpan w:val="23"/>
          </w:tcPr>
          <w:p>
            <w:pPr>
              <w:spacing w:after="0"/>
              <w:rPr>
                <w:sz w:val="20"/>
                <w:szCs w:val="20"/>
                <w:color w:val="auto"/>
              </w:rPr>
            </w:pPr>
            <w:r>
              <w:rPr>
                <w:rFonts w:ascii="Arial" w:cs="Arial" w:eastAsia="Arial" w:hAnsi="Arial"/>
                <w:sz w:val="19"/>
                <w:szCs w:val="19"/>
                <w:color w:val="auto"/>
              </w:rPr>
              <w:t>Inline XBRL Taxonomy Extension Schema Document</w:t>
            </w:r>
          </w:p>
        </w:tc>
        <w:tc>
          <w:tcPr>
            <w:tcW w:w="36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101.CAL</w:t>
            </w:r>
          </w:p>
        </w:tc>
        <w:tc>
          <w:tcPr>
            <w:tcW w:w="20" w:type="dxa"/>
            <w:vAlign w:val="bottom"/>
          </w:tcPr>
          <w:p>
            <w:pPr>
              <w:spacing w:after="0"/>
              <w:rPr>
                <w:sz w:val="24"/>
                <w:szCs w:val="24"/>
                <w:color w:val="auto"/>
              </w:rPr>
            </w:pPr>
          </w:p>
        </w:tc>
        <w:tc>
          <w:tcPr>
            <w:tcW w:w="6440" w:type="dxa"/>
            <w:vAlign w:val="bottom"/>
            <w:gridSpan w:val="23"/>
          </w:tcPr>
          <w:p>
            <w:pPr>
              <w:spacing w:after="0"/>
              <w:rPr>
                <w:sz w:val="20"/>
                <w:szCs w:val="20"/>
                <w:color w:val="auto"/>
              </w:rPr>
            </w:pPr>
            <w:r>
              <w:rPr>
                <w:rFonts w:ascii="Arial" w:cs="Arial" w:eastAsia="Arial" w:hAnsi="Arial"/>
                <w:sz w:val="19"/>
                <w:szCs w:val="19"/>
                <w:color w:val="auto"/>
              </w:rPr>
              <w:t>Inline XBRL Taxonomy Extension Calculation Linkbase Document</w:t>
            </w:r>
          </w:p>
        </w:tc>
        <w:tc>
          <w:tcPr>
            <w:tcW w:w="36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101.DEF</w:t>
            </w:r>
          </w:p>
        </w:tc>
        <w:tc>
          <w:tcPr>
            <w:tcW w:w="20" w:type="dxa"/>
            <w:vAlign w:val="bottom"/>
          </w:tcPr>
          <w:p>
            <w:pPr>
              <w:spacing w:after="0"/>
              <w:rPr>
                <w:sz w:val="24"/>
                <w:szCs w:val="24"/>
                <w:color w:val="auto"/>
              </w:rPr>
            </w:pPr>
          </w:p>
        </w:tc>
        <w:tc>
          <w:tcPr>
            <w:tcW w:w="6440" w:type="dxa"/>
            <w:vAlign w:val="bottom"/>
            <w:gridSpan w:val="23"/>
          </w:tcPr>
          <w:p>
            <w:pPr>
              <w:spacing w:after="0"/>
              <w:rPr>
                <w:sz w:val="20"/>
                <w:szCs w:val="20"/>
                <w:color w:val="auto"/>
              </w:rPr>
            </w:pPr>
            <w:r>
              <w:rPr>
                <w:rFonts w:ascii="Arial" w:cs="Arial" w:eastAsia="Arial" w:hAnsi="Arial"/>
                <w:sz w:val="19"/>
                <w:szCs w:val="19"/>
                <w:color w:val="auto"/>
              </w:rPr>
              <w:t>Inline XBRL Taxonomy Extension Definition Linkbase Document</w:t>
            </w:r>
          </w:p>
        </w:tc>
        <w:tc>
          <w:tcPr>
            <w:tcW w:w="36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101.LAB</w:t>
            </w:r>
          </w:p>
        </w:tc>
        <w:tc>
          <w:tcPr>
            <w:tcW w:w="20" w:type="dxa"/>
            <w:vAlign w:val="bottom"/>
          </w:tcPr>
          <w:p>
            <w:pPr>
              <w:spacing w:after="0"/>
              <w:rPr>
                <w:sz w:val="24"/>
                <w:szCs w:val="24"/>
                <w:color w:val="auto"/>
              </w:rPr>
            </w:pPr>
          </w:p>
        </w:tc>
        <w:tc>
          <w:tcPr>
            <w:tcW w:w="6440" w:type="dxa"/>
            <w:vAlign w:val="bottom"/>
            <w:gridSpan w:val="23"/>
          </w:tcPr>
          <w:p>
            <w:pPr>
              <w:spacing w:after="0"/>
              <w:rPr>
                <w:sz w:val="20"/>
                <w:szCs w:val="20"/>
                <w:color w:val="auto"/>
              </w:rPr>
            </w:pPr>
            <w:r>
              <w:rPr>
                <w:rFonts w:ascii="Arial" w:cs="Arial" w:eastAsia="Arial" w:hAnsi="Arial"/>
                <w:sz w:val="19"/>
                <w:szCs w:val="19"/>
                <w:color w:val="auto"/>
              </w:rPr>
              <w:t>Inline XBRL Taxonomy Extension Label Linkbase Document</w:t>
            </w:r>
          </w:p>
        </w:tc>
        <w:tc>
          <w:tcPr>
            <w:tcW w:w="36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101.PRE</w:t>
            </w:r>
          </w:p>
        </w:tc>
        <w:tc>
          <w:tcPr>
            <w:tcW w:w="20" w:type="dxa"/>
            <w:vAlign w:val="bottom"/>
          </w:tcPr>
          <w:p>
            <w:pPr>
              <w:spacing w:after="0"/>
              <w:rPr>
                <w:sz w:val="24"/>
                <w:szCs w:val="24"/>
                <w:color w:val="auto"/>
              </w:rPr>
            </w:pPr>
          </w:p>
        </w:tc>
        <w:tc>
          <w:tcPr>
            <w:tcW w:w="6440" w:type="dxa"/>
            <w:vAlign w:val="bottom"/>
            <w:gridSpan w:val="23"/>
          </w:tcPr>
          <w:p>
            <w:pPr>
              <w:spacing w:after="0"/>
              <w:rPr>
                <w:sz w:val="20"/>
                <w:szCs w:val="20"/>
                <w:color w:val="auto"/>
              </w:rPr>
            </w:pPr>
            <w:r>
              <w:rPr>
                <w:rFonts w:ascii="Arial" w:cs="Arial" w:eastAsia="Arial" w:hAnsi="Arial"/>
                <w:sz w:val="19"/>
                <w:szCs w:val="19"/>
                <w:color w:val="auto"/>
              </w:rPr>
              <w:t>Inline XBRL Taxonomy Extension Presentation Linkbase Document</w:t>
            </w:r>
          </w:p>
        </w:tc>
        <w:tc>
          <w:tcPr>
            <w:tcW w:w="36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28"/>
        </w:trPr>
        <w:tc>
          <w:tcPr>
            <w:tcW w:w="1080" w:type="dxa"/>
            <w:vAlign w:val="bottom"/>
          </w:tcPr>
          <w:p>
            <w:pPr>
              <w:jc w:val="center"/>
              <w:spacing w:after="0"/>
              <w:rPr>
                <w:sz w:val="20"/>
                <w:szCs w:val="20"/>
                <w:color w:val="auto"/>
              </w:rPr>
            </w:pPr>
            <w:r>
              <w:rPr>
                <w:rFonts w:ascii="Arial" w:cs="Arial" w:eastAsia="Arial" w:hAnsi="Arial"/>
                <w:sz w:val="19"/>
                <w:szCs w:val="19"/>
                <w:color w:val="auto"/>
                <w:w w:val="88"/>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40" w:type="dxa"/>
            <w:vAlign w:val="bottom"/>
            <w:gridSpan w:val="23"/>
          </w:tcPr>
          <w:p>
            <w:pPr>
              <w:spacing w:after="0"/>
              <w:rPr>
                <w:sz w:val="20"/>
                <w:szCs w:val="20"/>
                <w:color w:val="auto"/>
              </w:rPr>
            </w:pPr>
            <w:r>
              <w:rPr>
                <w:rFonts w:ascii="Arial" w:cs="Arial" w:eastAsia="Arial" w:hAnsi="Arial"/>
                <w:sz w:val="19"/>
                <w:szCs w:val="19"/>
                <w:color w:val="auto"/>
              </w:rPr>
              <w:t>Cover Page Interactive Data File (formatted as inline XBRL and contained in</w:t>
            </w:r>
          </w:p>
        </w:tc>
        <w:tc>
          <w:tcPr>
            <w:tcW w:w="36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40"/>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40" w:type="dxa"/>
            <w:vAlign w:val="bottom"/>
            <w:gridSpan w:val="23"/>
          </w:tcPr>
          <w:p>
            <w:pPr>
              <w:spacing w:after="0"/>
              <w:rPr>
                <w:sz w:val="20"/>
                <w:szCs w:val="20"/>
                <w:color w:val="auto"/>
              </w:rPr>
            </w:pPr>
            <w:r>
              <w:rPr>
                <w:rFonts w:ascii="Arial" w:cs="Arial" w:eastAsia="Arial" w:hAnsi="Arial"/>
                <w:sz w:val="19"/>
                <w:szCs w:val="19"/>
                <w:color w:val="auto"/>
              </w:rPr>
              <w:t>Exhibit 101)</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left="20" w:right="20"/>
        <w:spacing w:after="0" w:line="220" w:lineRule="auto"/>
        <w:tabs>
          <w:tab w:leader="none" w:pos="303"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3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20"/>
        <w:spacing w:after="0"/>
        <w:tabs>
          <w:tab w:leader="none" w:pos="640" w:val="left"/>
          <w:tab w:leader="none" w:pos="4640" w:val="left"/>
        </w:tabs>
        <w:rPr>
          <w:sz w:val="20"/>
          <w:szCs w:val="20"/>
          <w:color w:val="auto"/>
        </w:rPr>
      </w:pPr>
      <w:r>
        <w:rPr>
          <w:rFonts w:ascii="Arial" w:cs="Arial" w:eastAsia="Arial" w:hAnsi="Arial"/>
          <w:sz w:val="19"/>
          <w:szCs w:val="19"/>
          <w:color w:val="auto"/>
        </w:rPr>
        <w:t>Date:</w:t>
        <w:tab/>
        <w:t>August 5, 2021</w:t>
      </w:r>
      <w:r>
        <w:rPr>
          <w:sz w:val="20"/>
          <w:szCs w:val="20"/>
          <w:color w:val="auto"/>
        </w:rPr>
        <w:tab/>
      </w:r>
      <w:r>
        <w:rPr>
          <w:rFonts w:ascii="Arial" w:cs="Arial" w:eastAsia="Arial" w:hAnsi="Arial"/>
          <w:sz w:val="18"/>
          <w:szCs w:val="18"/>
          <w:color w:val="auto"/>
        </w:rPr>
        <w:t>BLOOMIN’ BRANDS, INC.</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(Registrant)</w:t>
      </w:r>
    </w:p>
    <w:p>
      <w:pPr>
        <w:spacing w:after="0" w:line="108"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By: /s/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10795</wp:posOffset>
            </wp:positionV>
            <wp:extent cx="416687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4166870" cy="1651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9"/>
          <w:szCs w:val="19"/>
          <w:color w:val="auto"/>
        </w:rPr>
        <w:t>Christopher Meyer</w:t>
      </w:r>
    </w:p>
    <w:p>
      <w:pPr>
        <w:ind w:left="5120"/>
        <w:spacing w:after="0" w:line="198" w:lineRule="auto"/>
        <w:rPr>
          <w:sz w:val="20"/>
          <w:szCs w:val="20"/>
          <w:color w:val="auto"/>
        </w:rPr>
      </w:pPr>
      <w:r>
        <w:rPr>
          <w:rFonts w:ascii="Arial" w:cs="Arial" w:eastAsia="Arial" w:hAnsi="Arial"/>
          <w:sz w:val="19"/>
          <w:szCs w:val="19"/>
          <w:color w:val="auto"/>
        </w:rPr>
        <w:t>Executive Vice President and Chief Financial Officer</w:t>
      </w:r>
    </w:p>
    <w:p>
      <w:pPr>
        <w:ind w:left="5120"/>
        <w:spacing w:after="0"/>
        <w:rPr>
          <w:sz w:val="20"/>
          <w:szCs w:val="20"/>
          <w:color w:val="auto"/>
        </w:rPr>
      </w:pPr>
      <w:r>
        <w:rPr>
          <w:rFonts w:ascii="Arial" w:cs="Arial" w:eastAsia="Arial" w:hAnsi="Arial"/>
          <w:sz w:val="19"/>
          <w:szCs w:val="19"/>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240"/>
          </w:cols>
          <w:pgMar w:left="320" w:top="12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9"/>
          <w:szCs w:val="19"/>
          <w:b w:val="1"/>
          <w:bCs w:val="1"/>
          <w:color w:val="auto"/>
        </w:rPr>
        <w:t>Exhibit 10.2</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PURCHASE AND SALE OF ROYALTY PAYMENT STREAM AND TERMINATION OF ROYALTY AGREEMENT</w:t>
      </w:r>
    </w:p>
    <w:p>
      <w:pPr>
        <w:spacing w:after="0" w:line="23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7"/>
          <w:szCs w:val="17"/>
          <w:color w:val="070707"/>
        </w:rPr>
        <w:t>THIS PURCHASE AND SALE OF ROYALTY PAYMENT STREAM AND TERMINATION OF ROYALTY AGREEMENT (“</w:t>
      </w:r>
      <w:r>
        <w:rPr>
          <w:rFonts w:ascii="Arial" w:cs="Arial" w:eastAsia="Arial" w:hAnsi="Arial"/>
          <w:sz w:val="17"/>
          <w:szCs w:val="17"/>
          <w:u w:val="single" w:color="auto"/>
          <w:color w:val="070707"/>
        </w:rPr>
        <w:t>Agreement</w:t>
      </w:r>
      <w:r>
        <w:rPr>
          <w:rFonts w:ascii="Arial" w:cs="Arial" w:eastAsia="Arial" w:hAnsi="Arial"/>
          <w:sz w:val="17"/>
          <w:szCs w:val="17"/>
          <w:color w:val="070707"/>
        </w:rPr>
        <w:t>”) is effective as of August 2, 2021 (the “</w:t>
      </w:r>
      <w:r>
        <w:rPr>
          <w:rFonts w:ascii="Arial" w:cs="Arial" w:eastAsia="Arial" w:hAnsi="Arial"/>
          <w:sz w:val="17"/>
          <w:szCs w:val="17"/>
          <w:u w:val="single" w:color="auto"/>
          <w:color w:val="070707"/>
        </w:rPr>
        <w:t>Effective Date</w:t>
      </w:r>
      <w:r>
        <w:rPr>
          <w:rFonts w:ascii="Arial" w:cs="Arial" w:eastAsia="Arial" w:hAnsi="Arial"/>
          <w:sz w:val="17"/>
          <w:szCs w:val="17"/>
          <w:color w:val="070707"/>
        </w:rPr>
        <w:t>”), regardless of the actual date of signature, by and among CARRABBA’S ITALIAN GRILL, LLC (formerly Carrabba’s Italian Grill, Inc.), a Florida limited liability company having its principal office located at 2202 N. West Shore Blvd., Suite 500, Tampa, Florida 33607 (“</w:t>
      </w:r>
      <w:r>
        <w:rPr>
          <w:rFonts w:ascii="Arial" w:cs="Arial" w:eastAsia="Arial" w:hAnsi="Arial"/>
          <w:sz w:val="17"/>
          <w:szCs w:val="17"/>
          <w:u w:val="single" w:color="auto"/>
          <w:color w:val="070707"/>
        </w:rPr>
        <w:t>CIGI</w:t>
      </w:r>
      <w:r>
        <w:rPr>
          <w:rFonts w:ascii="Arial" w:cs="Arial" w:eastAsia="Arial" w:hAnsi="Arial"/>
          <w:sz w:val="17"/>
          <w:szCs w:val="17"/>
          <w:color w:val="070707"/>
        </w:rPr>
        <w:t>”), OSI RESTAURANT PARTNERS, LLC (formerly OSI Restaurant Partners, Inc., formerly Outback Steakhouse, Inc.), a Delaware limited liability company having its principal office located at 2202 N. West Shore Blvd., Suite 500, Tampa, Florida 33607 (“</w:t>
      </w:r>
      <w:r>
        <w:rPr>
          <w:rFonts w:ascii="Arial" w:cs="Arial" w:eastAsia="Arial" w:hAnsi="Arial"/>
          <w:sz w:val="17"/>
          <w:szCs w:val="17"/>
          <w:u w:val="single" w:color="auto"/>
          <w:color w:val="070707"/>
        </w:rPr>
        <w:t>OSI</w:t>
      </w:r>
      <w:r>
        <w:rPr>
          <w:rFonts w:ascii="Arial" w:cs="Arial" w:eastAsia="Arial" w:hAnsi="Arial"/>
          <w:sz w:val="17"/>
          <w:szCs w:val="17"/>
          <w:color w:val="070707"/>
        </w:rPr>
        <w:t>”), Mangia Beve, Inc., a Texas corporation having its principal office located at 3131 Argonne Street, Houston, Texas, 77098 (“</w:t>
      </w:r>
      <w:r>
        <w:rPr>
          <w:rFonts w:ascii="Arial" w:cs="Arial" w:eastAsia="Arial" w:hAnsi="Arial"/>
          <w:sz w:val="17"/>
          <w:szCs w:val="17"/>
          <w:u w:val="single" w:color="auto"/>
          <w:color w:val="070707"/>
        </w:rPr>
        <w:t>MBI</w:t>
      </w:r>
      <w:r>
        <w:rPr>
          <w:rFonts w:ascii="Arial" w:cs="Arial" w:eastAsia="Arial" w:hAnsi="Arial"/>
          <w:sz w:val="17"/>
          <w:szCs w:val="17"/>
          <w:color w:val="070707"/>
        </w:rPr>
        <w:t>”), Mangia Beve II, Inc., a Texas corporation having its principal office located at 3131 Argonne Street, Houston, Texas 77098 (“</w:t>
      </w:r>
      <w:r>
        <w:rPr>
          <w:rFonts w:ascii="Arial" w:cs="Arial" w:eastAsia="Arial" w:hAnsi="Arial"/>
          <w:sz w:val="17"/>
          <w:szCs w:val="17"/>
          <w:u w:val="single" w:color="auto"/>
          <w:color w:val="070707"/>
        </w:rPr>
        <w:t>MBI2</w:t>
      </w:r>
      <w:r>
        <w:rPr>
          <w:rFonts w:ascii="Arial" w:cs="Arial" w:eastAsia="Arial" w:hAnsi="Arial"/>
          <w:sz w:val="17"/>
          <w:szCs w:val="17"/>
          <w:color w:val="070707"/>
        </w:rPr>
        <w:t>”), Original, Inc. (formerly Carrabba, Inc.), a Texas corporation having its principal office located at 3131 Argonne Street, Houston, Texas 77098 (“</w:t>
      </w:r>
      <w:r>
        <w:rPr>
          <w:rFonts w:ascii="Arial" w:cs="Arial" w:eastAsia="Arial" w:hAnsi="Arial"/>
          <w:sz w:val="17"/>
          <w:szCs w:val="17"/>
          <w:u w:val="single" w:color="auto"/>
          <w:color w:val="070707"/>
        </w:rPr>
        <w:t>CI</w:t>
      </w:r>
      <w:r>
        <w:rPr>
          <w:rFonts w:ascii="Arial" w:cs="Arial" w:eastAsia="Arial" w:hAnsi="Arial"/>
          <w:sz w:val="17"/>
          <w:szCs w:val="17"/>
          <w:color w:val="070707"/>
        </w:rPr>
        <w:t>”), Voss, Inc. (formerly Carrabba Woodway, Inc.), a Texas corporation having its principal office located at 3131 Argonne Street, Houston, Texas 77098 (“</w:t>
      </w:r>
      <w:r>
        <w:rPr>
          <w:rFonts w:ascii="Arial" w:cs="Arial" w:eastAsia="Arial" w:hAnsi="Arial"/>
          <w:sz w:val="17"/>
          <w:szCs w:val="17"/>
          <w:u w:val="single" w:color="auto"/>
          <w:color w:val="070707"/>
        </w:rPr>
        <w:t>CWI</w:t>
      </w:r>
      <w:r>
        <w:rPr>
          <w:rFonts w:ascii="Arial" w:cs="Arial" w:eastAsia="Arial" w:hAnsi="Arial"/>
          <w:sz w:val="17"/>
          <w:szCs w:val="17"/>
          <w:color w:val="070707"/>
        </w:rPr>
        <w:t>”), John C. Carrabba, III, an individual residing in the state of Texas (“</w:t>
      </w:r>
      <w:r>
        <w:rPr>
          <w:rFonts w:ascii="Arial" w:cs="Arial" w:eastAsia="Arial" w:hAnsi="Arial"/>
          <w:sz w:val="17"/>
          <w:szCs w:val="17"/>
          <w:u w:val="single" w:color="auto"/>
          <w:color w:val="070707"/>
        </w:rPr>
        <w:t>Johnny Carrabba</w:t>
      </w:r>
      <w:r>
        <w:rPr>
          <w:rFonts w:ascii="Arial" w:cs="Arial" w:eastAsia="Arial" w:hAnsi="Arial"/>
          <w:sz w:val="17"/>
          <w:szCs w:val="17"/>
          <w:color w:val="070707"/>
        </w:rPr>
        <w:t>”), Damian C. Mandola, an individual residing in the state of Texas (“</w:t>
      </w:r>
      <w:r>
        <w:rPr>
          <w:rFonts w:ascii="Arial" w:cs="Arial" w:eastAsia="Arial" w:hAnsi="Arial"/>
          <w:sz w:val="17"/>
          <w:szCs w:val="17"/>
          <w:u w:val="single" w:color="auto"/>
          <w:color w:val="070707"/>
        </w:rPr>
        <w:t>Damian Mandola</w:t>
      </w:r>
      <w:r>
        <w:rPr>
          <w:rFonts w:ascii="Arial" w:cs="Arial" w:eastAsia="Arial" w:hAnsi="Arial"/>
          <w:sz w:val="17"/>
          <w:szCs w:val="17"/>
          <w:color w:val="070707"/>
        </w:rPr>
        <w:t>”) and John C. Carrabba, Jr., an individual residing in the state of Texas (“</w:t>
      </w:r>
      <w:r>
        <w:rPr>
          <w:rFonts w:ascii="Arial" w:cs="Arial" w:eastAsia="Arial" w:hAnsi="Arial"/>
          <w:sz w:val="17"/>
          <w:szCs w:val="17"/>
          <w:u w:val="single" w:color="auto"/>
          <w:color w:val="070707"/>
        </w:rPr>
        <w:t>John Carrabba,</w:t>
      </w:r>
      <w:r>
        <w:rPr>
          <w:rFonts w:ascii="Arial" w:cs="Arial" w:eastAsia="Arial" w:hAnsi="Arial"/>
          <w:sz w:val="17"/>
          <w:szCs w:val="17"/>
          <w:color w:val="070707"/>
        </w:rPr>
        <w:t xml:space="preserve"> </w:t>
      </w:r>
      <w:r>
        <w:rPr>
          <w:rFonts w:ascii="Arial" w:cs="Arial" w:eastAsia="Arial" w:hAnsi="Arial"/>
          <w:sz w:val="17"/>
          <w:szCs w:val="17"/>
          <w:u w:val="single" w:color="auto"/>
          <w:color w:val="070707"/>
        </w:rPr>
        <w:t>Jr.</w:t>
      </w:r>
      <w:r>
        <w:rPr>
          <w:rFonts w:ascii="Arial" w:cs="Arial" w:eastAsia="Arial" w:hAnsi="Arial"/>
          <w:sz w:val="17"/>
          <w:szCs w:val="17"/>
          <w:color w:val="070707"/>
        </w:rPr>
        <w:t>”). CIGI, OSI and Founders (as defined below) are referred to collectively as the “</w:t>
      </w:r>
      <w:r>
        <w:rPr>
          <w:rFonts w:ascii="Arial" w:cs="Arial" w:eastAsia="Arial" w:hAnsi="Arial"/>
          <w:sz w:val="17"/>
          <w:szCs w:val="17"/>
          <w:u w:val="single" w:color="auto"/>
          <w:color w:val="070707"/>
        </w:rPr>
        <w:t>parties</w:t>
      </w:r>
      <w:r>
        <w:rPr>
          <w:rFonts w:ascii="Arial" w:cs="Arial" w:eastAsia="Arial" w:hAnsi="Arial"/>
          <w:sz w:val="17"/>
          <w:szCs w:val="17"/>
          <w:color w:val="070707"/>
        </w:rPr>
        <w:t>” or sometimes separately as a “</w:t>
      </w:r>
      <w:r>
        <w:rPr>
          <w:rFonts w:ascii="Arial" w:cs="Arial" w:eastAsia="Arial" w:hAnsi="Arial"/>
          <w:sz w:val="17"/>
          <w:szCs w:val="17"/>
          <w:u w:val="single" w:color="auto"/>
          <w:color w:val="070707"/>
        </w:rPr>
        <w:t>party</w:t>
      </w:r>
      <w:r>
        <w:rPr>
          <w:rFonts w:ascii="Arial" w:cs="Arial" w:eastAsia="Arial" w:hAnsi="Arial"/>
          <w:sz w:val="17"/>
          <w:szCs w:val="17"/>
          <w:color w:val="070707"/>
        </w:rPr>
        <w:t>.” Capitalized terms used but not otherwise defined in this Agreement shall have the respective meanings given to such terms in the Royalty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70707"/>
        </w:rPr>
        <w:t>RECITALS</w:t>
      </w:r>
    </w:p>
    <w:p>
      <w:pPr>
        <w:spacing w:after="0" w:line="213"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9"/>
          <w:szCs w:val="19"/>
          <w:color w:val="070707"/>
        </w:rPr>
        <w:t>WHEREAS, CIGI, OSI and Founders are parties to that certain Royalty Agreement dated as of April, 1995, as amended by that certain First Amendment to Royalty Agreement dated January, 1997, that certain Second Amendment to Royalty Agreement dated April 7, 2010, that certain Third Amendment to Royalty Agreement dated June 1, 2014, and that certain Fourth Amendment to Royalty Agreement dated May 1, 2017 (collectively, the “</w:t>
      </w:r>
      <w:r>
        <w:rPr>
          <w:rFonts w:ascii="Arial" w:cs="Arial" w:eastAsia="Arial" w:hAnsi="Arial"/>
          <w:sz w:val="19"/>
          <w:szCs w:val="19"/>
          <w:u w:val="single" w:color="auto"/>
          <w:color w:val="070707"/>
        </w:rPr>
        <w:t>Royalty Agreement</w:t>
      </w:r>
      <w:r>
        <w:rPr>
          <w:rFonts w:ascii="Arial" w:cs="Arial" w:eastAsia="Arial" w:hAnsi="Arial"/>
          <w:sz w:val="19"/>
          <w:szCs w:val="19"/>
          <w:color w:val="070707"/>
        </w:rPr>
        <w:t>”);</w:t>
      </w:r>
    </w:p>
    <w:p>
      <w:pPr>
        <w:spacing w:after="0" w:line="18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8"/>
          <w:szCs w:val="18"/>
          <w:color w:val="070707"/>
        </w:rPr>
        <w:t xml:space="preserve">WHEREAS, the Royalty Agreement assigned and transferred to CIGI full and absolute ownership, right, title and interests in and to the System and Proprietary Marks (as those terms are defined below) relating to the Carrabba’s Italian Grill® restaurant concept, including </w:t>
      </w:r>
      <w:r>
        <w:rPr>
          <w:rFonts w:ascii="Arial" w:cs="Arial" w:eastAsia="Arial" w:hAnsi="Arial"/>
          <w:sz w:val="18"/>
          <w:szCs w:val="18"/>
          <w:color w:val="000000"/>
        </w:rPr>
        <w:t>all elements,</w:t>
      </w:r>
      <w:r>
        <w:rPr>
          <w:rFonts w:ascii="Arial" w:cs="Arial" w:eastAsia="Arial" w:hAnsi="Arial"/>
          <w:sz w:val="18"/>
          <w:szCs w:val="18"/>
          <w:color w:val="070707"/>
        </w:rPr>
        <w:t xml:space="preserve"> </w:t>
      </w:r>
      <w:r>
        <w:rPr>
          <w:rFonts w:ascii="Arial" w:cs="Arial" w:eastAsia="Arial" w:hAnsi="Arial"/>
          <w:sz w:val="18"/>
          <w:szCs w:val="18"/>
          <w:color w:val="000000"/>
        </w:rPr>
        <w:t xml:space="preserve">characteristics and property thereof and all goodwill associated therewith </w:t>
      </w:r>
      <w:r>
        <w:rPr>
          <w:rFonts w:ascii="Arial" w:cs="Arial" w:eastAsia="Arial" w:hAnsi="Arial"/>
          <w:sz w:val="18"/>
          <w:szCs w:val="18"/>
          <w:color w:val="070707"/>
        </w:rPr>
        <w:t>(collectively, the “</w:t>
      </w:r>
      <w:r>
        <w:rPr>
          <w:rFonts w:ascii="Arial" w:cs="Arial" w:eastAsia="Arial" w:hAnsi="Arial"/>
          <w:sz w:val="18"/>
          <w:szCs w:val="18"/>
          <w:u w:val="single" w:color="auto"/>
          <w:color w:val="070707"/>
        </w:rPr>
        <w:t>Carrabba’s IP</w:t>
      </w:r>
      <w:r>
        <w:rPr>
          <w:rFonts w:ascii="Arial" w:cs="Arial" w:eastAsia="Arial" w:hAnsi="Arial"/>
          <w:sz w:val="18"/>
          <w:szCs w:val="18"/>
          <w:color w:val="070707"/>
        </w:rPr>
        <w:t>”);</w:t>
      </w:r>
    </w:p>
    <w:p>
      <w:pPr>
        <w:spacing w:after="0" w:line="157"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9"/>
          <w:szCs w:val="19"/>
          <w:color w:val="070707"/>
        </w:rPr>
        <w:t>WHEREAS, the Founders own and operate the original Carrabba’s restaurant located at 3115 Kirby Drive, Houston, Texas 77098 (including any alternative [but not additional] address approved by CIGI in accordance with this Agreement, the “</w:t>
      </w:r>
      <w:r>
        <w:rPr>
          <w:rFonts w:ascii="Arial" w:cs="Arial" w:eastAsia="Arial" w:hAnsi="Arial"/>
          <w:sz w:val="19"/>
          <w:szCs w:val="19"/>
          <w:u w:val="single" w:color="auto"/>
          <w:color w:val="070707"/>
        </w:rPr>
        <w:t>Kirby Restaurant</w:t>
      </w:r>
      <w:r>
        <w:rPr>
          <w:rFonts w:ascii="Arial" w:cs="Arial" w:eastAsia="Arial" w:hAnsi="Arial"/>
          <w:sz w:val="19"/>
          <w:szCs w:val="19"/>
          <w:color w:val="070707"/>
        </w:rPr>
        <w:t>”) and a second Carrabba’s restaurant located at 1399 South Voss Rd., Houston, Texas 77057 (including any alternative [but not additional] address approved by CIGI in accordance with this Agreement, the “</w:t>
      </w:r>
      <w:r>
        <w:rPr>
          <w:rFonts w:ascii="Arial" w:cs="Arial" w:eastAsia="Arial" w:hAnsi="Arial"/>
          <w:sz w:val="19"/>
          <w:szCs w:val="19"/>
          <w:u w:val="single" w:color="auto"/>
          <w:color w:val="070707"/>
        </w:rPr>
        <w:t>Voss Restaurant</w:t>
      </w:r>
      <w:r>
        <w:rPr>
          <w:rFonts w:ascii="Arial" w:cs="Arial" w:eastAsia="Arial" w:hAnsi="Arial"/>
          <w:sz w:val="19"/>
          <w:szCs w:val="19"/>
          <w:color w:val="070707"/>
        </w:rPr>
        <w:t>” and, together with the Kirby Restaurant, referred to herein as the “</w:t>
      </w:r>
      <w:r>
        <w:rPr>
          <w:rFonts w:ascii="Arial" w:cs="Arial" w:eastAsia="Arial" w:hAnsi="Arial"/>
          <w:sz w:val="19"/>
          <w:szCs w:val="19"/>
          <w:u w:val="single" w:color="auto"/>
          <w:color w:val="070707"/>
        </w:rPr>
        <w:t>Original</w:t>
      </w:r>
      <w:r>
        <w:rPr>
          <w:rFonts w:ascii="Arial" w:cs="Arial" w:eastAsia="Arial" w:hAnsi="Arial"/>
          <w:sz w:val="19"/>
          <w:szCs w:val="19"/>
          <w:color w:val="070707"/>
        </w:rPr>
        <w:t xml:space="preserve"> </w:t>
      </w:r>
      <w:r>
        <w:rPr>
          <w:rFonts w:ascii="Arial" w:cs="Arial" w:eastAsia="Arial" w:hAnsi="Arial"/>
          <w:sz w:val="19"/>
          <w:szCs w:val="19"/>
          <w:u w:val="single" w:color="auto"/>
          <w:color w:val="070707"/>
        </w:rPr>
        <w:t>Restaurants</w:t>
      </w:r>
      <w:r>
        <w:rPr>
          <w:rFonts w:ascii="Arial" w:cs="Arial" w:eastAsia="Arial" w:hAnsi="Arial"/>
          <w:sz w:val="19"/>
          <w:szCs w:val="19"/>
          <w:color w:val="070707"/>
        </w:rPr>
        <w:t>”), which have been in operation since 1986 and 1988, respectively;</w:t>
      </w:r>
    </w:p>
    <w:p>
      <w:pPr>
        <w:spacing w:after="0" w:line="182"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9"/>
          <w:szCs w:val="19"/>
          <w:color w:val="070707"/>
        </w:rPr>
        <w:t xml:space="preserve">WHEREAS, </w:t>
      </w:r>
      <w:r>
        <w:rPr>
          <w:rFonts w:ascii="Arial" w:cs="Arial" w:eastAsia="Arial" w:hAnsi="Arial"/>
          <w:sz w:val="19"/>
          <w:szCs w:val="19"/>
          <w:color w:val="000000"/>
        </w:rPr>
        <w:t>as of the Effective Date, there are no existing or effective partnership, joint venture, license or franchise agreements, oral or</w:t>
      </w:r>
      <w:r>
        <w:rPr>
          <w:rFonts w:ascii="Arial" w:cs="Arial" w:eastAsia="Arial" w:hAnsi="Arial"/>
          <w:sz w:val="19"/>
          <w:szCs w:val="19"/>
          <w:color w:val="070707"/>
        </w:rPr>
        <w:t xml:space="preserve"> </w:t>
      </w:r>
      <w:r>
        <w:rPr>
          <w:rFonts w:ascii="Arial" w:cs="Arial" w:eastAsia="Arial" w:hAnsi="Arial"/>
          <w:sz w:val="19"/>
          <w:szCs w:val="19"/>
          <w:color w:val="000000"/>
        </w:rPr>
        <w:t>written, between CIGI or OSI, on the one hand, and Founders, or any of them, on the other hand, or between the parties’ respective Affiliates, related to any Restaurants, all such agreements and arrangements contemplated by or referred to in the Royalty Agreement, or otherwise, having been heretofore terminated, except for certain rights granted to CI and CWI, respectively, for the operation of the Original Restaurants, as further described herein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852" w:right="339" w:bottom="1440" w:gutter="0" w:footer="0" w:header="0"/>
        </w:sectPr>
      </w:pPr>
    </w:p>
    <w:bookmarkStart w:id="61" w:name="page62"/>
    <w:bookmarkEnd w:id="61"/>
    <w:p>
      <w:pPr>
        <w:jc w:val="both"/>
        <w:ind w:firstLine="619"/>
        <w:spacing w:after="0" w:line="248" w:lineRule="auto"/>
        <w:rPr>
          <w:sz w:val="20"/>
          <w:szCs w:val="20"/>
          <w:color w:val="auto"/>
        </w:rPr>
      </w:pPr>
      <w:r>
        <w:rPr>
          <w:rFonts w:ascii="Arial" w:cs="Arial" w:eastAsia="Arial" w:hAnsi="Arial"/>
          <w:sz w:val="19"/>
          <w:szCs w:val="19"/>
          <w:color w:val="070707"/>
        </w:rPr>
        <w:t>AND, WHEREAS, after negotiations, the Founders desire to sell all of their right, title and interest in and to the future stream of royalty payments provided for in the Royalty Agreement (the “Royalty Payment Stream”) and CIGI desires to purchase the Royalty Payment Stream, with the result being the termination of the Royalty Agreement on the terms and conditions described in this Agreement. The parties have sought and received advice of counsel and enter into this Agreement freely.</w:t>
      </w:r>
    </w:p>
    <w:p>
      <w:pPr>
        <w:spacing w:after="0" w:line="18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9"/>
          <w:szCs w:val="19"/>
          <w:color w:val="auto"/>
        </w:rPr>
        <w:t>NOW, THEREFORE, in consideration of these premises and other valuable consideration, the receipt and adequacy of which are hereby acknowledged, the parties hereto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OPERATIVE TERMS</w:t>
      </w:r>
    </w:p>
    <w:p>
      <w:pPr>
        <w:spacing w:after="0" w:line="200" w:lineRule="exact"/>
        <w:rPr>
          <w:sz w:val="20"/>
          <w:szCs w:val="20"/>
          <w:color w:val="auto"/>
        </w:rPr>
      </w:pPr>
    </w:p>
    <w:p>
      <w:pPr>
        <w:spacing w:after="0" w:line="239" w:lineRule="exact"/>
        <w:rPr>
          <w:sz w:val="20"/>
          <w:szCs w:val="20"/>
          <w:color w:val="auto"/>
        </w:rPr>
      </w:pPr>
    </w:p>
    <w:p>
      <w:pPr>
        <w:ind w:left="1240" w:hanging="618"/>
        <w:spacing w:after="0"/>
        <w:tabs>
          <w:tab w:leader="none" w:pos="1240"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For purposes of this Agreement, the following definitions shall apply:</w:t>
      </w:r>
    </w:p>
    <w:p>
      <w:pPr>
        <w:spacing w:after="0" w:line="212" w:lineRule="exact"/>
        <w:rPr>
          <w:rFonts w:ascii="Arial" w:cs="Arial" w:eastAsia="Arial" w:hAnsi="Arial"/>
          <w:sz w:val="19"/>
          <w:szCs w:val="19"/>
          <w:color w:val="auto"/>
        </w:rPr>
      </w:pPr>
    </w:p>
    <w:p>
      <w:pPr>
        <w:ind w:left="1860" w:hanging="619"/>
        <w:spacing w:after="0" w:line="264" w:lineRule="auto"/>
        <w:tabs>
          <w:tab w:leader="none" w:pos="1852" w:val="left"/>
        </w:tabs>
        <w:numPr>
          <w:ilvl w:val="1"/>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shall mean a </w:t>
      </w:r>
      <w:r>
        <w:rPr>
          <w:rFonts w:ascii="Arial" w:cs="Arial" w:eastAsia="Arial" w:hAnsi="Arial"/>
          <w:sz w:val="19"/>
          <w:szCs w:val="19"/>
          <w:color w:val="202124"/>
        </w:rPr>
        <w:t>person that directly, or indirectly through one or more intermediaries, controls, is controlled by, or</w:t>
      </w:r>
      <w:r>
        <w:rPr>
          <w:rFonts w:ascii="Arial" w:cs="Arial" w:eastAsia="Arial" w:hAnsi="Arial"/>
          <w:sz w:val="19"/>
          <w:szCs w:val="19"/>
          <w:color w:val="auto"/>
        </w:rPr>
        <w:t xml:space="preserve"> </w:t>
      </w:r>
      <w:r>
        <w:rPr>
          <w:rFonts w:ascii="Arial" w:cs="Arial" w:eastAsia="Arial" w:hAnsi="Arial"/>
          <w:sz w:val="19"/>
          <w:szCs w:val="19"/>
          <w:color w:val="202124"/>
        </w:rPr>
        <w:t>is under common control with, another.</w:t>
      </w:r>
    </w:p>
    <w:p>
      <w:pPr>
        <w:spacing w:after="0" w:line="163" w:lineRule="exact"/>
        <w:rPr>
          <w:rFonts w:ascii="Arial" w:cs="Arial" w:eastAsia="Arial" w:hAnsi="Arial"/>
          <w:sz w:val="19"/>
          <w:szCs w:val="19"/>
          <w:color w:val="auto"/>
        </w:rPr>
      </w:pPr>
    </w:p>
    <w:p>
      <w:pPr>
        <w:ind w:left="1860" w:hanging="619"/>
        <w:spacing w:after="0" w:line="264" w:lineRule="auto"/>
        <w:tabs>
          <w:tab w:leader="none" w:pos="1850" w:val="left"/>
        </w:tabs>
        <w:numPr>
          <w:ilvl w:val="1"/>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BBI Entities</w:t>
      </w:r>
      <w:r>
        <w:rPr>
          <w:rFonts w:ascii="Arial" w:cs="Arial" w:eastAsia="Arial" w:hAnsi="Arial"/>
          <w:sz w:val="19"/>
          <w:szCs w:val="19"/>
          <w:color w:val="auto"/>
        </w:rPr>
        <w:t>” shall mean each of CIGI and OSI, individually and collectively, and their Affiliates, successors and permitted assigns.</w:t>
      </w:r>
    </w:p>
    <w:p>
      <w:pPr>
        <w:spacing w:after="0" w:line="163" w:lineRule="exact"/>
        <w:rPr>
          <w:rFonts w:ascii="Arial" w:cs="Arial" w:eastAsia="Arial" w:hAnsi="Arial"/>
          <w:sz w:val="19"/>
          <w:szCs w:val="19"/>
          <w:color w:val="auto"/>
        </w:rPr>
      </w:pPr>
    </w:p>
    <w:p>
      <w:pPr>
        <w:jc w:val="both"/>
        <w:ind w:left="1860" w:hanging="619"/>
        <w:spacing w:after="0" w:line="296" w:lineRule="auto"/>
        <w:tabs>
          <w:tab w:leader="none" w:pos="1852" w:val="left"/>
        </w:tabs>
        <w:numPr>
          <w:ilvl w:val="1"/>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Brand Gift Cards</w:t>
      </w:r>
      <w:r>
        <w:rPr>
          <w:rFonts w:ascii="Arial" w:cs="Arial" w:eastAsia="Arial" w:hAnsi="Arial"/>
          <w:sz w:val="17"/>
          <w:szCs w:val="17"/>
          <w:color w:val="auto"/>
        </w:rPr>
        <w:t>” shall mean any gift certificates, gift cards, stored value cards, bonus cards or similar cards issued by or on behalf of CIGI or its Affiliate, whether prior to or after the Effective Date of this Agreement, and redeemable at Carrabba’s Italian Grill® restaurants, whether owned and operated by CIGI, its Affiliates, or its other licensees/franchisees.</w:t>
      </w:r>
    </w:p>
    <w:p>
      <w:pPr>
        <w:spacing w:after="0" w:line="140" w:lineRule="exact"/>
        <w:rPr>
          <w:rFonts w:ascii="Arial" w:cs="Arial" w:eastAsia="Arial" w:hAnsi="Arial"/>
          <w:sz w:val="17"/>
          <w:szCs w:val="17"/>
          <w:color w:val="auto"/>
        </w:rPr>
      </w:pPr>
    </w:p>
    <w:p>
      <w:pPr>
        <w:jc w:val="both"/>
        <w:ind w:left="1860" w:hanging="619"/>
        <w:spacing w:after="0" w:line="252" w:lineRule="auto"/>
        <w:tabs>
          <w:tab w:leader="none" w:pos="1850" w:val="left"/>
        </w:tabs>
        <w:numPr>
          <w:ilvl w:val="1"/>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Founder Gift Cards</w:t>
      </w:r>
      <w:r>
        <w:rPr>
          <w:rFonts w:ascii="Arial" w:cs="Arial" w:eastAsia="Arial" w:hAnsi="Arial"/>
          <w:sz w:val="19"/>
          <w:szCs w:val="19"/>
          <w:color w:val="auto"/>
        </w:rPr>
        <w:t>” shall mean any gift certificates, gift cards, stored value cards, bonus cards or similar cards issued by or on behalf of CI or CWI, whether prior to or after the Effective Date of this Agreement, and redeemable at the Original Restaurants.</w:t>
      </w:r>
    </w:p>
    <w:p>
      <w:pPr>
        <w:spacing w:after="0" w:line="175" w:lineRule="exact"/>
        <w:rPr>
          <w:rFonts w:ascii="Arial" w:cs="Arial" w:eastAsia="Arial" w:hAnsi="Arial"/>
          <w:sz w:val="19"/>
          <w:szCs w:val="19"/>
          <w:color w:val="auto"/>
        </w:rPr>
      </w:pPr>
    </w:p>
    <w:p>
      <w:pPr>
        <w:jc w:val="both"/>
        <w:ind w:left="1860" w:hanging="619"/>
        <w:spacing w:after="0" w:line="252" w:lineRule="auto"/>
        <w:tabs>
          <w:tab w:leader="none" w:pos="1852" w:val="left"/>
        </w:tabs>
        <w:numPr>
          <w:ilvl w:val="1"/>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Founders</w:t>
      </w:r>
      <w:r>
        <w:rPr>
          <w:rFonts w:ascii="Arial" w:cs="Arial" w:eastAsia="Arial" w:hAnsi="Arial"/>
          <w:sz w:val="19"/>
          <w:szCs w:val="19"/>
          <w:color w:val="auto"/>
        </w:rPr>
        <w:t>” shall mean each of MBI, MBI2, CI, CWI, Johnny Carrabba, Damian Mandola and John Carrabba, Jr., individually and collectively, jointly and severally, and their Affiliates, heirs, administrators, representatives, successors and permitted assigns.</w:t>
      </w:r>
    </w:p>
    <w:p>
      <w:pPr>
        <w:spacing w:after="0" w:line="175" w:lineRule="exact"/>
        <w:rPr>
          <w:rFonts w:ascii="Arial" w:cs="Arial" w:eastAsia="Arial" w:hAnsi="Arial"/>
          <w:sz w:val="19"/>
          <w:szCs w:val="19"/>
          <w:color w:val="auto"/>
        </w:rPr>
      </w:pPr>
    </w:p>
    <w:p>
      <w:pPr>
        <w:jc w:val="both"/>
        <w:ind w:left="1860" w:hanging="619"/>
        <w:spacing w:after="0" w:line="248" w:lineRule="auto"/>
        <w:tabs>
          <w:tab w:leader="none" w:pos="1857" w:val="left"/>
        </w:tabs>
        <w:numPr>
          <w:ilvl w:val="1"/>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Licensed Marks</w:t>
      </w:r>
      <w:r>
        <w:rPr>
          <w:rFonts w:ascii="Arial" w:cs="Arial" w:eastAsia="Arial" w:hAnsi="Arial"/>
          <w:sz w:val="19"/>
          <w:szCs w:val="19"/>
          <w:color w:val="auto"/>
        </w:rPr>
        <w:t xml:space="preserve">” shall mean the Proprietary Marks, </w:t>
      </w:r>
      <w:r>
        <w:rPr>
          <w:rFonts w:ascii="Arial" w:cs="Arial" w:eastAsia="Arial" w:hAnsi="Arial"/>
          <w:sz w:val="19"/>
          <w:szCs w:val="19"/>
          <w:u w:val="single" w:color="auto"/>
          <w:color w:val="auto"/>
        </w:rPr>
        <w:t>excluding</w:t>
      </w:r>
      <w:r>
        <w:rPr>
          <w:rFonts w:ascii="Arial" w:cs="Arial" w:eastAsia="Arial" w:hAnsi="Arial"/>
          <w:sz w:val="19"/>
          <w:szCs w:val="19"/>
          <w:color w:val="auto"/>
        </w:rPr>
        <w:t xml:space="preserve"> the “Abbraccio” trade name and service mark and other trademarks, trade names, service marks, logos, emblems and other indicia of origin that CIGI (or its Affiliates) now or hereafter designates for use in connection with the System for Restaurants located outside of the U.S. (collectively, the “</w:t>
      </w:r>
      <w:r>
        <w:rPr>
          <w:rFonts w:ascii="Arial" w:cs="Arial" w:eastAsia="Arial" w:hAnsi="Arial"/>
          <w:sz w:val="19"/>
          <w:szCs w:val="19"/>
          <w:u w:val="single" w:color="auto"/>
          <w:color w:val="auto"/>
        </w:rPr>
        <w:t>Excluded Marks</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left="1860" w:hanging="619"/>
        <w:spacing w:after="0" w:line="245" w:lineRule="auto"/>
        <w:tabs>
          <w:tab w:leader="none" w:pos="1850" w:val="left"/>
        </w:tabs>
        <w:numPr>
          <w:ilvl w:val="1"/>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Sales</w:t>
      </w:r>
      <w:r>
        <w:rPr>
          <w:rFonts w:ascii="Arial" w:cs="Arial" w:eastAsia="Arial" w:hAnsi="Arial"/>
          <w:sz w:val="19"/>
          <w:szCs w:val="19"/>
          <w:color w:val="auto"/>
        </w:rPr>
        <w:t>” shall means all revenue from sales conducted upon or from the restaurant, whether from check, cash, credit, charge account, debit account, exchange, trade credit, other credit transactions, barter or otherwise, including, without limitation, any implied or imputed Net Sales from any business interruption insurance, but excluding (i) sales for which cash has been refunded, if those sales were previously included in Net Sales; (ii) federal, state, or municipal sales, use or service taxes collected from customers and paid to the appropriate taxing authority; and (iii) the face value of coupons or discounts that customers redeem.</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58" w:right="339" w:bottom="1440" w:gutter="0" w:footer="0" w:header="0"/>
        </w:sectPr>
      </w:pPr>
    </w:p>
    <w:bookmarkStart w:id="62" w:name="page63"/>
    <w:bookmarkEnd w:id="62"/>
    <w:p>
      <w:pPr>
        <w:jc w:val="both"/>
        <w:ind w:left="1860" w:hanging="619"/>
        <w:spacing w:after="0" w:line="248" w:lineRule="auto"/>
        <w:tabs>
          <w:tab w:leader="none" w:pos="1850" w:val="left"/>
        </w:tabs>
        <w:numPr>
          <w:ilvl w:val="1"/>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Proprietary Marks</w:t>
      </w:r>
      <w:r>
        <w:rPr>
          <w:rFonts w:ascii="Arial" w:cs="Arial" w:eastAsia="Arial" w:hAnsi="Arial"/>
          <w:sz w:val="19"/>
          <w:szCs w:val="19"/>
          <w:color w:val="auto"/>
        </w:rPr>
        <w:t>” shall mean, collectively and individually, the trade name and service mark “Carrabba’s Italian Grill” and all other trademarks, trade names, service marks, logos, emblems and other indicia of origin used to identify the System, together with all goodwill associated with any of the foregoing, all as are now or hereafter designated by CIGI for use in connection with the System.</w:t>
      </w:r>
    </w:p>
    <w:p>
      <w:pPr>
        <w:spacing w:after="0" w:line="179" w:lineRule="exact"/>
        <w:rPr>
          <w:rFonts w:ascii="Arial" w:cs="Arial" w:eastAsia="Arial" w:hAnsi="Arial"/>
          <w:sz w:val="19"/>
          <w:szCs w:val="19"/>
          <w:color w:val="auto"/>
        </w:rPr>
      </w:pPr>
    </w:p>
    <w:p>
      <w:pPr>
        <w:jc w:val="both"/>
        <w:ind w:left="1860" w:hanging="619"/>
        <w:spacing w:after="0" w:line="260" w:lineRule="auto"/>
        <w:tabs>
          <w:tab w:leader="none" w:pos="1859"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System</w:t>
      </w:r>
      <w:r>
        <w:rPr>
          <w:rFonts w:ascii="Arial" w:cs="Arial" w:eastAsia="Arial" w:hAnsi="Arial"/>
          <w:sz w:val="18"/>
          <w:szCs w:val="18"/>
          <w:color w:val="auto"/>
        </w:rPr>
        <w:t>” shall mean the Carrabba’s Italian Grill® restaurant concept and system and all elements, characteristics and properties thereof, including, without limitation, recipes and menu items; distinctive motif, design, décor and furnishings; equipment and signage; trade dress, the Proprietary Marks, trade secrets, know-how and other intellectual property; uniform standards, specifications and procedures for operations, quality and uniformity of products and services offered; procedures for inventory and management control; training and assistance; guest experience technology and programs; marketing, advertising and promotional programs; together with all goodwill associated therewith; all of which may from time to time be changed, improved and further developed by CIGI.</w:t>
      </w:r>
    </w:p>
    <w:p>
      <w:pPr>
        <w:spacing w:after="0" w:line="164" w:lineRule="exact"/>
        <w:rPr>
          <w:rFonts w:ascii="Arial" w:cs="Arial" w:eastAsia="Arial" w:hAnsi="Arial"/>
          <w:sz w:val="18"/>
          <w:szCs w:val="18"/>
          <w:color w:val="auto"/>
        </w:rPr>
      </w:pPr>
    </w:p>
    <w:p>
      <w:pPr>
        <w:jc w:val="both"/>
        <w:ind w:firstLine="622"/>
        <w:spacing w:after="0" w:line="260" w:lineRule="auto"/>
        <w:tabs>
          <w:tab w:leader="none" w:pos="1237"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and Sale of Royalty Payment Stream and Termination of Royalty Agreement</w:t>
      </w:r>
      <w:r>
        <w:rPr>
          <w:rFonts w:ascii="Arial" w:cs="Arial" w:eastAsia="Arial" w:hAnsi="Arial"/>
          <w:sz w:val="18"/>
          <w:szCs w:val="18"/>
          <w:color w:val="auto"/>
        </w:rPr>
        <w:t>. Subject to payment of the Royalty</w:t>
      </w:r>
      <w:r>
        <w:rPr>
          <w:rFonts w:ascii="Arial" w:cs="Arial" w:eastAsia="Arial" w:hAnsi="Arial"/>
          <w:sz w:val="18"/>
          <w:szCs w:val="18"/>
          <w:b w:val="1"/>
          <w:bCs w:val="1"/>
          <w:color w:val="auto"/>
        </w:rPr>
        <w:t xml:space="preserve"> </w:t>
      </w:r>
      <w:r>
        <w:rPr>
          <w:rFonts w:ascii="Arial" w:cs="Arial" w:eastAsia="Arial" w:hAnsi="Arial"/>
          <w:sz w:val="18"/>
          <w:szCs w:val="18"/>
          <w:color w:val="auto"/>
        </w:rPr>
        <w:t>Stream Purchase Price as provided in Section 3 and the GC Payments in Section 4 below, MBI2 hereby sells to CIGI all of its right, title and interest in and to the Royalty Payment Stream and CIGI herby purchases all of MBI2’s right, title and interest in and to the Royalty Payment Stream, and the Royalty Agreement is hereby terminated as of the Effective Date. Accordingly, as of the Effective Date, all provisions of the Royalty Agreement will be of no further force of effect, except for the confidentiality obligations and post-term restrictive covenants in Article 5 of the Royalty Agreement which are incorporated into this Agreement by this reference. In connection with the foregoing, each of the Founders covenant and agree that MBI2 holds all rights to receive the Royalty Payment Stream, that MBI2 has the sole right to sell and assign the Royalty Payment Stream and that none of the other Founders, or any other parties, have any such rights.</w:t>
      </w:r>
    </w:p>
    <w:p>
      <w:pPr>
        <w:spacing w:after="0" w:line="191" w:lineRule="exact"/>
        <w:rPr>
          <w:rFonts w:ascii="Arial" w:cs="Arial" w:eastAsia="Arial" w:hAnsi="Arial"/>
          <w:sz w:val="18"/>
          <w:szCs w:val="18"/>
          <w:color w:val="auto"/>
        </w:rPr>
      </w:pPr>
    </w:p>
    <w:p>
      <w:pPr>
        <w:jc w:val="both"/>
        <w:ind w:firstLine="622"/>
        <w:spacing w:after="0" w:line="279" w:lineRule="auto"/>
        <w:tabs>
          <w:tab w:leader="none" w:pos="1237" w:val="left"/>
        </w:tabs>
        <w:numPr>
          <w:ilvl w:val="0"/>
          <w:numId w:val="56"/>
        </w:numPr>
        <w:rPr>
          <w:rFonts w:ascii="Arial" w:cs="Arial" w:eastAsia="Arial" w:hAnsi="Arial"/>
          <w:sz w:val="17"/>
          <w:szCs w:val="17"/>
          <w:color w:val="auto"/>
        </w:rPr>
      </w:pPr>
      <w:r>
        <w:rPr>
          <w:rFonts w:ascii="Arial" w:cs="Arial" w:eastAsia="Arial" w:hAnsi="Arial"/>
          <w:sz w:val="17"/>
          <w:szCs w:val="17"/>
          <w:b w:val="1"/>
          <w:bCs w:val="1"/>
          <w:u w:val="single" w:color="auto"/>
          <w:color w:val="070707"/>
        </w:rPr>
        <w:t>Royalty Payment Stream Purchase</w:t>
      </w:r>
      <w:r>
        <w:rPr>
          <w:rFonts w:ascii="Arial" w:cs="Arial" w:eastAsia="Arial" w:hAnsi="Arial"/>
          <w:sz w:val="17"/>
          <w:szCs w:val="17"/>
          <w:color w:val="070707"/>
        </w:rPr>
        <w:t>. CIGI</w:t>
      </w:r>
      <w:r>
        <w:rPr>
          <w:rFonts w:ascii="Arial" w:cs="Arial" w:eastAsia="Arial" w:hAnsi="Arial"/>
          <w:sz w:val="17"/>
          <w:szCs w:val="17"/>
          <w:b w:val="1"/>
          <w:bCs w:val="1"/>
          <w:color w:val="070707"/>
        </w:rPr>
        <w:t xml:space="preserve"> </w:t>
      </w:r>
      <w:r>
        <w:rPr>
          <w:rFonts w:ascii="Arial" w:cs="Arial" w:eastAsia="Arial" w:hAnsi="Arial"/>
          <w:sz w:val="17"/>
          <w:szCs w:val="17"/>
          <w:color w:val="000000"/>
        </w:rPr>
        <w:t>shall pay to MBI2 an aggregate amount equal to Sixty-One Million Dollars</w:t>
      </w:r>
      <w:r>
        <w:rPr>
          <w:rFonts w:ascii="Arial" w:cs="Arial" w:eastAsia="Arial" w:hAnsi="Arial"/>
          <w:sz w:val="17"/>
          <w:szCs w:val="17"/>
          <w:b w:val="1"/>
          <w:bCs w:val="1"/>
          <w:color w:val="070707"/>
        </w:rPr>
        <w:t xml:space="preserve"> </w:t>
      </w:r>
      <w:r>
        <w:rPr>
          <w:rFonts w:ascii="Arial" w:cs="Arial" w:eastAsia="Arial" w:hAnsi="Arial"/>
          <w:sz w:val="17"/>
          <w:szCs w:val="17"/>
          <w:color w:val="000000"/>
        </w:rPr>
        <w:t>($61,000,000) (the “</w:t>
      </w:r>
      <w:r>
        <w:rPr>
          <w:rFonts w:ascii="Arial" w:cs="Arial" w:eastAsia="Arial" w:hAnsi="Arial"/>
          <w:sz w:val="17"/>
          <w:szCs w:val="17"/>
          <w:u w:val="single" w:color="auto"/>
          <w:color w:val="000000"/>
        </w:rPr>
        <w:t>Royalty Payment Stream Purchase Price</w:t>
      </w:r>
      <w:r>
        <w:rPr>
          <w:rFonts w:ascii="Arial" w:cs="Arial" w:eastAsia="Arial" w:hAnsi="Arial"/>
          <w:sz w:val="17"/>
          <w:szCs w:val="17"/>
          <w:color w:val="000000"/>
        </w:rPr>
        <w:t>”). The Royalty Payment Stream Purchase Price shall be paid on the Effective Date by wire transfer to a bank account designated by MBI2. As of the Effective Date, all royalty obligations under Article III of the Royalty Agreement (whether for U.S. Restaurants, international Restaurants, product sales or otherwise, and whether operating under the name “Carrabba’s,” “Abbraccio” or other Proprietary Marks) shall be deemed fully satisfied and extinguished, except that CIGI shall pay monthly royalties accrued for U.S. Restaurants for periods (including a partial month period) prior to the Effective Date of this Agreement, which shall be paid within thirty (30) days from such Effective Date. “</w:t>
      </w:r>
      <w:r>
        <w:rPr>
          <w:rFonts w:ascii="Arial" w:cs="Arial" w:eastAsia="Arial" w:hAnsi="Arial"/>
          <w:sz w:val="17"/>
          <w:szCs w:val="17"/>
          <w:u w:val="single" w:color="auto"/>
          <w:color w:val="000000"/>
        </w:rPr>
        <w:t>U.S. Restaurants</w:t>
      </w:r>
      <w:r>
        <w:rPr>
          <w:rFonts w:ascii="Arial" w:cs="Arial" w:eastAsia="Arial" w:hAnsi="Arial"/>
          <w:sz w:val="17"/>
          <w:szCs w:val="17"/>
          <w:color w:val="000000"/>
        </w:rPr>
        <w:t>” shall mean Carrabba’s Italian Grill® Restaurants located in the U.S.</w:t>
      </w:r>
    </w:p>
    <w:p>
      <w:pPr>
        <w:spacing w:after="0" w:line="149" w:lineRule="exact"/>
        <w:rPr>
          <w:rFonts w:ascii="Arial" w:cs="Arial" w:eastAsia="Arial" w:hAnsi="Arial"/>
          <w:sz w:val="17"/>
          <w:szCs w:val="17"/>
          <w:color w:val="auto"/>
        </w:rPr>
      </w:pPr>
    </w:p>
    <w:p>
      <w:pPr>
        <w:jc w:val="both"/>
        <w:ind w:firstLine="622"/>
        <w:spacing w:after="0" w:line="248" w:lineRule="auto"/>
        <w:tabs>
          <w:tab w:leader="none" w:pos="1237"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070707"/>
        </w:rPr>
        <w:t>GC Payments</w:t>
      </w:r>
      <w:r>
        <w:rPr>
          <w:rFonts w:ascii="Arial" w:cs="Arial" w:eastAsia="Arial" w:hAnsi="Arial"/>
          <w:sz w:val="19"/>
          <w:szCs w:val="19"/>
          <w:color w:val="000000"/>
        </w:rPr>
        <w:t>. On the Effective Date, in addition to the Royalty Payment Stream Purchase Price, CIGI shall pay (i) to CI an</w:t>
      </w:r>
      <w:r>
        <w:rPr>
          <w:rFonts w:ascii="Arial" w:cs="Arial" w:eastAsia="Arial" w:hAnsi="Arial"/>
          <w:sz w:val="19"/>
          <w:szCs w:val="19"/>
          <w:b w:val="1"/>
          <w:bCs w:val="1"/>
          <w:color w:val="070707"/>
        </w:rPr>
        <w:t xml:space="preserve"> </w:t>
      </w:r>
      <w:r>
        <w:rPr>
          <w:rFonts w:ascii="Arial" w:cs="Arial" w:eastAsia="Arial" w:hAnsi="Arial"/>
          <w:sz w:val="19"/>
          <w:szCs w:val="19"/>
          <w:color w:val="000000"/>
        </w:rPr>
        <w:t>aggregate amount equal to Four Hundred Forty Thousand Dollars ($440,000) and (ii) to CWI an aggregate amount equal to Four Hundred Forty Thousand Dollars ($440,000) (collectively the “</w:t>
      </w:r>
      <w:r>
        <w:rPr>
          <w:rFonts w:ascii="Arial" w:cs="Arial" w:eastAsia="Arial" w:hAnsi="Arial"/>
          <w:sz w:val="19"/>
          <w:szCs w:val="19"/>
          <w:u w:val="single" w:color="auto"/>
          <w:color w:val="000000"/>
        </w:rPr>
        <w:t>GC Payments</w:t>
      </w:r>
      <w:r>
        <w:rPr>
          <w:rFonts w:ascii="Arial" w:cs="Arial" w:eastAsia="Arial" w:hAnsi="Arial"/>
          <w:sz w:val="19"/>
          <w:szCs w:val="19"/>
          <w:color w:val="000000"/>
        </w:rPr>
        <w:t>”) as consideration and payment in full for any and all Brand Gift Cards (as defined below) redeemed at the Original Restaurants following the Effective Date. The GC Payments shall be paid by wire transfer to bank account designated by CI and CWI.</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296" w:right="339" w:bottom="1440" w:gutter="0" w:footer="0" w:header="0"/>
        </w:sectPr>
      </w:pPr>
    </w:p>
    <w:bookmarkStart w:id="63" w:name="page64"/>
    <w:bookmarkEnd w:id="63"/>
    <w:p>
      <w:pPr>
        <w:ind w:left="1240" w:hanging="618"/>
        <w:spacing w:after="0"/>
        <w:tabs>
          <w:tab w:leader="none" w:pos="1240" w:val="left"/>
        </w:tabs>
        <w:numPr>
          <w:ilvl w:val="0"/>
          <w:numId w:val="57"/>
        </w:numPr>
        <w:rPr>
          <w:rFonts w:ascii="Arial" w:cs="Arial" w:eastAsia="Arial" w:hAnsi="Arial"/>
          <w:sz w:val="19"/>
          <w:szCs w:val="19"/>
          <w:color w:val="auto"/>
        </w:rPr>
      </w:pPr>
      <w:r>
        <w:rPr>
          <w:rFonts w:ascii="Arial" w:cs="Arial" w:eastAsia="Arial" w:hAnsi="Arial"/>
          <w:sz w:val="19"/>
          <w:szCs w:val="19"/>
          <w:b w:val="1"/>
          <w:bCs w:val="1"/>
          <w:u w:val="single" w:color="auto"/>
          <w:color w:val="auto"/>
        </w:rPr>
        <w:t>Gift Card Liability</w:t>
      </w:r>
      <w:r>
        <w:rPr>
          <w:rFonts w:ascii="Arial" w:cs="Arial" w:eastAsia="Arial" w:hAnsi="Arial"/>
          <w:sz w:val="19"/>
          <w:szCs w:val="19"/>
          <w:color w:val="auto"/>
        </w:rPr>
        <w:t>.</w:t>
      </w:r>
    </w:p>
    <w:p>
      <w:pPr>
        <w:spacing w:after="0" w:line="212" w:lineRule="exact"/>
        <w:rPr>
          <w:rFonts w:ascii="Arial" w:cs="Arial" w:eastAsia="Arial" w:hAnsi="Arial"/>
          <w:sz w:val="19"/>
          <w:szCs w:val="19"/>
          <w:color w:val="auto"/>
        </w:rPr>
      </w:pPr>
    </w:p>
    <w:p>
      <w:pPr>
        <w:jc w:val="both"/>
        <w:ind w:left="620" w:firstLine="621"/>
        <w:spacing w:after="0" w:line="244" w:lineRule="auto"/>
        <w:tabs>
          <w:tab w:leader="none" w:pos="1850" w:val="left"/>
        </w:tabs>
        <w:numPr>
          <w:ilvl w:val="1"/>
          <w:numId w:val="57"/>
        </w:numPr>
        <w:rPr>
          <w:rFonts w:ascii="Arial" w:cs="Arial" w:eastAsia="Arial" w:hAnsi="Arial"/>
          <w:sz w:val="19"/>
          <w:szCs w:val="19"/>
          <w:color w:val="auto"/>
        </w:rPr>
      </w:pPr>
      <w:r>
        <w:rPr>
          <w:rFonts w:ascii="Arial" w:cs="Arial" w:eastAsia="Arial" w:hAnsi="Arial"/>
          <w:sz w:val="19"/>
          <w:szCs w:val="19"/>
          <w:color w:val="auto"/>
        </w:rPr>
        <w:t>Notwithstanding Section 5(d) below, Founders agree to accept and redeem Brand Gift Cards at the Original Restaurants, consistent with past practices, following the Effective Date and for so long as the Original Restaurants continue to operate under the “Carrabba’s” brand name or using other Licensed Marks. In connection with such redemptions, Founders acknowledge and agree that, in exchange for the GC Payments, BBI Entities shall have no liability or obligation with respect thereto, it being understood and agreed that the GC Payments are given as consideration and full satisfaction for any and all redemptions of Brand Gift Cards at the Original Restaurants following the Effective Date, provided such redemptions do not increase materially from redemption levels prior to the Effective Date (based on aggregate dollar amount per annum).</w:t>
      </w:r>
    </w:p>
    <w:p>
      <w:pPr>
        <w:spacing w:after="0" w:line="185" w:lineRule="exact"/>
        <w:rPr>
          <w:rFonts w:ascii="Arial" w:cs="Arial" w:eastAsia="Arial" w:hAnsi="Arial"/>
          <w:sz w:val="19"/>
          <w:szCs w:val="19"/>
          <w:color w:val="auto"/>
        </w:rPr>
      </w:pPr>
    </w:p>
    <w:p>
      <w:pPr>
        <w:jc w:val="both"/>
        <w:ind w:left="620" w:firstLine="621"/>
        <w:spacing w:after="0" w:line="245" w:lineRule="auto"/>
        <w:tabs>
          <w:tab w:leader="none" w:pos="1847" w:val="left"/>
        </w:tabs>
        <w:numPr>
          <w:ilvl w:val="1"/>
          <w:numId w:val="57"/>
        </w:numPr>
        <w:rPr>
          <w:rFonts w:ascii="Arial" w:cs="Arial" w:eastAsia="Arial" w:hAnsi="Arial"/>
          <w:sz w:val="19"/>
          <w:szCs w:val="19"/>
          <w:color w:val="auto"/>
        </w:rPr>
      </w:pPr>
      <w:r>
        <w:rPr>
          <w:rFonts w:ascii="Arial" w:cs="Arial" w:eastAsia="Arial" w:hAnsi="Arial"/>
          <w:sz w:val="19"/>
          <w:szCs w:val="19"/>
          <w:color w:val="auto"/>
        </w:rPr>
        <w:t>Notwithstanding Section 5(c) below, following the Effective Date and for so long as the Original Restaurants continue to operate under the “Carrabba’s” brand name or other Licensed Marks, CIGI shall continue to honor and redeem, consistent with past practices, any Founder Gift Cards presented by customers at Carrabba’s Italian Grill® Restaurants located in the U.S. and operated by CIGI or its Affiliates, and Founders shall have no liability to reimburse CIGI or its Affiliates for redemptions that occur after the Effective Date of this Agreement, provided such redemptions do not increase materially from redemption levels prior to the Effective Date (based on aggregate dollar amount per annum).</w:t>
      </w:r>
    </w:p>
    <w:p>
      <w:pPr>
        <w:spacing w:after="0" w:line="183" w:lineRule="exact"/>
        <w:rPr>
          <w:rFonts w:ascii="Arial" w:cs="Arial" w:eastAsia="Arial" w:hAnsi="Arial"/>
          <w:sz w:val="19"/>
          <w:szCs w:val="19"/>
          <w:color w:val="auto"/>
        </w:rPr>
      </w:pPr>
    </w:p>
    <w:p>
      <w:pPr>
        <w:jc w:val="both"/>
        <w:ind w:left="620" w:firstLine="621"/>
        <w:spacing w:after="0" w:line="245" w:lineRule="auto"/>
        <w:tabs>
          <w:tab w:leader="none" w:pos="1850" w:val="left"/>
        </w:tabs>
        <w:numPr>
          <w:ilvl w:val="1"/>
          <w:numId w:val="57"/>
        </w:numPr>
        <w:rPr>
          <w:rFonts w:ascii="Arial" w:cs="Arial" w:eastAsia="Arial" w:hAnsi="Arial"/>
          <w:sz w:val="19"/>
          <w:szCs w:val="19"/>
          <w:color w:val="auto"/>
        </w:rPr>
      </w:pPr>
      <w:r>
        <w:rPr>
          <w:rFonts w:ascii="Arial" w:cs="Arial" w:eastAsia="Arial" w:hAnsi="Arial"/>
          <w:sz w:val="19"/>
          <w:szCs w:val="19"/>
          <w:color w:val="auto"/>
        </w:rPr>
        <w:t>Founder Gift Cards printed or produced following the Effective Date shall include disclaimer language to the effect that such gift cards are not redeemable at Carrabba’s Italian Grill® Restaurants operated by CIGI or its Affiliates or other licensees/franchisees. Founder Gift Cards may be offered or sold on website(s) maintained by Founders exclusively for the Kirby Restaurant and/or Voss Restaurant (the “</w:t>
      </w:r>
      <w:r>
        <w:rPr>
          <w:rFonts w:ascii="Arial" w:cs="Arial" w:eastAsia="Arial" w:hAnsi="Arial"/>
          <w:sz w:val="19"/>
          <w:szCs w:val="19"/>
          <w:u w:val="single" w:color="auto"/>
          <w:color w:val="auto"/>
        </w:rPr>
        <w:t>Websites</w:t>
      </w:r>
      <w:r>
        <w:rPr>
          <w:rFonts w:ascii="Arial" w:cs="Arial" w:eastAsia="Arial" w:hAnsi="Arial"/>
          <w:sz w:val="19"/>
          <w:szCs w:val="19"/>
          <w:color w:val="auto"/>
        </w:rPr>
        <w:t>”) but shall not otherwise be offered or sold via the Internet (or other forms of electronic commerce) or through third party retailers or distributors. Founder Gift Cards shall not be offered or sold via the Websites at more than a twenty-five percent (25%) discount from face value.</w:t>
      </w:r>
    </w:p>
    <w:p>
      <w:pPr>
        <w:spacing w:after="0" w:line="183" w:lineRule="exact"/>
        <w:rPr>
          <w:rFonts w:ascii="Arial" w:cs="Arial" w:eastAsia="Arial" w:hAnsi="Arial"/>
          <w:sz w:val="19"/>
          <w:szCs w:val="19"/>
          <w:color w:val="auto"/>
        </w:rPr>
      </w:pPr>
    </w:p>
    <w:p>
      <w:pPr>
        <w:jc w:val="both"/>
        <w:ind w:left="620" w:firstLine="621"/>
        <w:spacing w:after="0" w:line="252" w:lineRule="auto"/>
        <w:tabs>
          <w:tab w:leader="none" w:pos="1847" w:val="left"/>
        </w:tabs>
        <w:numPr>
          <w:ilvl w:val="1"/>
          <w:numId w:val="57"/>
        </w:numPr>
        <w:rPr>
          <w:rFonts w:ascii="Arial" w:cs="Arial" w:eastAsia="Arial" w:hAnsi="Arial"/>
          <w:sz w:val="19"/>
          <w:szCs w:val="19"/>
          <w:color w:val="auto"/>
        </w:rPr>
      </w:pPr>
      <w:r>
        <w:rPr>
          <w:rFonts w:ascii="Arial" w:cs="Arial" w:eastAsia="Arial" w:hAnsi="Arial"/>
          <w:sz w:val="19"/>
          <w:szCs w:val="19"/>
          <w:color w:val="auto"/>
        </w:rPr>
        <w:t>Brand Gift Cards printed or produced following the Effective Date, and which are specific to the Carrabba’s® brand, shall include disclaimer language to the effect that such gift cards are not redeemable at the original Carrabba’s restaurants located on Kirby and Voss in Houston, Texas.</w:t>
      </w:r>
    </w:p>
    <w:p>
      <w:pPr>
        <w:spacing w:after="0" w:line="169" w:lineRule="exact"/>
        <w:rPr>
          <w:rFonts w:ascii="Arial" w:cs="Arial" w:eastAsia="Arial" w:hAnsi="Arial"/>
          <w:sz w:val="19"/>
          <w:szCs w:val="19"/>
          <w:color w:val="auto"/>
        </w:rPr>
      </w:pPr>
    </w:p>
    <w:p>
      <w:pPr>
        <w:jc w:val="both"/>
        <w:ind w:firstLine="622"/>
        <w:spacing w:after="0" w:line="250" w:lineRule="auto"/>
        <w:tabs>
          <w:tab w:leader="none" w:pos="1237" w:val="left"/>
        </w:tabs>
        <w:numPr>
          <w:ilvl w:val="0"/>
          <w:numId w:val="57"/>
        </w:numPr>
        <w:rPr>
          <w:rFonts w:ascii="Arial" w:cs="Arial" w:eastAsia="Arial" w:hAnsi="Arial"/>
          <w:sz w:val="19"/>
          <w:szCs w:val="19"/>
          <w:color w:val="auto"/>
        </w:rPr>
      </w:pPr>
      <w:r>
        <w:rPr>
          <w:rFonts w:ascii="Arial" w:cs="Arial" w:eastAsia="Arial" w:hAnsi="Arial"/>
          <w:sz w:val="19"/>
          <w:szCs w:val="19"/>
          <w:b w:val="1"/>
          <w:bCs w:val="1"/>
          <w:u w:val="single" w:color="auto"/>
          <w:color w:val="070707"/>
        </w:rPr>
        <w:t>Ownership of Carrabba’s IP</w:t>
      </w:r>
      <w:r>
        <w:rPr>
          <w:rFonts w:ascii="Arial" w:cs="Arial" w:eastAsia="Arial" w:hAnsi="Arial"/>
          <w:sz w:val="19"/>
          <w:szCs w:val="19"/>
          <w:color w:val="000000"/>
        </w:rPr>
        <w:t>. Founders acknowledge and agree (i) to their knowledge, CIGI is the sole and exclusive owner of all</w:t>
      </w:r>
      <w:r>
        <w:rPr>
          <w:rFonts w:ascii="Arial" w:cs="Arial" w:eastAsia="Arial" w:hAnsi="Arial"/>
          <w:sz w:val="19"/>
          <w:szCs w:val="19"/>
          <w:b w:val="1"/>
          <w:bCs w:val="1"/>
          <w:color w:val="070707"/>
        </w:rPr>
        <w:t xml:space="preserve"> </w:t>
      </w:r>
      <w:r>
        <w:rPr>
          <w:rFonts w:ascii="Arial" w:cs="Arial" w:eastAsia="Arial" w:hAnsi="Arial"/>
          <w:sz w:val="19"/>
          <w:szCs w:val="19"/>
          <w:color w:val="000000"/>
        </w:rPr>
        <w:t>rights, title and interest in and to the Carrabba’s IP, and (ii) CIGI’s ownership in and to the Carrabba’s IP is free of any lien, claim, encumbrance, retained interest or reversionary right on the part of Founders, subject to and except only for the Kirby License and Voss License (as those terms are defined in Section 7 below). Founders each expressly acknowledge and agree that:</w:t>
      </w:r>
    </w:p>
    <w:p>
      <w:pPr>
        <w:spacing w:after="0" w:line="178" w:lineRule="exact"/>
        <w:rPr>
          <w:rFonts w:ascii="Arial" w:cs="Arial" w:eastAsia="Arial" w:hAnsi="Arial"/>
          <w:sz w:val="19"/>
          <w:szCs w:val="19"/>
          <w:color w:val="auto"/>
        </w:rPr>
      </w:pPr>
    </w:p>
    <w:p>
      <w:pPr>
        <w:ind w:left="620" w:firstLine="621"/>
        <w:spacing w:after="0" w:line="292" w:lineRule="auto"/>
        <w:tabs>
          <w:tab w:leader="none" w:pos="185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the knowledge of Founders, the Proprietary Marks are valid and serve to identify the System and those who are authorized to operate under the System, and each of the Founders will take no position that is inconsistent with the foregoing;</w:t>
      </w:r>
    </w:p>
    <w:p>
      <w:pPr>
        <w:spacing w:after="0" w:line="140" w:lineRule="exact"/>
        <w:rPr>
          <w:rFonts w:ascii="Arial" w:cs="Arial" w:eastAsia="Arial" w:hAnsi="Arial"/>
          <w:sz w:val="18"/>
          <w:szCs w:val="18"/>
          <w:color w:val="auto"/>
        </w:rPr>
      </w:pPr>
    </w:p>
    <w:p>
      <w:pPr>
        <w:ind w:left="1840" w:hanging="599"/>
        <w:spacing w:after="0"/>
        <w:tabs>
          <w:tab w:leader="none" w:pos="18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Founders will not directly or indirectly contest the validity or ownership of the Proprietary Marks or any other Carrabba’s</w:t>
      </w:r>
    </w:p>
    <w:p>
      <w:pPr>
        <w:spacing w:after="0" w:line="3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9"/>
          <w:szCs w:val="19"/>
          <w:color w:val="auto"/>
        </w:rPr>
        <w:t>IP;</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290" w:right="339" w:bottom="1440" w:gutter="0" w:footer="0" w:header="0"/>
        </w:sectPr>
      </w:pPr>
    </w:p>
    <w:bookmarkStart w:id="64" w:name="page65"/>
    <w:bookmarkEnd w:id="64"/>
    <w:p>
      <w:pPr>
        <w:jc w:val="both"/>
        <w:ind w:left="-2" w:firstLine="621"/>
        <w:spacing w:after="0" w:line="324" w:lineRule="auto"/>
        <w:tabs>
          <w:tab w:leader="none" w:pos="1228" w:val="left"/>
        </w:tabs>
        <w:numPr>
          <w:ilvl w:val="1"/>
          <w:numId w:val="58"/>
        </w:numPr>
        <w:rPr>
          <w:rFonts w:ascii="Arial" w:cs="Arial" w:eastAsia="Arial" w:hAnsi="Arial"/>
          <w:sz w:val="17"/>
          <w:szCs w:val="17"/>
          <w:color w:val="auto"/>
        </w:rPr>
      </w:pPr>
      <w:r>
        <w:rPr>
          <w:rFonts w:ascii="Arial" w:cs="Arial" w:eastAsia="Arial" w:hAnsi="Arial"/>
          <w:sz w:val="17"/>
          <w:szCs w:val="17"/>
          <w:color w:val="auto"/>
        </w:rPr>
        <w:t>Founders will not register or apply to register any corporate name, trademark, copyright, design registrations or any other proprietary rights, in any country, state or other jurisdiction, utilizing any of the Proprietary Marks or other component of the Carrabba’s IP;</w:t>
      </w:r>
    </w:p>
    <w:p>
      <w:pPr>
        <w:spacing w:after="0" w:line="116" w:lineRule="exact"/>
        <w:rPr>
          <w:rFonts w:ascii="Arial" w:cs="Arial" w:eastAsia="Arial" w:hAnsi="Arial"/>
          <w:sz w:val="17"/>
          <w:szCs w:val="17"/>
          <w:color w:val="auto"/>
        </w:rPr>
      </w:pPr>
    </w:p>
    <w:p>
      <w:pPr>
        <w:jc w:val="both"/>
        <w:ind w:left="-2" w:firstLine="621"/>
        <w:spacing w:after="0" w:line="266" w:lineRule="auto"/>
        <w:tabs>
          <w:tab w:leader="none" w:pos="1225" w:val="left"/>
        </w:tabs>
        <w:numPr>
          <w:ilvl w:val="1"/>
          <w:numId w:val="58"/>
        </w:numPr>
        <w:rPr>
          <w:rFonts w:ascii="Arial" w:cs="Arial" w:eastAsia="Arial" w:hAnsi="Arial"/>
          <w:sz w:val="17"/>
          <w:szCs w:val="17"/>
          <w:color w:val="auto"/>
        </w:rPr>
      </w:pPr>
      <w:r>
        <w:rPr>
          <w:rFonts w:ascii="Arial" w:cs="Arial" w:eastAsia="Arial" w:hAnsi="Arial"/>
          <w:sz w:val="17"/>
          <w:szCs w:val="17"/>
          <w:color w:val="auto"/>
        </w:rPr>
        <w:t>Except pursuant to the Kirby License and the Voss License, Founders will not, directly or indirectly, (i) use any Proprietary Marks or other Carrabba’s IP in connection with the operation of any other business or otherwise; or (ii) use any reproduction, counterfeit or copy of the Proprietary Marks, or any confusingly similar marks or other Carrabba’s IP, either in connection with any other business or the promotion thereof, which is likely to cause confusion, mistake or deception, or which is likely to dilute CIGI’s rights in and to the Proprietary Marks or other Carrabba’s IP. Founders further agree not to utilize any designation of origin, description or representation, including, without limitation, distinctive trade dress, which falsely suggests or represents an association or connection with CIGI or similarity to the Carrabba’s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or System, including, but not limited to, the use of substantially similar menu items, recipes, naming conventions for menu items, trade dress, décor or operating systems, and references to “Carrabba’s” in marketing, promotions, or descriptions of other business(es) which Founders (or any of them) now or hereafter own, operate or have any interest in. Without limiting the foregoing, Founders acknowledge and agree that the menu items identified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including the recipes and menu naming conventions used in connection therewith (the “</w:t>
      </w:r>
      <w:r>
        <w:rPr>
          <w:rFonts w:ascii="Arial" w:cs="Arial" w:eastAsia="Arial" w:hAnsi="Arial"/>
          <w:sz w:val="17"/>
          <w:szCs w:val="17"/>
          <w:u w:val="single" w:color="auto"/>
          <w:color w:val="auto"/>
        </w:rPr>
        <w:t>Signature Menu Items</w:t>
      </w:r>
      <w:r>
        <w:rPr>
          <w:rFonts w:ascii="Arial" w:cs="Arial" w:eastAsia="Arial" w:hAnsi="Arial"/>
          <w:sz w:val="17"/>
          <w:szCs w:val="17"/>
          <w:color w:val="auto"/>
        </w:rPr>
        <w:t>”), constitute Carrabba’s IP and are owned solely and exclusively by CIGI (although subject to the Kirby License and the Voss License).</w:t>
      </w:r>
    </w:p>
    <w:p>
      <w:pPr>
        <w:spacing w:after="0" w:line="172" w:lineRule="exact"/>
        <w:rPr>
          <w:rFonts w:ascii="Arial" w:cs="Arial" w:eastAsia="Arial" w:hAnsi="Arial"/>
          <w:sz w:val="17"/>
          <w:szCs w:val="17"/>
          <w:color w:val="auto"/>
        </w:rPr>
      </w:pPr>
    </w:p>
    <w:p>
      <w:pPr>
        <w:ind w:left="-2" w:firstLine="621"/>
        <w:spacing w:after="0" w:line="324" w:lineRule="auto"/>
        <w:tabs>
          <w:tab w:leader="none" w:pos="1228" w:val="left"/>
        </w:tabs>
        <w:numPr>
          <w:ilvl w:val="1"/>
          <w:numId w:val="58"/>
        </w:numPr>
        <w:rPr>
          <w:rFonts w:ascii="Arial" w:cs="Arial" w:eastAsia="Arial" w:hAnsi="Arial"/>
          <w:sz w:val="17"/>
          <w:szCs w:val="17"/>
          <w:color w:val="auto"/>
        </w:rPr>
      </w:pPr>
      <w:r>
        <w:rPr>
          <w:rFonts w:ascii="Arial" w:cs="Arial" w:eastAsia="Arial" w:hAnsi="Arial"/>
          <w:sz w:val="17"/>
          <w:szCs w:val="17"/>
          <w:color w:val="auto"/>
        </w:rPr>
        <w:t>Founders use of the System and/or any Proprietary Marks pursuant to this Agreement does not give them any ownership interest or other interest in or to any of the Carrabba’s IP, except the rights specifically granted by the Kirby License or the Voss License;</w:t>
      </w:r>
    </w:p>
    <w:p>
      <w:pPr>
        <w:spacing w:after="0" w:line="116" w:lineRule="exact"/>
        <w:rPr>
          <w:rFonts w:ascii="Arial" w:cs="Arial" w:eastAsia="Arial" w:hAnsi="Arial"/>
          <w:sz w:val="17"/>
          <w:szCs w:val="17"/>
          <w:color w:val="auto"/>
        </w:rPr>
      </w:pPr>
    </w:p>
    <w:p>
      <w:pPr>
        <w:ind w:left="-2" w:firstLine="621"/>
        <w:spacing w:after="0" w:line="264" w:lineRule="auto"/>
        <w:tabs>
          <w:tab w:leader="none" w:pos="1232" w:val="left"/>
        </w:tabs>
        <w:numPr>
          <w:ilvl w:val="1"/>
          <w:numId w:val="58"/>
        </w:numPr>
        <w:rPr>
          <w:rFonts w:ascii="Arial" w:cs="Arial" w:eastAsia="Arial" w:hAnsi="Arial"/>
          <w:sz w:val="19"/>
          <w:szCs w:val="19"/>
          <w:color w:val="auto"/>
        </w:rPr>
      </w:pPr>
      <w:r>
        <w:rPr>
          <w:rFonts w:ascii="Arial" w:cs="Arial" w:eastAsia="Arial" w:hAnsi="Arial"/>
          <w:sz w:val="19"/>
          <w:szCs w:val="19"/>
          <w:color w:val="auto"/>
        </w:rPr>
        <w:t>Any and all goodwill arising from any use of the Proprietary Marks or other Carrabba’s IP shall insure solely and exclusively to the benefit of CIGI and its Affiliates;</w:t>
      </w:r>
    </w:p>
    <w:p>
      <w:pPr>
        <w:spacing w:after="0" w:line="163" w:lineRule="exact"/>
        <w:rPr>
          <w:rFonts w:ascii="Arial" w:cs="Arial" w:eastAsia="Arial" w:hAnsi="Arial"/>
          <w:sz w:val="19"/>
          <w:szCs w:val="19"/>
          <w:color w:val="auto"/>
        </w:rPr>
      </w:pPr>
    </w:p>
    <w:p>
      <w:pPr>
        <w:jc w:val="both"/>
        <w:ind w:left="-2" w:firstLine="621"/>
        <w:spacing w:after="0" w:line="252" w:lineRule="auto"/>
        <w:tabs>
          <w:tab w:leader="none" w:pos="1225" w:val="left"/>
        </w:tabs>
        <w:numPr>
          <w:ilvl w:val="1"/>
          <w:numId w:val="58"/>
        </w:numPr>
        <w:rPr>
          <w:rFonts w:ascii="Arial" w:cs="Arial" w:eastAsia="Arial" w:hAnsi="Arial"/>
          <w:sz w:val="19"/>
          <w:szCs w:val="19"/>
          <w:color w:val="auto"/>
        </w:rPr>
      </w:pPr>
      <w:r>
        <w:rPr>
          <w:rFonts w:ascii="Arial" w:cs="Arial" w:eastAsia="Arial" w:hAnsi="Arial"/>
          <w:sz w:val="19"/>
          <w:szCs w:val="19"/>
          <w:color w:val="auto"/>
        </w:rPr>
        <w:t>CIGI shall not be obligated to obtain or maintain registrations of any Proprietary Marks. CIGI may periodically add or discontinue the use of any Proprietary Marks and/or substitute different Proprietary Marks for use in identifying the System and Carrabba’s Italian Grill® restaurants, in its sole judgement; and</w:t>
      </w:r>
    </w:p>
    <w:p>
      <w:pPr>
        <w:spacing w:after="0" w:line="175" w:lineRule="exact"/>
        <w:rPr>
          <w:rFonts w:ascii="Arial" w:cs="Arial" w:eastAsia="Arial" w:hAnsi="Arial"/>
          <w:sz w:val="19"/>
          <w:szCs w:val="19"/>
          <w:color w:val="auto"/>
        </w:rPr>
      </w:pPr>
    </w:p>
    <w:p>
      <w:pPr>
        <w:jc w:val="both"/>
        <w:ind w:left="-2" w:firstLine="621"/>
        <w:spacing w:after="0" w:line="252" w:lineRule="auto"/>
        <w:tabs>
          <w:tab w:leader="none" w:pos="1225" w:val="left"/>
        </w:tabs>
        <w:numPr>
          <w:ilvl w:val="1"/>
          <w:numId w:val="58"/>
        </w:numPr>
        <w:rPr>
          <w:rFonts w:ascii="Arial" w:cs="Arial" w:eastAsia="Arial" w:hAnsi="Arial"/>
          <w:sz w:val="19"/>
          <w:szCs w:val="19"/>
          <w:color w:val="auto"/>
        </w:rPr>
      </w:pPr>
      <w:r>
        <w:rPr>
          <w:rFonts w:ascii="Arial" w:cs="Arial" w:eastAsia="Arial" w:hAnsi="Arial"/>
          <w:sz w:val="19"/>
          <w:szCs w:val="19"/>
          <w:color w:val="auto"/>
        </w:rPr>
        <w:t>Except for the non-exclusive License Agreements granted to Licensees pursuant to Section 7 below, CIGI does not grant to Founders any rights and/or interest in any Carrabba’s IP, and CIGI has and retains all rights to the Proprietary Marks and System not expressly granted to Licensees in this Agreement.</w:t>
      </w:r>
    </w:p>
    <w:p>
      <w:pPr>
        <w:spacing w:after="0" w:line="169" w:lineRule="exact"/>
        <w:rPr>
          <w:rFonts w:ascii="Arial" w:cs="Arial" w:eastAsia="Arial" w:hAnsi="Arial"/>
          <w:sz w:val="19"/>
          <w:szCs w:val="19"/>
          <w:color w:val="auto"/>
        </w:rPr>
      </w:pPr>
    </w:p>
    <w:p>
      <w:pPr>
        <w:ind w:left="618" w:hanging="618"/>
        <w:spacing w:after="0"/>
        <w:tabs>
          <w:tab w:leader="none" w:pos="618" w:val="left"/>
        </w:tabs>
        <w:numPr>
          <w:ilvl w:val="0"/>
          <w:numId w:val="59"/>
        </w:numPr>
        <w:rPr>
          <w:rFonts w:ascii="Arial" w:cs="Arial" w:eastAsia="Arial" w:hAnsi="Arial"/>
          <w:sz w:val="19"/>
          <w:szCs w:val="19"/>
          <w:color w:val="070707"/>
        </w:rPr>
      </w:pPr>
      <w:r>
        <w:rPr>
          <w:rFonts w:ascii="Arial" w:cs="Arial" w:eastAsia="Arial" w:hAnsi="Arial"/>
          <w:sz w:val="19"/>
          <w:szCs w:val="19"/>
          <w:b w:val="1"/>
          <w:bCs w:val="1"/>
          <w:u w:val="single" w:color="auto"/>
          <w:color w:val="070707"/>
        </w:rPr>
        <w:t>Original Restaurants</w:t>
      </w:r>
      <w:r>
        <w:rPr>
          <w:rFonts w:ascii="Arial" w:cs="Arial" w:eastAsia="Arial" w:hAnsi="Arial"/>
          <w:sz w:val="19"/>
          <w:szCs w:val="19"/>
          <w:b w:val="1"/>
          <w:bCs w:val="1"/>
          <w:color w:val="070707"/>
        </w:rPr>
        <w:t xml:space="preserve"> </w:t>
      </w:r>
      <w:r>
        <w:rPr>
          <w:rFonts w:ascii="Arial" w:cs="Arial" w:eastAsia="Arial" w:hAnsi="Arial"/>
          <w:sz w:val="19"/>
          <w:szCs w:val="19"/>
          <w:b w:val="1"/>
          <w:bCs w:val="1"/>
          <w:color w:val="000000"/>
        </w:rPr>
        <w:t>- Grant of License</w:t>
      </w:r>
      <w:r>
        <w:rPr>
          <w:rFonts w:ascii="Arial" w:cs="Arial" w:eastAsia="Arial" w:hAnsi="Arial"/>
          <w:sz w:val="19"/>
          <w:szCs w:val="19"/>
          <w:color w:val="000000"/>
        </w:rPr>
        <w:t>.</w:t>
      </w:r>
    </w:p>
    <w:p>
      <w:pPr>
        <w:spacing w:after="0" w:line="238" w:lineRule="exact"/>
        <w:rPr>
          <w:rFonts w:ascii="Arial" w:cs="Arial" w:eastAsia="Arial" w:hAnsi="Arial"/>
          <w:sz w:val="19"/>
          <w:szCs w:val="19"/>
          <w:color w:val="070707"/>
        </w:rPr>
      </w:pPr>
    </w:p>
    <w:p>
      <w:pPr>
        <w:jc w:val="both"/>
        <w:ind w:left="-2" w:firstLine="621"/>
        <w:spacing w:after="0" w:line="296" w:lineRule="auto"/>
        <w:tabs>
          <w:tab w:leader="none" w:pos="1228" w:val="left"/>
        </w:tabs>
        <w:numPr>
          <w:ilvl w:val="1"/>
          <w:numId w:val="59"/>
        </w:numPr>
        <w:rPr>
          <w:rFonts w:ascii="Arial" w:cs="Arial" w:eastAsia="Arial" w:hAnsi="Arial"/>
          <w:sz w:val="17"/>
          <w:szCs w:val="17"/>
          <w:color w:val="auto"/>
        </w:rPr>
      </w:pPr>
      <w:r>
        <w:rPr>
          <w:rFonts w:ascii="Arial" w:cs="Arial" w:eastAsia="Arial" w:hAnsi="Arial"/>
          <w:sz w:val="17"/>
          <w:szCs w:val="17"/>
          <w:color w:val="auto"/>
        </w:rPr>
        <w:t>Subject to the terms and conditions contained herein, CIGI hereby grants to CI, and CI hereby accepts, a non-exclusive, non-transferrable (except as otherwise set forth herein), royalty-free license to use the Licensed Marks and System solely in connection with the operation of the Kirby Restaurant (the “</w:t>
      </w:r>
      <w:r>
        <w:rPr>
          <w:rFonts w:ascii="Arial" w:cs="Arial" w:eastAsia="Arial" w:hAnsi="Arial"/>
          <w:sz w:val="17"/>
          <w:szCs w:val="17"/>
          <w:u w:val="single" w:color="auto"/>
          <w:color w:val="auto"/>
        </w:rPr>
        <w:t>Kirby License</w:t>
      </w:r>
      <w:r>
        <w:rPr>
          <w:rFonts w:ascii="Arial" w:cs="Arial" w:eastAsia="Arial" w:hAnsi="Arial"/>
          <w:sz w:val="17"/>
          <w:szCs w:val="17"/>
          <w:color w:val="auto"/>
        </w:rPr>
        <w:t>”). The Kirby License does not include any right to grant sublicenses.</w:t>
      </w:r>
    </w:p>
    <w:p>
      <w:pPr>
        <w:spacing w:after="0" w:line="140" w:lineRule="exact"/>
        <w:rPr>
          <w:rFonts w:ascii="Arial" w:cs="Arial" w:eastAsia="Arial" w:hAnsi="Arial"/>
          <w:sz w:val="17"/>
          <w:szCs w:val="17"/>
          <w:color w:val="auto"/>
        </w:rPr>
      </w:pPr>
    </w:p>
    <w:p>
      <w:pPr>
        <w:jc w:val="both"/>
        <w:ind w:left="-2" w:firstLine="621"/>
        <w:spacing w:after="0" w:line="252" w:lineRule="auto"/>
        <w:tabs>
          <w:tab w:leader="none" w:pos="1225" w:val="left"/>
        </w:tabs>
        <w:numPr>
          <w:ilvl w:val="1"/>
          <w:numId w:val="59"/>
        </w:numPr>
        <w:rPr>
          <w:rFonts w:ascii="Arial" w:cs="Arial" w:eastAsia="Arial" w:hAnsi="Arial"/>
          <w:sz w:val="19"/>
          <w:szCs w:val="19"/>
          <w:color w:val="auto"/>
        </w:rPr>
      </w:pPr>
      <w:r>
        <w:rPr>
          <w:rFonts w:ascii="Arial" w:cs="Arial" w:eastAsia="Arial" w:hAnsi="Arial"/>
          <w:sz w:val="19"/>
          <w:szCs w:val="19"/>
          <w:color w:val="auto"/>
        </w:rPr>
        <w:t>Subject to the terms and conditions contained herein, CIGI hereby grants to CWI, and CWI hereby accepts, a non-exclusive, non-transferrable (except as otherwise set forth herein), royalty-free license to use the Licensed Marks and System solely in connection with the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-1146175</wp:posOffset>
            </wp:positionV>
            <wp:extent cx="9594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958"/>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18"/>
          </w:cols>
          <w:pgMar w:left="942" w:top="1296" w:right="339" w:bottom="1440" w:gutter="0" w:footer="0" w:header="0"/>
        </w:sectPr>
      </w:pPr>
    </w:p>
    <w:bookmarkStart w:id="65" w:name="page66"/>
    <w:bookmarkEnd w:id="65"/>
    <w:p>
      <w:pPr>
        <w:spacing w:after="0" w:line="264" w:lineRule="auto"/>
        <w:rPr>
          <w:sz w:val="20"/>
          <w:szCs w:val="20"/>
          <w:color w:val="auto"/>
        </w:rPr>
      </w:pPr>
      <w:r>
        <w:rPr>
          <w:rFonts w:ascii="Arial" w:cs="Arial" w:eastAsia="Arial" w:hAnsi="Arial"/>
          <w:sz w:val="19"/>
          <w:szCs w:val="19"/>
          <w:color w:val="auto"/>
        </w:rPr>
        <w:t>of the Voss Restaurant (the “</w:t>
      </w:r>
      <w:r>
        <w:rPr>
          <w:rFonts w:ascii="Arial" w:cs="Arial" w:eastAsia="Arial" w:hAnsi="Arial"/>
          <w:sz w:val="19"/>
          <w:szCs w:val="19"/>
          <w:u w:val="single" w:color="auto"/>
          <w:color w:val="auto"/>
        </w:rPr>
        <w:t>Voss License</w:t>
      </w:r>
      <w:r>
        <w:rPr>
          <w:rFonts w:ascii="Arial" w:cs="Arial" w:eastAsia="Arial" w:hAnsi="Arial"/>
          <w:sz w:val="19"/>
          <w:szCs w:val="19"/>
          <w:color w:val="auto"/>
        </w:rPr>
        <w:t>” and, together with the Kirby License, referred to herein as the “</w:t>
      </w:r>
      <w:r>
        <w:rPr>
          <w:rFonts w:ascii="Arial" w:cs="Arial" w:eastAsia="Arial" w:hAnsi="Arial"/>
          <w:sz w:val="19"/>
          <w:szCs w:val="19"/>
          <w:u w:val="single" w:color="auto"/>
          <w:color w:val="auto"/>
        </w:rPr>
        <w:t>License Agreements</w:t>
      </w:r>
      <w:r>
        <w:rPr>
          <w:rFonts w:ascii="Arial" w:cs="Arial" w:eastAsia="Arial" w:hAnsi="Arial"/>
          <w:sz w:val="19"/>
          <w:szCs w:val="19"/>
          <w:color w:val="auto"/>
        </w:rPr>
        <w:t>”). The Voss License does not include any right to grant sublicenses.</w:t>
      </w:r>
    </w:p>
    <w:p>
      <w:pPr>
        <w:spacing w:after="0" w:line="164" w:lineRule="exact"/>
        <w:rPr>
          <w:sz w:val="20"/>
          <w:szCs w:val="20"/>
          <w:color w:val="auto"/>
        </w:rPr>
      </w:pPr>
    </w:p>
    <w:p>
      <w:pPr>
        <w:jc w:val="both"/>
        <w:ind w:firstLine="621"/>
        <w:spacing w:after="0" w:line="252" w:lineRule="auto"/>
        <w:tabs>
          <w:tab w:leader="none" w:pos="123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parties agree that the Kirby License and Voss License shall hereby supersede and replace the CI License Agreement and the CWI License Agreement, respectively (as those terms are defined in the Royalty Agreement), effective as of the Effective Date. The CI License and CWI License Agreement shall be deemed null and void as of the Effective Date.</w:t>
      </w:r>
    </w:p>
    <w:p>
      <w:pPr>
        <w:spacing w:after="0" w:line="175" w:lineRule="exact"/>
        <w:rPr>
          <w:rFonts w:ascii="Arial" w:cs="Arial" w:eastAsia="Arial" w:hAnsi="Arial"/>
          <w:sz w:val="19"/>
          <w:szCs w:val="19"/>
          <w:color w:val="auto"/>
        </w:rPr>
      </w:pPr>
    </w:p>
    <w:p>
      <w:pPr>
        <w:jc w:val="both"/>
        <w:ind w:firstLine="621"/>
        <w:spacing w:after="0" w:line="259" w:lineRule="auto"/>
        <w:tabs>
          <w:tab w:leader="none" w:pos="12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Kirby License and the Voss License shall remain in effect for so long as the Kirby Restaurant and the Voss Restaurant, respectively, remain in operation and open to the public, unless the License Agreement(s) are otherwise terminated in accordance with this Section 7 (the “</w:t>
      </w:r>
      <w:r>
        <w:rPr>
          <w:rFonts w:ascii="Arial" w:cs="Arial" w:eastAsia="Arial" w:hAnsi="Arial"/>
          <w:sz w:val="18"/>
          <w:szCs w:val="18"/>
          <w:u w:val="single" w:color="auto"/>
          <w:color w:val="auto"/>
        </w:rPr>
        <w:t>License Term</w:t>
      </w:r>
      <w:r>
        <w:rPr>
          <w:rFonts w:ascii="Arial" w:cs="Arial" w:eastAsia="Arial" w:hAnsi="Arial"/>
          <w:sz w:val="18"/>
          <w:szCs w:val="18"/>
          <w:color w:val="auto"/>
        </w:rPr>
        <w:t>”). For purposes of this Agreement, the Kirby Restaurant and the Voss Restaurant shall be deemed to be in operation and open to the public even if circumstances provide for a temporary closure of the Kirby Restaurant or the Voss Restaurant, which temporary circumstances may include, but not be limited to remodeling or renovation, fire, storm, flood, pandemic, labor strike or similar action or other circumstances outside the control of the Founders, so long as the owner of the Kirby Restaurant and the Voss Restaurant, as applicable, are using their best commercial efforts to cause the applicable restaurant to return to being open and serving customers with reasonable promptness.</w:t>
      </w:r>
    </w:p>
    <w:p>
      <w:pPr>
        <w:spacing w:after="0" w:line="172" w:lineRule="exact"/>
        <w:rPr>
          <w:rFonts w:ascii="Arial" w:cs="Arial" w:eastAsia="Arial" w:hAnsi="Arial"/>
          <w:sz w:val="18"/>
          <w:szCs w:val="18"/>
          <w:color w:val="auto"/>
        </w:rPr>
      </w:pPr>
    </w:p>
    <w:p>
      <w:pPr>
        <w:ind w:firstLine="621"/>
        <w:spacing w:after="0" w:line="264" w:lineRule="auto"/>
        <w:tabs>
          <w:tab w:leader="none" w:pos="1230" w:val="left"/>
        </w:tabs>
        <w:numPr>
          <w:ilvl w:val="0"/>
          <w:numId w:val="60"/>
        </w:numPr>
        <w:rPr>
          <w:rFonts w:ascii="Arial" w:cs="Arial" w:eastAsia="Arial" w:hAnsi="Arial"/>
          <w:sz w:val="19"/>
          <w:szCs w:val="19"/>
          <w:color w:val="auto"/>
        </w:rPr>
      </w:pPr>
      <w:r>
        <w:rPr>
          <w:rFonts w:ascii="Arial" w:cs="Arial" w:eastAsia="Arial" w:hAnsi="Arial"/>
          <w:sz w:val="19"/>
          <w:szCs w:val="19"/>
          <w:color w:val="auto"/>
        </w:rPr>
        <w:t>During the License Term, in addition to all other covenants, obligations and requirements set forth in this Agreement, the parties hereto agree as follows:</w:t>
      </w:r>
    </w:p>
    <w:p>
      <w:pPr>
        <w:spacing w:after="0" w:line="163" w:lineRule="exact"/>
        <w:rPr>
          <w:rFonts w:ascii="Arial" w:cs="Arial" w:eastAsia="Arial" w:hAnsi="Arial"/>
          <w:sz w:val="19"/>
          <w:szCs w:val="19"/>
          <w:color w:val="auto"/>
        </w:rPr>
      </w:pPr>
    </w:p>
    <w:p>
      <w:pPr>
        <w:ind w:left="620" w:firstLine="620"/>
        <w:spacing w:after="0" w:line="264" w:lineRule="auto"/>
        <w:tabs>
          <w:tab w:leader="none" w:pos="1848"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restaurant premises shall be used solely for the operation of the Kirby Restaurant and the Voss Restaurant licensed hereunder, which shall offer Italian food under the “Carrabba’s” name.</w:t>
      </w:r>
    </w:p>
    <w:p>
      <w:pPr>
        <w:spacing w:after="0" w:line="163" w:lineRule="exact"/>
        <w:rPr>
          <w:rFonts w:ascii="Arial" w:cs="Arial" w:eastAsia="Arial" w:hAnsi="Arial"/>
          <w:sz w:val="19"/>
          <w:szCs w:val="19"/>
          <w:color w:val="auto"/>
        </w:rPr>
      </w:pPr>
    </w:p>
    <w:p>
      <w:pPr>
        <w:jc w:val="both"/>
        <w:ind w:left="620" w:firstLine="620"/>
        <w:spacing w:after="0" w:line="246" w:lineRule="auto"/>
        <w:tabs>
          <w:tab w:leader="none" w:pos="1850" w:val="left"/>
        </w:tabs>
        <w:numPr>
          <w:ilvl w:val="1"/>
          <w:numId w:val="60"/>
        </w:numPr>
        <w:rPr>
          <w:rFonts w:ascii="Arial" w:cs="Arial" w:eastAsia="Arial" w:hAnsi="Arial"/>
          <w:sz w:val="19"/>
          <w:szCs w:val="19"/>
          <w:color w:val="auto"/>
        </w:rPr>
      </w:pPr>
      <w:r>
        <w:rPr>
          <w:rFonts w:ascii="Arial" w:cs="Arial" w:eastAsia="Arial" w:hAnsi="Arial"/>
          <w:sz w:val="19"/>
          <w:szCs w:val="19"/>
          <w:color w:val="auto"/>
        </w:rPr>
        <w:t>CI and CWI (together, the “</w:t>
      </w:r>
      <w:r>
        <w:rPr>
          <w:rFonts w:ascii="Arial" w:cs="Arial" w:eastAsia="Arial" w:hAnsi="Arial"/>
          <w:sz w:val="19"/>
          <w:szCs w:val="19"/>
          <w:u w:val="single" w:color="auto"/>
          <w:color w:val="auto"/>
        </w:rPr>
        <w:t>Licensees</w:t>
      </w:r>
      <w:r>
        <w:rPr>
          <w:rFonts w:ascii="Arial" w:cs="Arial" w:eastAsia="Arial" w:hAnsi="Arial"/>
          <w:sz w:val="19"/>
          <w:szCs w:val="19"/>
          <w:color w:val="auto"/>
        </w:rPr>
        <w:t>”) are each permitted hereunder to (i) use and display the Licensed Marks in connection with advertising, marketing and promotion for the Original Restaurants, including on their websites and applications, menus and marketing materials; (ii) use and display, at the Original Restaurants, interior and exterior signs, logos and marketing using the Licensed Marks; and (iii) otherwise use and display the Licensed Marks as approved by CIGI in writing, in connection with the operation of the Original Restaurants.</w:t>
      </w:r>
    </w:p>
    <w:p>
      <w:pPr>
        <w:spacing w:after="0" w:line="182" w:lineRule="exact"/>
        <w:rPr>
          <w:rFonts w:ascii="Arial" w:cs="Arial" w:eastAsia="Arial" w:hAnsi="Arial"/>
          <w:sz w:val="19"/>
          <w:szCs w:val="19"/>
          <w:color w:val="auto"/>
        </w:rPr>
      </w:pPr>
    </w:p>
    <w:p>
      <w:pPr>
        <w:jc w:val="both"/>
        <w:ind w:left="620" w:firstLine="620"/>
        <w:spacing w:after="0" w:line="263" w:lineRule="auto"/>
        <w:tabs>
          <w:tab w:leader="none" w:pos="1850" w:val="left"/>
        </w:tabs>
        <w:numPr>
          <w:ilvl w:val="1"/>
          <w:numId w:val="60"/>
        </w:numPr>
        <w:rPr>
          <w:rFonts w:ascii="Arial" w:cs="Arial" w:eastAsia="Arial" w:hAnsi="Arial"/>
          <w:sz w:val="18"/>
          <w:szCs w:val="18"/>
          <w:color w:val="auto"/>
        </w:rPr>
      </w:pPr>
      <w:r>
        <w:rPr>
          <w:rFonts w:ascii="Arial" w:cs="Arial" w:eastAsia="Arial" w:hAnsi="Arial"/>
          <w:sz w:val="18"/>
          <w:szCs w:val="18"/>
          <w:color w:val="auto"/>
        </w:rPr>
        <w:t>Licensees shall (i) comply with all federal, state and local laws, rules and regulations, including, but not limited to, applicable data security and privacy laws, and all then-current Payment Card Industry Data Security Standards; and (ii) obtain and maintain all permits, certificates or licenses necessary for the full and proper conduct of the Original Restaurants. Without limiting the foregoing, Licensees shall meet and maintain all health and safety standards at required industry levels or above applicable to the operation of the Kirby Restaurant and/or Voss Restaurant.</w:t>
      </w:r>
    </w:p>
    <w:p>
      <w:pPr>
        <w:spacing w:after="0" w:line="167" w:lineRule="exact"/>
        <w:rPr>
          <w:rFonts w:ascii="Arial" w:cs="Arial" w:eastAsia="Arial" w:hAnsi="Arial"/>
          <w:sz w:val="18"/>
          <w:szCs w:val="18"/>
          <w:color w:val="auto"/>
        </w:rPr>
      </w:pPr>
    </w:p>
    <w:p>
      <w:pPr>
        <w:jc w:val="both"/>
        <w:ind w:left="620" w:firstLine="620"/>
        <w:spacing w:after="0" w:line="248" w:lineRule="auto"/>
        <w:tabs>
          <w:tab w:leader="none" w:pos="1848" w:val="left"/>
        </w:tabs>
        <w:numPr>
          <w:ilvl w:val="1"/>
          <w:numId w:val="60"/>
        </w:numPr>
        <w:rPr>
          <w:rFonts w:ascii="Arial" w:cs="Arial" w:eastAsia="Arial" w:hAnsi="Arial"/>
          <w:sz w:val="19"/>
          <w:szCs w:val="19"/>
          <w:color w:val="auto"/>
        </w:rPr>
      </w:pPr>
      <w:r>
        <w:rPr>
          <w:rFonts w:ascii="Arial" w:cs="Arial" w:eastAsia="Arial" w:hAnsi="Arial"/>
          <w:sz w:val="19"/>
          <w:szCs w:val="19"/>
          <w:color w:val="auto"/>
        </w:rPr>
        <w:t>Licensees shall maintain the interior and exterior of the Original Restaurants with all reasonable cleanliness, sanitation and repair and in accordance with applicable laws and regulations and generally consistent with the prior operation of the Original Restaurants and will ensure that the Original Restaurants maintain adequate staffing and supervision during all hours of operation.</w:t>
      </w:r>
    </w:p>
    <w:p>
      <w:pPr>
        <w:spacing w:after="0" w:line="179" w:lineRule="exact"/>
        <w:rPr>
          <w:rFonts w:ascii="Arial" w:cs="Arial" w:eastAsia="Arial" w:hAnsi="Arial"/>
          <w:sz w:val="19"/>
          <w:szCs w:val="19"/>
          <w:color w:val="auto"/>
        </w:rPr>
      </w:pPr>
    </w:p>
    <w:p>
      <w:pPr>
        <w:ind w:left="620" w:firstLine="620"/>
        <w:spacing w:after="0" w:line="264" w:lineRule="auto"/>
        <w:tabs>
          <w:tab w:leader="none" w:pos="1853" w:val="left"/>
        </w:tabs>
        <w:numPr>
          <w:ilvl w:val="1"/>
          <w:numId w:val="60"/>
        </w:numPr>
        <w:rPr>
          <w:rFonts w:ascii="Arial" w:cs="Arial" w:eastAsia="Arial" w:hAnsi="Arial"/>
          <w:sz w:val="19"/>
          <w:szCs w:val="19"/>
          <w:color w:val="auto"/>
        </w:rPr>
      </w:pPr>
      <w:r>
        <w:rPr>
          <w:rFonts w:ascii="Arial" w:cs="Arial" w:eastAsia="Arial" w:hAnsi="Arial"/>
          <w:sz w:val="19"/>
          <w:szCs w:val="19"/>
          <w:color w:val="auto"/>
        </w:rPr>
        <w:t>Licensees shall maintain in full force and effect insurance policies, written by financially sound and reputable insurance companies, in such amounts, with such</w:t>
      </w:r>
    </w:p>
    <w:p>
      <w:pPr>
        <w:spacing w:after="0" w:line="200" w:lineRule="exact"/>
        <w:rPr>
          <w:sz w:val="20"/>
          <w:szCs w:val="20"/>
          <w:color w:val="auto"/>
        </w:rPr>
      </w:pPr>
    </w:p>
    <w:p>
      <w:pPr>
        <w:spacing w:after="0" w:line="26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20"/>
          </w:cols>
          <w:pgMar w:left="940" w:top="858" w:right="339" w:bottom="1440" w:gutter="0" w:footer="0" w:header="0"/>
        </w:sectPr>
      </w:pPr>
    </w:p>
    <w:bookmarkStart w:id="66" w:name="page67"/>
    <w:bookmarkEnd w:id="66"/>
    <w:p>
      <w:pPr>
        <w:jc w:val="both"/>
        <w:ind w:left="120"/>
        <w:spacing w:after="0" w:line="273" w:lineRule="auto"/>
        <w:rPr>
          <w:sz w:val="20"/>
          <w:szCs w:val="20"/>
          <w:color w:val="auto"/>
        </w:rPr>
      </w:pPr>
      <w:r>
        <w:rPr>
          <w:rFonts w:ascii="Arial" w:cs="Arial" w:eastAsia="Arial" w:hAnsi="Arial"/>
          <w:sz w:val="18"/>
          <w:szCs w:val="18"/>
          <w:color w:val="auto"/>
        </w:rPr>
        <w:t>deductibles and covering such risks as are customary and appropriate for the restaurant industry and the operation of the Original Restaurants, including, but not limited to, comprehensive general liability insurance, liquor liability insurance, automobile liability insurance, workers’ compensation insurance and any other insurance required by applicable law.</w:t>
      </w:r>
    </w:p>
    <w:p>
      <w:pPr>
        <w:spacing w:after="0" w:line="157" w:lineRule="exact"/>
        <w:rPr>
          <w:sz w:val="20"/>
          <w:szCs w:val="20"/>
          <w:color w:val="auto"/>
        </w:rPr>
      </w:pPr>
    </w:p>
    <w:p>
      <w:pPr>
        <w:jc w:val="both"/>
        <w:ind w:left="120" w:firstLine="620"/>
        <w:spacing w:after="0" w:line="273" w:lineRule="auto"/>
        <w:tabs>
          <w:tab w:leader="none" w:pos="1340" w:val="left"/>
        </w:tabs>
        <w:numPr>
          <w:ilvl w:val="2"/>
          <w:numId w:val="61"/>
        </w:numPr>
        <w:rPr>
          <w:rFonts w:ascii="Arial" w:cs="Arial" w:eastAsia="Arial" w:hAnsi="Arial"/>
          <w:sz w:val="18"/>
          <w:szCs w:val="18"/>
          <w:color w:val="auto"/>
        </w:rPr>
      </w:pPr>
      <w:r>
        <w:rPr>
          <w:rFonts w:ascii="Arial" w:cs="Arial" w:eastAsia="Arial" w:hAnsi="Arial"/>
          <w:sz w:val="18"/>
          <w:szCs w:val="18"/>
          <w:color w:val="auto"/>
        </w:rPr>
        <w:t>Licensees shall identify themselves as the owner(s) of the Original Restaurants in conjunction with any use of the Licensed Marks, including, but not limited to, uses on invoices, order forms, receipts, contracts, business forms, websites, and social media accounts, as well as the display of a conspicuous notice on the premises of the Original Restaurants.</w:t>
      </w:r>
    </w:p>
    <w:p>
      <w:pPr>
        <w:spacing w:after="0" w:line="157" w:lineRule="exact"/>
        <w:rPr>
          <w:rFonts w:ascii="Arial" w:cs="Arial" w:eastAsia="Arial" w:hAnsi="Arial"/>
          <w:sz w:val="18"/>
          <w:szCs w:val="18"/>
          <w:color w:val="auto"/>
        </w:rPr>
      </w:pPr>
    </w:p>
    <w:p>
      <w:pPr>
        <w:ind w:left="1340" w:hanging="600"/>
        <w:spacing w:after="0"/>
        <w:tabs>
          <w:tab w:leader="none" w:pos="1340" w:val="left"/>
        </w:tabs>
        <w:numPr>
          <w:ilvl w:val="2"/>
          <w:numId w:val="61"/>
        </w:numPr>
        <w:rPr>
          <w:rFonts w:ascii="Arial" w:cs="Arial" w:eastAsia="Arial" w:hAnsi="Arial"/>
          <w:sz w:val="19"/>
          <w:szCs w:val="19"/>
          <w:color w:val="auto"/>
        </w:rPr>
      </w:pPr>
      <w:r>
        <w:rPr>
          <w:rFonts w:ascii="Arial" w:cs="Arial" w:eastAsia="Arial" w:hAnsi="Arial"/>
          <w:sz w:val="19"/>
          <w:szCs w:val="19"/>
          <w:color w:val="auto"/>
        </w:rPr>
        <w:t>Licensees shall not use the Licensed Marks as part of their corporate or other legal name.</w:t>
      </w:r>
    </w:p>
    <w:p>
      <w:pPr>
        <w:spacing w:after="0" w:line="206" w:lineRule="exact"/>
        <w:rPr>
          <w:rFonts w:ascii="Arial" w:cs="Arial" w:eastAsia="Arial" w:hAnsi="Arial"/>
          <w:sz w:val="19"/>
          <w:szCs w:val="19"/>
          <w:color w:val="auto"/>
        </w:rPr>
      </w:pPr>
    </w:p>
    <w:p>
      <w:pPr>
        <w:ind w:left="120" w:firstLine="620"/>
        <w:spacing w:after="0" w:line="264" w:lineRule="auto"/>
        <w:tabs>
          <w:tab w:leader="none" w:pos="1348" w:val="left"/>
        </w:tabs>
        <w:numPr>
          <w:ilvl w:val="2"/>
          <w:numId w:val="61"/>
        </w:numPr>
        <w:rPr>
          <w:rFonts w:ascii="Arial" w:cs="Arial" w:eastAsia="Arial" w:hAnsi="Arial"/>
          <w:sz w:val="19"/>
          <w:szCs w:val="19"/>
          <w:color w:val="auto"/>
        </w:rPr>
      </w:pPr>
      <w:r>
        <w:rPr>
          <w:rFonts w:ascii="Arial" w:cs="Arial" w:eastAsia="Arial" w:hAnsi="Arial"/>
          <w:sz w:val="19"/>
          <w:szCs w:val="19"/>
          <w:color w:val="auto"/>
        </w:rPr>
        <w:t>Licensees will not operate the Original Restaurants or use the Licensed Marks or System in any manner that reflects adversely in a material manner on the Carrabba’s Italian Grill® brand or System.</w:t>
      </w:r>
    </w:p>
    <w:p>
      <w:pPr>
        <w:spacing w:after="0" w:line="163" w:lineRule="exact"/>
        <w:rPr>
          <w:rFonts w:ascii="Arial" w:cs="Arial" w:eastAsia="Arial" w:hAnsi="Arial"/>
          <w:sz w:val="19"/>
          <w:szCs w:val="19"/>
          <w:color w:val="auto"/>
        </w:rPr>
      </w:pPr>
    </w:p>
    <w:p>
      <w:pPr>
        <w:jc w:val="both"/>
        <w:ind w:left="-500" w:firstLine="621"/>
        <w:spacing w:after="0" w:line="252" w:lineRule="auto"/>
        <w:tabs>
          <w:tab w:leader="none" w:pos="734"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The right to use the Licensed Marks and System granted to CI and CWI pursuant to the License Agreements is </w:t>
      </w:r>
      <w:r>
        <w:rPr>
          <w:rFonts w:ascii="Arial" w:cs="Arial" w:eastAsia="Arial" w:hAnsi="Arial"/>
          <w:sz w:val="19"/>
          <w:szCs w:val="19"/>
          <w:u w:val="single" w:color="auto"/>
          <w:color w:val="auto"/>
        </w:rPr>
        <w:t>non-exclusive</w:t>
      </w:r>
      <w:r>
        <w:rPr>
          <w:rFonts w:ascii="Arial" w:cs="Arial" w:eastAsia="Arial" w:hAnsi="Arial"/>
          <w:sz w:val="19"/>
          <w:szCs w:val="19"/>
          <w:color w:val="auto"/>
        </w:rPr>
        <w:t xml:space="preserve"> and limited solely to the operation of the Original Restaurants. CIGI and its Affiliates have and retain all other rights to the Licensed Marks and all other Carrabba’s IP not expressly granted to Licensees in this Agreement.</w:t>
      </w:r>
    </w:p>
    <w:p>
      <w:pPr>
        <w:spacing w:after="0" w:line="175" w:lineRule="exact"/>
        <w:rPr>
          <w:rFonts w:ascii="Arial" w:cs="Arial" w:eastAsia="Arial" w:hAnsi="Arial"/>
          <w:sz w:val="19"/>
          <w:szCs w:val="19"/>
          <w:color w:val="auto"/>
        </w:rPr>
      </w:pPr>
    </w:p>
    <w:p>
      <w:pPr>
        <w:jc w:val="both"/>
        <w:ind w:left="-500" w:firstLine="621"/>
        <w:spacing w:after="0" w:line="252" w:lineRule="auto"/>
        <w:tabs>
          <w:tab w:leader="none" w:pos="727" w:val="left"/>
        </w:tabs>
        <w:numPr>
          <w:ilvl w:val="1"/>
          <w:numId w:val="62"/>
        </w:numPr>
        <w:rPr>
          <w:rFonts w:ascii="Arial" w:cs="Arial" w:eastAsia="Arial" w:hAnsi="Arial"/>
          <w:sz w:val="19"/>
          <w:szCs w:val="19"/>
          <w:color w:val="auto"/>
        </w:rPr>
      </w:pPr>
      <w:r>
        <w:rPr>
          <w:rFonts w:ascii="Arial" w:cs="Arial" w:eastAsia="Arial" w:hAnsi="Arial"/>
          <w:sz w:val="19"/>
          <w:szCs w:val="19"/>
          <w:color w:val="auto"/>
        </w:rPr>
        <w:t>Notwithstanding any language to the contrary in this Agreement, it is expressly understood and agreed that the License Agreements do not grant any rights to Licensees to use the Excluded Marks (or any part or variation thereof). Any use of the Excluded Marks will be deemed a material breach of this Agreement.</w:t>
      </w:r>
    </w:p>
    <w:p>
      <w:pPr>
        <w:spacing w:after="0" w:line="175" w:lineRule="exact"/>
        <w:rPr>
          <w:rFonts w:ascii="Arial" w:cs="Arial" w:eastAsia="Arial" w:hAnsi="Arial"/>
          <w:sz w:val="19"/>
          <w:szCs w:val="19"/>
          <w:color w:val="auto"/>
        </w:rPr>
      </w:pPr>
    </w:p>
    <w:p>
      <w:pPr>
        <w:jc w:val="both"/>
        <w:ind w:left="-500" w:firstLine="621"/>
        <w:spacing w:after="0" w:line="248" w:lineRule="auto"/>
        <w:tabs>
          <w:tab w:leader="none" w:pos="727" w:val="left"/>
        </w:tabs>
        <w:numPr>
          <w:ilvl w:val="1"/>
          <w:numId w:val="62"/>
        </w:numPr>
        <w:rPr>
          <w:rFonts w:ascii="Arial" w:cs="Arial" w:eastAsia="Arial" w:hAnsi="Arial"/>
          <w:sz w:val="19"/>
          <w:szCs w:val="19"/>
          <w:color w:val="auto"/>
        </w:rPr>
      </w:pPr>
      <w:r>
        <w:rPr>
          <w:rFonts w:ascii="Arial" w:cs="Arial" w:eastAsia="Arial" w:hAnsi="Arial"/>
          <w:sz w:val="19"/>
          <w:szCs w:val="19"/>
          <w:color w:val="auto"/>
        </w:rPr>
        <w:t>Licensees agree that any unauthorized use of the Licensed Marks or other Carrabba’s IP shall constitute an infringement of CIGI’s rights and a breach of this Agreement. Without limiting the generality of the foregoing, Licensees shall not use, or authorize any other party to use, the Licensed Marks in connection with the manufacture of any product, unless otherwise agreed in writing by CIGI, in its sole discretion.</w:t>
      </w:r>
    </w:p>
    <w:p>
      <w:pPr>
        <w:spacing w:after="0" w:line="179" w:lineRule="exact"/>
        <w:rPr>
          <w:rFonts w:ascii="Arial" w:cs="Arial" w:eastAsia="Arial" w:hAnsi="Arial"/>
          <w:sz w:val="19"/>
          <w:szCs w:val="19"/>
          <w:color w:val="auto"/>
        </w:rPr>
      </w:pPr>
    </w:p>
    <w:p>
      <w:pPr>
        <w:jc w:val="both"/>
        <w:ind w:left="-500" w:firstLine="621"/>
        <w:spacing w:after="0" w:line="282" w:lineRule="auto"/>
        <w:tabs>
          <w:tab w:leader="none" w:pos="737" w:val="left"/>
        </w:tabs>
        <w:numPr>
          <w:ilvl w:val="1"/>
          <w:numId w:val="62"/>
        </w:numPr>
        <w:rPr>
          <w:rFonts w:ascii="Arial" w:cs="Arial" w:eastAsia="Arial" w:hAnsi="Arial"/>
          <w:sz w:val="17"/>
          <w:szCs w:val="17"/>
          <w:color w:val="auto"/>
        </w:rPr>
      </w:pPr>
      <w:r>
        <w:rPr>
          <w:rFonts w:ascii="Arial" w:cs="Arial" w:eastAsia="Arial" w:hAnsi="Arial"/>
          <w:sz w:val="17"/>
          <w:szCs w:val="17"/>
          <w:color w:val="auto"/>
        </w:rPr>
        <w:t>Licensees shall promptly notify CIGI if any legal action is instituted against Licensee(s) relating to their use of the Licensed Marks, and CIGI shall have the right to take all actions it deems necessary or appropriate to protect its ownership and interest in the Proprietary Marks. Licensees shall have the right, but not the obligation, to participate and cooperate with CIGI in any such action. Licensees shall promptly notify CIGI of any actual or potential (based upon Licensees good faith belief) infringement, counterfeiting, challenge, or unauthorized use of the Licensed Marks or other Carrabba’s IP by any third party of which Licensee(s) become aware.</w:t>
      </w:r>
    </w:p>
    <w:p>
      <w:pPr>
        <w:spacing w:after="0" w:line="153" w:lineRule="exact"/>
        <w:rPr>
          <w:rFonts w:ascii="Arial" w:cs="Arial" w:eastAsia="Arial" w:hAnsi="Arial"/>
          <w:sz w:val="17"/>
          <w:szCs w:val="17"/>
          <w:color w:val="auto"/>
        </w:rPr>
      </w:pPr>
    </w:p>
    <w:p>
      <w:pPr>
        <w:jc w:val="both"/>
        <w:ind w:left="-500" w:firstLine="543"/>
        <w:spacing w:after="0" w:line="267" w:lineRule="auto"/>
        <w:tabs>
          <w:tab w:leader="none" w:pos="7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CIGI is not required to protect Licensees’ right to use the Licensed Marks, nor to protect Licensees against third party claims of infringement or unfair competition arising from their use of the Licensed Marks. Without limiting the foregoing, CIGI shall not be required to defend or indemnify CI or CWI for expenses or damages if CI or CWI is a party to an administrative or judicial proceeding involving any Licensed Marks or if the proceeding is resolved unfavorably to CI and/or CWI.</w:t>
      </w:r>
    </w:p>
    <w:p>
      <w:pPr>
        <w:spacing w:after="0" w:line="200" w:lineRule="exact"/>
        <w:rPr>
          <w:sz w:val="20"/>
          <w:szCs w:val="20"/>
          <w:color w:val="auto"/>
        </w:rPr>
      </w:pPr>
    </w:p>
    <w:p>
      <w:pPr>
        <w:spacing w:after="0" w:line="26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120"/>
          </w:cols>
          <w:pgMar w:left="1440" w:top="858" w:right="339" w:bottom="1440" w:gutter="0" w:footer="0" w:header="0"/>
        </w:sectPr>
      </w:pPr>
    </w:p>
    <w:bookmarkStart w:id="67" w:name="page68"/>
    <w:bookmarkEnd w:id="67"/>
    <w:p>
      <w:pPr>
        <w:jc w:val="both"/>
        <w:ind w:left="620" w:firstLine="543"/>
        <w:spacing w:after="0" w:line="245" w:lineRule="auto"/>
        <w:tabs>
          <w:tab w:leader="none" w:pos="1847" w:val="left"/>
        </w:tabs>
        <w:numPr>
          <w:ilvl w:val="1"/>
          <w:numId w:val="64"/>
        </w:numPr>
        <w:rPr>
          <w:rFonts w:ascii="Arial" w:cs="Arial" w:eastAsia="Arial" w:hAnsi="Arial"/>
          <w:sz w:val="19"/>
          <w:szCs w:val="19"/>
          <w:color w:val="auto"/>
        </w:rPr>
      </w:pPr>
      <w:r>
        <w:rPr>
          <w:rFonts w:ascii="Arial" w:cs="Arial" w:eastAsia="Arial" w:hAnsi="Arial"/>
          <w:sz w:val="19"/>
          <w:szCs w:val="19"/>
          <w:color w:val="auto"/>
        </w:rPr>
        <w:t>Except for Permitted Transfers and Employee Transfers (as those terms are defined in Section 16), the License Agreements shall not be directly or indirectly assigned or transferred, in whole or in part, without CIGI’s prior written consent in accordance with the terms of Section 16 and compliance with the ROFR in Section 8. Any purported transfer, by operation of law or otherwise, in violation of those provisions, shall be null and void and shall constitute a breach of this Agreement. Without limiting the foregoing, the parties agree that any change-in-control of CI or CWI shall be deemed a “transfer” unless such change-in-control is in favor of a Permitted Transferee or is an Employee Transfer.</w:t>
      </w:r>
    </w:p>
    <w:p>
      <w:pPr>
        <w:spacing w:after="0" w:line="183" w:lineRule="exact"/>
        <w:rPr>
          <w:rFonts w:ascii="Arial" w:cs="Arial" w:eastAsia="Arial" w:hAnsi="Arial"/>
          <w:sz w:val="19"/>
          <w:szCs w:val="19"/>
          <w:color w:val="auto"/>
        </w:rPr>
      </w:pPr>
    </w:p>
    <w:p>
      <w:pPr>
        <w:jc w:val="both"/>
        <w:ind w:left="620" w:firstLine="621"/>
        <w:spacing w:after="0" w:line="261" w:lineRule="auto"/>
        <w:tabs>
          <w:tab w:leader="none" w:pos="1857"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CIGI reasonably determines that either CI or CWI is in material default of its obligations under the Kirby License or Voss License, as applicable, CIGI may, at its option, notify the defaulting party that it will have thirty (30) calendar days after its receipt of such written notice of default within which to remedy such material default (or such longer period if CI or CWI promptly and diligently works to remedy such default, if completion of the cure reasonably takes longer than thirty (30) calendar days), and to provide evidence of such remedy to CIGI. If such default is not cured within the specified time, CIGI will have the right to immediately terminate the applicable License Agreement by providing written notice of termination to the defaulting party.</w:t>
      </w:r>
    </w:p>
    <w:p>
      <w:pPr>
        <w:spacing w:after="0" w:line="170" w:lineRule="exact"/>
        <w:rPr>
          <w:rFonts w:ascii="Arial" w:cs="Arial" w:eastAsia="Arial" w:hAnsi="Arial"/>
          <w:sz w:val="18"/>
          <w:szCs w:val="18"/>
          <w:color w:val="auto"/>
        </w:rPr>
      </w:pPr>
    </w:p>
    <w:p>
      <w:pPr>
        <w:jc w:val="both"/>
        <w:ind w:left="620" w:firstLine="621"/>
        <w:spacing w:after="0" w:line="244" w:lineRule="auto"/>
        <w:tabs>
          <w:tab w:leader="none" w:pos="1848" w:val="left"/>
        </w:tabs>
        <w:numPr>
          <w:ilvl w:val="2"/>
          <w:numId w:val="64"/>
        </w:numPr>
        <w:rPr>
          <w:rFonts w:ascii="Arial" w:cs="Arial" w:eastAsia="Arial" w:hAnsi="Arial"/>
          <w:sz w:val="19"/>
          <w:szCs w:val="19"/>
          <w:color w:val="auto"/>
        </w:rPr>
      </w:pPr>
      <w:r>
        <w:rPr>
          <w:rFonts w:ascii="Arial" w:cs="Arial" w:eastAsia="Arial" w:hAnsi="Arial"/>
          <w:sz w:val="19"/>
          <w:szCs w:val="19"/>
          <w:color w:val="auto"/>
        </w:rPr>
        <w:t>The Kirby License or Voss License, as applicable, shall automatically terminate without notice if CI or CWI: (i) close or cease operations of the Kirby Restaurant or the Voss Restaurant, including any rebranding of such restaurant(s), other than a temporary closure as provided in Section 7(d) above; (ii) files a voluntary petition in bankruptcy or any pleading seeking any reorganization, liquidation, or dissolution under any law, or admits or fails to contest the material allegations of any such pleading filed against it; (iii) an order for relief is entered against it under the Bankruptcy Code; (iv) is adjudicated as insolvent; (v) a receiver is appointed for a substantial part of its assets; (vi) there is an abatement of the claims of creditors of such party under any law; or (vii) such party is voluntarily or involuntarily liquidated by or for the benefit of creditors or makes an assignment for the benefit of creditors, or similarly disposes of its assets.</w:t>
      </w:r>
    </w:p>
    <w:p>
      <w:pPr>
        <w:spacing w:after="0" w:line="182" w:lineRule="exact"/>
        <w:rPr>
          <w:rFonts w:ascii="Arial" w:cs="Arial" w:eastAsia="Arial" w:hAnsi="Arial"/>
          <w:sz w:val="19"/>
          <w:szCs w:val="19"/>
          <w:color w:val="auto"/>
        </w:rPr>
      </w:pPr>
    </w:p>
    <w:p>
      <w:pPr>
        <w:jc w:val="both"/>
        <w:ind w:left="620" w:firstLine="621"/>
        <w:spacing w:after="0" w:line="296" w:lineRule="auto"/>
        <w:tabs>
          <w:tab w:leader="none" w:pos="1847" w:val="left"/>
        </w:tabs>
        <w:numPr>
          <w:ilvl w:val="2"/>
          <w:numId w:val="64"/>
        </w:numPr>
        <w:rPr>
          <w:rFonts w:ascii="Arial" w:cs="Arial" w:eastAsia="Arial" w:hAnsi="Arial"/>
          <w:sz w:val="17"/>
          <w:szCs w:val="17"/>
          <w:color w:val="auto"/>
        </w:rPr>
      </w:pPr>
      <w:r>
        <w:rPr>
          <w:rFonts w:ascii="Arial" w:cs="Arial" w:eastAsia="Arial" w:hAnsi="Arial"/>
          <w:sz w:val="17"/>
          <w:szCs w:val="17"/>
          <w:color w:val="auto"/>
        </w:rPr>
        <w:t>Upon termination of the License Agreement(s) for any reason, Licensee(s) shall immediately cease to use the System and Licensed Marks and shall promptly make such modifications or alterations to the premises of the Kirby Restaurant and/or the Voss Restaurant, as applicable, to distinguish the appearance of said premises from that of other Carrabba’s Italian Grill® restaurants.</w:t>
      </w:r>
    </w:p>
    <w:p>
      <w:pPr>
        <w:spacing w:after="0" w:line="140" w:lineRule="exact"/>
        <w:rPr>
          <w:rFonts w:ascii="Arial" w:cs="Arial" w:eastAsia="Arial" w:hAnsi="Arial"/>
          <w:sz w:val="17"/>
          <w:szCs w:val="17"/>
          <w:color w:val="auto"/>
        </w:rPr>
      </w:pPr>
    </w:p>
    <w:p>
      <w:pPr>
        <w:jc w:val="both"/>
        <w:ind w:left="620" w:firstLine="621"/>
        <w:spacing w:after="0" w:line="261" w:lineRule="auto"/>
        <w:tabs>
          <w:tab w:leader="none" w:pos="1847" w:val="left"/>
        </w:tabs>
        <w:numPr>
          <w:ilvl w:val="2"/>
          <w:numId w:val="64"/>
        </w:numPr>
        <w:rPr>
          <w:rFonts w:ascii="Arial" w:cs="Arial" w:eastAsia="Arial" w:hAnsi="Arial"/>
          <w:sz w:val="18"/>
          <w:szCs w:val="18"/>
          <w:color w:val="auto"/>
        </w:rPr>
      </w:pPr>
      <w:r>
        <w:rPr>
          <w:rFonts w:ascii="Arial" w:cs="Arial" w:eastAsia="Arial" w:hAnsi="Arial"/>
          <w:sz w:val="18"/>
          <w:szCs w:val="18"/>
          <w:color w:val="auto"/>
        </w:rPr>
        <w:t>While the Kirby Restaurant is currently located at 3115 Kirby Drive, Houston, Texas 77098 and the Voss Restaurant is currently located at 1399 South Voss Road, Houston, Texas 77057, in the event CI (with respect to the Kirby Restaurant) or CWI (with respect to the Voss Restaurant) determines it is necessary or desirable to relocate its respective restaurant, it shall be entitled to do so as long as (i) the new restaurant location is within a five (5) mile radius of the original location; (ii) the new restaurant location is substantially of the same quality of building and improvement as the original restaurant; and (iii) the premises of the original restaurant is modified to distinguish its appearance from that of other Carrabba’s Italian Grill® restaurants.</w:t>
      </w:r>
    </w:p>
    <w:p>
      <w:pPr>
        <w:spacing w:after="0" w:line="164" w:lineRule="exact"/>
        <w:rPr>
          <w:rFonts w:ascii="Arial" w:cs="Arial" w:eastAsia="Arial" w:hAnsi="Arial"/>
          <w:sz w:val="18"/>
          <w:szCs w:val="18"/>
          <w:color w:val="auto"/>
        </w:rPr>
      </w:pPr>
    </w:p>
    <w:p>
      <w:pPr>
        <w:ind w:left="1240" w:hanging="618"/>
        <w:spacing w:after="0"/>
        <w:tabs>
          <w:tab w:leader="none" w:pos="1240" w:val="left"/>
        </w:tabs>
        <w:numPr>
          <w:ilvl w:val="0"/>
          <w:numId w:val="65"/>
        </w:numPr>
        <w:rPr>
          <w:rFonts w:ascii="Arial" w:cs="Arial" w:eastAsia="Arial" w:hAnsi="Arial"/>
          <w:sz w:val="17"/>
          <w:szCs w:val="17"/>
          <w:color w:val="auto"/>
        </w:rPr>
      </w:pPr>
      <w:r>
        <w:rPr>
          <w:rFonts w:ascii="Arial" w:cs="Arial" w:eastAsia="Arial" w:hAnsi="Arial"/>
          <w:sz w:val="17"/>
          <w:szCs w:val="17"/>
          <w:b w:val="1"/>
          <w:bCs w:val="1"/>
          <w:u w:val="single" w:color="auto"/>
          <w:color w:val="auto"/>
        </w:rPr>
        <w:t>ROFR</w:t>
      </w:r>
      <w:r>
        <w:rPr>
          <w:rFonts w:ascii="Arial" w:cs="Arial" w:eastAsia="Arial" w:hAnsi="Arial"/>
          <w:sz w:val="17"/>
          <w:szCs w:val="17"/>
          <w:color w:val="auto"/>
        </w:rPr>
        <w:t>. For so long as the Kirby License and/or the Voss License remain in effect, CIGI will have a right of first refusal (“</w:t>
      </w:r>
      <w:r>
        <w:rPr>
          <w:rFonts w:ascii="Arial" w:cs="Arial" w:eastAsia="Arial" w:hAnsi="Arial"/>
          <w:sz w:val="17"/>
          <w:szCs w:val="17"/>
          <w:u w:val="single" w:color="auto"/>
          <w:color w:val="auto"/>
        </w:rPr>
        <w:t>ROFR</w:t>
      </w:r>
      <w:r>
        <w:rPr>
          <w:rFonts w:ascii="Arial" w:cs="Arial" w:eastAsia="Arial" w:hAnsi="Arial"/>
          <w:sz w:val="17"/>
          <w:szCs w:val="17"/>
          <w:color w:val="auto"/>
        </w:rPr>
        <w:t>”),</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as follows:</w:t>
      </w:r>
    </w:p>
    <w:p>
      <w:pPr>
        <w:spacing w:after="0" w:line="190" w:lineRule="exact"/>
        <w:rPr>
          <w:rFonts w:ascii="Arial" w:cs="Arial" w:eastAsia="Arial" w:hAnsi="Arial"/>
          <w:sz w:val="17"/>
          <w:szCs w:val="17"/>
          <w:color w:val="auto"/>
        </w:rPr>
      </w:pPr>
    </w:p>
    <w:p>
      <w:pPr>
        <w:jc w:val="both"/>
        <w:ind w:left="620" w:firstLine="621"/>
        <w:spacing w:after="0" w:line="273" w:lineRule="auto"/>
        <w:tabs>
          <w:tab w:leader="none" w:pos="1850" w:val="left"/>
        </w:tabs>
        <w:numPr>
          <w:ilvl w:val="2"/>
          <w:numId w:val="65"/>
        </w:numPr>
        <w:rPr>
          <w:rFonts w:ascii="Arial" w:cs="Arial" w:eastAsia="Arial" w:hAnsi="Arial"/>
          <w:sz w:val="18"/>
          <w:szCs w:val="18"/>
          <w:color w:val="auto"/>
        </w:rPr>
      </w:pPr>
      <w:r>
        <w:rPr>
          <w:rFonts w:ascii="Arial" w:cs="Arial" w:eastAsia="Arial" w:hAnsi="Arial"/>
          <w:sz w:val="18"/>
          <w:szCs w:val="18"/>
          <w:color w:val="auto"/>
        </w:rPr>
        <w:t>Any Founder(s) (hereinafter “</w:t>
      </w:r>
      <w:r>
        <w:rPr>
          <w:rFonts w:ascii="Arial" w:cs="Arial" w:eastAsia="Arial" w:hAnsi="Arial"/>
          <w:sz w:val="18"/>
          <w:szCs w:val="18"/>
          <w:u w:val="single" w:color="auto"/>
          <w:color w:val="auto"/>
        </w:rPr>
        <w:t>Transferor</w:t>
      </w:r>
      <w:r>
        <w:rPr>
          <w:rFonts w:ascii="Arial" w:cs="Arial" w:eastAsia="Arial" w:hAnsi="Arial"/>
          <w:sz w:val="18"/>
          <w:szCs w:val="18"/>
          <w:color w:val="auto"/>
        </w:rPr>
        <w:t>”) desiring to accept a bona fide offer from a prospective purchaser of any interest in the Kirby Restaurant and/or Voss Restaurant (whether by sale of assets, sale of equity interest, merger, consolidation or otherwise) shall, within five (5) business days of receipt of such offer and prior to acceptance thereof, provide written notice to</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064" w:right="339" w:bottom="1440" w:gutter="0" w:footer="0" w:header="0"/>
        </w:sectPr>
      </w:pPr>
    </w:p>
    <w:bookmarkStart w:id="68" w:name="page69"/>
    <w:bookmarkEnd w:id="68"/>
    <w:p>
      <w:pPr>
        <w:jc w:val="both"/>
        <w:spacing w:after="0" w:line="252" w:lineRule="auto"/>
        <w:rPr>
          <w:sz w:val="20"/>
          <w:szCs w:val="20"/>
          <w:color w:val="auto"/>
        </w:rPr>
      </w:pPr>
      <w:r>
        <w:rPr>
          <w:rFonts w:ascii="Arial" w:cs="Arial" w:eastAsia="Arial" w:hAnsi="Arial"/>
          <w:sz w:val="19"/>
          <w:szCs w:val="19"/>
          <w:color w:val="auto"/>
        </w:rPr>
        <w:t>CIGI (hereinafter “</w:t>
      </w:r>
      <w:r>
        <w:rPr>
          <w:rFonts w:ascii="Arial" w:cs="Arial" w:eastAsia="Arial" w:hAnsi="Arial"/>
          <w:sz w:val="19"/>
          <w:szCs w:val="19"/>
          <w:u w:val="single" w:color="auto"/>
          <w:color w:val="auto"/>
        </w:rPr>
        <w:t>Notice of Offer</w:t>
      </w:r>
      <w:r>
        <w:rPr>
          <w:rFonts w:ascii="Arial" w:cs="Arial" w:eastAsia="Arial" w:hAnsi="Arial"/>
          <w:sz w:val="19"/>
          <w:szCs w:val="19"/>
          <w:color w:val="auto"/>
        </w:rPr>
        <w:t>”) of each such offer. The Notice of Offer shall specify the interest to be transferred (hereinafter “</w:t>
      </w:r>
      <w:r>
        <w:rPr>
          <w:rFonts w:ascii="Arial" w:cs="Arial" w:eastAsia="Arial" w:hAnsi="Arial"/>
          <w:sz w:val="19"/>
          <w:szCs w:val="19"/>
          <w:u w:val="single" w:color="auto"/>
          <w:color w:val="auto"/>
        </w:rPr>
        <w:t>Interest</w:t>
      </w:r>
      <w:r>
        <w:rPr>
          <w:rFonts w:ascii="Arial" w:cs="Arial" w:eastAsia="Arial" w:hAnsi="Arial"/>
          <w:sz w:val="19"/>
          <w:szCs w:val="19"/>
          <w:color w:val="auto"/>
        </w:rPr>
        <w:t>”), the identity of the offeror, the purchase price and manner of payment. Transferor shall also provide such other documents and information relating to the offeror and/or the offer as CIGI reasonably requests.</w:t>
      </w:r>
    </w:p>
    <w:p>
      <w:pPr>
        <w:spacing w:after="0" w:line="176" w:lineRule="exact"/>
        <w:rPr>
          <w:sz w:val="20"/>
          <w:szCs w:val="20"/>
          <w:color w:val="auto"/>
        </w:rPr>
      </w:pPr>
    </w:p>
    <w:p>
      <w:pPr>
        <w:jc w:val="both"/>
        <w:ind w:firstLine="621"/>
        <w:spacing w:after="0" w:line="272" w:lineRule="auto"/>
        <w:tabs>
          <w:tab w:leader="none" w:pos="1227" w:val="left"/>
        </w:tabs>
        <w:numPr>
          <w:ilvl w:val="1"/>
          <w:numId w:val="66"/>
        </w:numPr>
        <w:rPr>
          <w:rFonts w:ascii="Arial" w:cs="Arial" w:eastAsia="Arial" w:hAnsi="Arial"/>
          <w:sz w:val="17"/>
          <w:szCs w:val="17"/>
          <w:color w:val="auto"/>
        </w:rPr>
      </w:pPr>
      <w:r>
        <w:rPr>
          <w:rFonts w:ascii="Arial" w:cs="Arial" w:eastAsia="Arial" w:hAnsi="Arial"/>
          <w:sz w:val="17"/>
          <w:szCs w:val="17"/>
          <w:color w:val="auto"/>
        </w:rPr>
        <w:t>Upon receipt of a Notice of Offer, CIGI shall have the right and option to purchase, and Transferor shall be obligated to sell to CIGI, the Interest upon the same terms and conditions contained in the Notice of Offer. In the event the consideration, terms and/or conditions contained in the Notice of Offer are such that CIGI may not reasonably be required to furnish the same consideration, terms and/or conditions, CIGI shall notify Transferor and CIGI shall have the right to substitute therefor the reasonable cash equivalent. If CIGI and Transferor cannot agree on the reasonable cash equivalent within fifteen (15) business days of receipt of the Notice of Offer, CIGI and Transferor shall each appoint an independent, qualified M.A.I. appraiser to determine the reasonable cash equivalent. If the two</w:t>
      </w:r>
    </w:p>
    <w:p>
      <w:pPr>
        <w:spacing w:after="0" w:line="1" w:lineRule="exact"/>
        <w:rPr>
          <w:rFonts w:ascii="Arial" w:cs="Arial" w:eastAsia="Arial" w:hAnsi="Arial"/>
          <w:sz w:val="17"/>
          <w:szCs w:val="17"/>
          <w:color w:val="auto"/>
        </w:rPr>
      </w:pPr>
    </w:p>
    <w:p>
      <w:pPr>
        <w:jc w:val="both"/>
        <w:ind w:firstLine="2"/>
        <w:spacing w:after="0" w:line="243" w:lineRule="auto"/>
        <w:tabs>
          <w:tab w:leader="none" w:pos="308" w:val="left"/>
        </w:tabs>
        <w:numPr>
          <w:ilvl w:val="0"/>
          <w:numId w:val="67"/>
        </w:numPr>
        <w:rPr>
          <w:rFonts w:ascii="Arial" w:cs="Arial" w:eastAsia="Arial" w:hAnsi="Arial"/>
          <w:sz w:val="19"/>
          <w:szCs w:val="19"/>
          <w:color w:val="auto"/>
        </w:rPr>
      </w:pPr>
      <w:r>
        <w:rPr>
          <w:rFonts w:ascii="Arial" w:cs="Arial" w:eastAsia="Arial" w:hAnsi="Arial"/>
          <w:sz w:val="19"/>
          <w:szCs w:val="19"/>
          <w:color w:val="auto"/>
        </w:rPr>
        <w:t>appraisers so appointed cannot agree on the reasonable cash equivalent, they shall appoint a third independent, qualified M.A.I. appraiser to determine a third appraisal of the reasonable cash equivalent. The final reasonable cash equivalent shall be the average of the two (2) closest appraisals. The determination of such appraisers shall be final and binding on all parties.</w:t>
      </w:r>
    </w:p>
    <w:p>
      <w:pPr>
        <w:spacing w:after="0" w:line="184" w:lineRule="exact"/>
        <w:rPr>
          <w:rFonts w:ascii="Arial" w:cs="Arial" w:eastAsia="Arial" w:hAnsi="Arial"/>
          <w:sz w:val="19"/>
          <w:szCs w:val="19"/>
          <w:color w:val="auto"/>
        </w:rPr>
      </w:pPr>
    </w:p>
    <w:p>
      <w:pPr>
        <w:jc w:val="both"/>
        <w:ind w:firstLine="621"/>
        <w:spacing w:after="0" w:line="245" w:lineRule="auto"/>
        <w:tabs>
          <w:tab w:leader="none" w:pos="1230" w:val="left"/>
        </w:tabs>
        <w:numPr>
          <w:ilvl w:val="1"/>
          <w:numId w:val="67"/>
        </w:numPr>
        <w:rPr>
          <w:rFonts w:ascii="Arial" w:cs="Arial" w:eastAsia="Arial" w:hAnsi="Arial"/>
          <w:sz w:val="19"/>
          <w:szCs w:val="19"/>
          <w:color w:val="auto"/>
        </w:rPr>
      </w:pPr>
      <w:r>
        <w:rPr>
          <w:rFonts w:ascii="Arial" w:cs="Arial" w:eastAsia="Arial" w:hAnsi="Arial"/>
          <w:sz w:val="19"/>
          <w:szCs w:val="19"/>
          <w:color w:val="auto"/>
        </w:rPr>
        <w:t>CIGI may exercise the ROFR granted in this Section 8 by providing written notice (“</w:t>
      </w:r>
      <w:r>
        <w:rPr>
          <w:rFonts w:ascii="Arial" w:cs="Arial" w:eastAsia="Arial" w:hAnsi="Arial"/>
          <w:sz w:val="19"/>
          <w:szCs w:val="19"/>
          <w:u w:val="single" w:color="auto"/>
          <w:color w:val="auto"/>
        </w:rPr>
        <w:t>Notice of Exercise</w:t>
      </w:r>
      <w:r>
        <w:rPr>
          <w:rFonts w:ascii="Arial" w:cs="Arial" w:eastAsia="Arial" w:hAnsi="Arial"/>
          <w:sz w:val="19"/>
          <w:szCs w:val="19"/>
          <w:color w:val="auto"/>
        </w:rPr>
        <w:t>”) to Transferor on or before the later of (i) thirtyfive (35) days from receipt of the Notice of Offer; (ii) fifteen (15) days from the date of receipt of all additional information and documents relating to the offeror and/or the offer requested by CIGI pursuant to (a) above; or (iii) twenty (20) days from receipt of written determination by the appraiser of reasonable cash equivalent pursuant to subsection (b) above, if applicable. In the event CIGI desires to request additional information and documents relating to the offeror and/or the offer, such requests shall be made within ten (10) business days from receipt of the Notice of Offer.</w:t>
      </w:r>
    </w:p>
    <w:p>
      <w:pPr>
        <w:spacing w:after="0" w:line="183" w:lineRule="exact"/>
        <w:rPr>
          <w:rFonts w:ascii="Arial" w:cs="Arial" w:eastAsia="Arial" w:hAnsi="Arial"/>
          <w:sz w:val="19"/>
          <w:szCs w:val="19"/>
          <w:color w:val="auto"/>
        </w:rPr>
      </w:pPr>
    </w:p>
    <w:p>
      <w:pPr>
        <w:jc w:val="both"/>
        <w:ind w:firstLine="621"/>
        <w:spacing w:after="0" w:line="256" w:lineRule="auto"/>
        <w:tabs>
          <w:tab w:leader="none" w:pos="1227"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The closing for any purchase by CIGI hereunder shall be consummated and closed in CIGI’s principal office at a mutually agreed upon date and time, provided that such closing shall be held within seventy-five (75) days from the date of Notice of Exercise. At the closing, Transferor shall execute and deliver to CIGI such documents, affidavits and instruments as are necessary or appropriate, to transfer good and marketable title in the Interest to CIGI, free and clear of any lien, claim or encumbrance (except as otherwise specified in the Notice of Offer). Transferor shall execute and deliver to CIGI such representations, warranties and indemnities as are customary or appropriate, in connection with the transfer of property of a kind similar to the Interest. Transferor (and its owners) shall sign a noncompetition undertaking in favor of CIGI that contains the restrictions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hereof. CIGI shall deliver the purchase price to Transferor in accordance with the Notice of Offer and/or determination of reasonable cash equivalent. If the Interest includes real property, Transferor shall deliver to CIGI an owner’s title insurance policy (on the form promulgated by the Texas Department of Insurance), issued by a company acceptable to CIGI’s counsel, insuring CIGI’s title to the real property for the full amount of the purchase price without any exceptions or exclusions except for those acceptable to CIGI. Transferor shall use its best efforts and due diligence to cure any title defects and the closing shall be extended for a reasonable cure period; provided Transferor shall have no obligation to incur any costs in connection with such cure efforts other than costs related to the release of liens filed against such real property. All costs, fees, document taxes and other expenses incurred in connection with the transfer of the Interest shall be allocated in accordance with the Notice of Offer; provided that Transferor shall be responsible for the base premium of the Owner’s Policy and CIGI shall be responsible for to costs of any endorsements required by CIGI, and any costs not allocated in the Notice of Offer shall be paid in accordance with customary practices in Houston, Texas.</w:t>
      </w:r>
    </w:p>
    <w:p>
      <w:pPr>
        <w:spacing w:after="0" w:line="200" w:lineRule="exact"/>
        <w:rPr>
          <w:sz w:val="20"/>
          <w:szCs w:val="20"/>
          <w:color w:val="auto"/>
        </w:rPr>
      </w:pPr>
    </w:p>
    <w:p>
      <w:pPr>
        <w:spacing w:after="0" w:line="28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20"/>
          </w:cols>
          <w:pgMar w:left="940" w:top="858" w:right="339" w:bottom="1440" w:gutter="0" w:footer="0" w:header="0"/>
        </w:sectPr>
      </w:pPr>
    </w:p>
    <w:bookmarkStart w:id="69" w:name="page70"/>
    <w:bookmarkEnd w:id="69"/>
    <w:p>
      <w:pPr>
        <w:jc w:val="both"/>
        <w:ind w:left="-500" w:firstLine="621"/>
        <w:spacing w:after="0" w:line="248" w:lineRule="auto"/>
        <w:tabs>
          <w:tab w:leader="none" w:pos="73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As to any particular Notice of Offer, if CIGI does not exercise the ROFR within the time limit of (c) above, or if CIGI, through no fault of Transferor, fails to close the purchase of the Interest within the time limit of (d) above, then as to such particular Notice of Offer only, Transferor shall be free to transfer the Interest solely to the offeror named in the Notice of Offer upon the same terms and conditions contained in the Notice of Offer; provided however:</w:t>
      </w:r>
    </w:p>
    <w:p>
      <w:pPr>
        <w:spacing w:after="0" w:line="179" w:lineRule="exact"/>
        <w:rPr>
          <w:rFonts w:ascii="Arial" w:cs="Arial" w:eastAsia="Arial" w:hAnsi="Arial"/>
          <w:sz w:val="19"/>
          <w:szCs w:val="19"/>
          <w:color w:val="auto"/>
        </w:rPr>
      </w:pPr>
    </w:p>
    <w:p>
      <w:pPr>
        <w:jc w:val="both"/>
        <w:ind w:left="740" w:hanging="310"/>
        <w:spacing w:after="0" w:line="258" w:lineRule="auto"/>
        <w:tabs>
          <w:tab w:leader="none" w:pos="739" w:val="left"/>
        </w:tabs>
        <w:numPr>
          <w:ilvl w:val="1"/>
          <w:numId w:val="68"/>
        </w:numPr>
        <w:rPr>
          <w:rFonts w:ascii="Arial" w:cs="Arial" w:eastAsia="Arial" w:hAnsi="Arial"/>
          <w:sz w:val="18"/>
          <w:szCs w:val="18"/>
          <w:color w:val="auto"/>
        </w:rPr>
      </w:pPr>
      <w:r>
        <w:rPr>
          <w:rFonts w:ascii="Arial" w:cs="Arial" w:eastAsia="Arial" w:hAnsi="Arial"/>
          <w:sz w:val="18"/>
          <w:szCs w:val="18"/>
          <w:color w:val="auto"/>
        </w:rPr>
        <w:t>such transfer shall be subject to compliance with all terms and provisions of Section 16, including CIGI’s and OSI’s prior written consent. For purposes of this Section, such consent shall be considered within thirty-five (35) days after receipt of the Notice of Offer and shall not be unreasonably withheld or delayed past the end of such period (provided CIGI and OSI have elected not to exercise their ROFR). CIGI and OSI shall not unreasonably withhold consent to the proposed transfer if the following conditions are satisfied: (A) the proposed transferee possesses a good moral character, business reputation, and credit rating and has sufficient business experience, aptitude and ability, including adequate financial resources, to operate the Kirby Restaurant and/or Voss Restaurant, as applicable; (B) the proposed transferee does not violate the competitive restrictions of Section 11(b) hereof; and (C) CIGI and OSI reasonably determine that the purchase price and payment terms of the transfer will not have a material adverse effect on the Kirby Restaurant and/or Voss Restaurant, as applicable.</w:t>
      </w:r>
    </w:p>
    <w:p>
      <w:pPr>
        <w:spacing w:after="0" w:line="172" w:lineRule="exact"/>
        <w:rPr>
          <w:rFonts w:ascii="Arial" w:cs="Arial" w:eastAsia="Arial" w:hAnsi="Arial"/>
          <w:sz w:val="18"/>
          <w:szCs w:val="18"/>
          <w:color w:val="auto"/>
        </w:rPr>
      </w:pPr>
    </w:p>
    <w:p>
      <w:pPr>
        <w:jc w:val="both"/>
        <w:ind w:left="740" w:hanging="310"/>
        <w:spacing w:after="0" w:line="248" w:lineRule="auto"/>
        <w:tabs>
          <w:tab w:leader="none" w:pos="727" w:val="left"/>
        </w:tabs>
        <w:numPr>
          <w:ilvl w:val="1"/>
          <w:numId w:val="68"/>
        </w:numPr>
        <w:rPr>
          <w:rFonts w:ascii="Arial" w:cs="Arial" w:eastAsia="Arial" w:hAnsi="Arial"/>
          <w:sz w:val="19"/>
          <w:szCs w:val="19"/>
          <w:color w:val="auto"/>
        </w:rPr>
      </w:pPr>
      <w:r>
        <w:rPr>
          <w:rFonts w:ascii="Arial" w:cs="Arial" w:eastAsia="Arial" w:hAnsi="Arial"/>
          <w:sz w:val="19"/>
          <w:szCs w:val="19"/>
          <w:color w:val="auto"/>
        </w:rPr>
        <w:t>such transfer shall be consummated and closed on or before the earlier of: (A) if CIGI has not exercised its ROFR, seventy-five (75) days from the expiration date for exercise of the ROFR pursuant to (c) above or notice from CIGI that it does not intend to exercise its ROFR; or (B) if CIGI has exercised the ROFR but failed to close through no fault of Transferor, seventy-five (75) days from the expiration date for closing pursuant to (d) above;</w:t>
      </w:r>
    </w:p>
    <w:p>
      <w:pPr>
        <w:spacing w:after="0" w:line="179" w:lineRule="exact"/>
        <w:rPr>
          <w:rFonts w:ascii="Arial" w:cs="Arial" w:eastAsia="Arial" w:hAnsi="Arial"/>
          <w:sz w:val="19"/>
          <w:szCs w:val="19"/>
          <w:color w:val="auto"/>
        </w:rPr>
      </w:pPr>
    </w:p>
    <w:p>
      <w:pPr>
        <w:ind w:left="740" w:hanging="310"/>
        <w:spacing w:after="0" w:line="264" w:lineRule="auto"/>
        <w:tabs>
          <w:tab w:leader="none" w:pos="728"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transferor shall execute a general release, in form acceptable to CIGI and OSI, of any and all claims against the BBI Entities; and</w:t>
      </w:r>
    </w:p>
    <w:p>
      <w:pPr>
        <w:spacing w:after="0" w:line="163" w:lineRule="exact"/>
        <w:rPr>
          <w:rFonts w:ascii="Arial" w:cs="Arial" w:eastAsia="Arial" w:hAnsi="Arial"/>
          <w:sz w:val="19"/>
          <w:szCs w:val="19"/>
          <w:color w:val="auto"/>
        </w:rPr>
      </w:pPr>
    </w:p>
    <w:p>
      <w:pPr>
        <w:jc w:val="both"/>
        <w:ind w:left="740" w:hanging="310"/>
        <w:spacing w:after="0" w:line="275" w:lineRule="auto"/>
        <w:tabs>
          <w:tab w:leader="none" w:pos="730" w:val="left"/>
        </w:tabs>
        <w:numPr>
          <w:ilvl w:val="1"/>
          <w:numId w:val="68"/>
        </w:numPr>
        <w:rPr>
          <w:rFonts w:ascii="Arial" w:cs="Arial" w:eastAsia="Arial" w:hAnsi="Arial"/>
          <w:sz w:val="17"/>
          <w:szCs w:val="17"/>
          <w:color w:val="auto"/>
        </w:rPr>
      </w:pPr>
      <w:r>
        <w:rPr>
          <w:rFonts w:ascii="Arial" w:cs="Arial" w:eastAsia="Arial" w:hAnsi="Arial"/>
          <w:sz w:val="17"/>
          <w:szCs w:val="17"/>
          <w:color w:val="auto"/>
        </w:rPr>
        <w:t>if the transfer involves all or substantially all the assets of the Kirby Restaurant and/or Voss Restaurant, or a controlling interest (direct or indirect) in CI or CWI, as applicable (or other entity that then owns/operates the Kirby Restaurant and/or Voss Restaurant), the transferee shall sign CIGI’s standard form of franchise agreement (including, without limitation, owner guarantees) then being offered to new Carrabba’s restaurant franchisees, which agreement shall supersede the Kirby License and/or Voss License, as applicable, in all respects; provided, however, the transferee shall not be required to pay an initial franchise fee or ongoing royalty fee for a period of fifteen (15) years from the effective date of the transfer. After such fifteen (15) year period, the transferee shall pay to CIGI or its designee a continuing monthly royalty equal to five percent (5%) of the Net Sales of the Kirby Restaurant and/or Voss Restaurant, as applicable. Such franchise agreement shall provide for an initial term of twenty (20) years plus one consecutive renewal term of twenty (20) years.</w:t>
      </w:r>
    </w:p>
    <w:p>
      <w:pPr>
        <w:spacing w:after="0" w:line="162" w:lineRule="exact"/>
        <w:rPr>
          <w:rFonts w:ascii="Arial" w:cs="Arial" w:eastAsia="Arial" w:hAnsi="Arial"/>
          <w:sz w:val="17"/>
          <w:szCs w:val="17"/>
          <w:color w:val="auto"/>
        </w:rPr>
      </w:pPr>
    </w:p>
    <w:p>
      <w:pPr>
        <w:jc w:val="both"/>
        <w:ind w:left="-500" w:firstLine="621"/>
        <w:spacing w:after="0" w:line="248" w:lineRule="auto"/>
        <w:tabs>
          <w:tab w:leader="none" w:pos="73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Transferor shall make no transfer of the Interest except to the offeror named in the Notice of Offer, on the terms and conditions as are consistent with those contained in the Notice of Offer (recognizing that the definitive agreement between Transferor and the offeror named in the Notice of Offer will have more details than just the Notice of Offer) and within the time limit specified in subsection (e). Any purported transfer not in compliance with all the requirements of</w:t>
      </w:r>
    </w:p>
    <w:p>
      <w:pPr>
        <w:spacing w:after="0" w:line="200" w:lineRule="exact"/>
        <w:rPr>
          <w:sz w:val="20"/>
          <w:szCs w:val="20"/>
          <w:color w:val="auto"/>
        </w:rPr>
      </w:pPr>
    </w:p>
    <w:p>
      <w:pPr>
        <w:spacing w:after="0" w:line="28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120"/>
          </w:cols>
          <w:pgMar w:left="1440" w:top="1296" w:right="339" w:bottom="1440" w:gutter="0" w:footer="0" w:header="0"/>
        </w:sectPr>
      </w:pPr>
    </w:p>
    <w:bookmarkStart w:id="70" w:name="page71"/>
    <w:bookmarkEnd w:id="70"/>
    <w:p>
      <w:pPr>
        <w:jc w:val="both"/>
        <w:ind w:left="620"/>
        <w:spacing w:after="0" w:line="244" w:lineRule="auto"/>
        <w:rPr>
          <w:sz w:val="20"/>
          <w:szCs w:val="20"/>
          <w:color w:val="auto"/>
        </w:rPr>
      </w:pPr>
      <w:r>
        <w:rPr>
          <w:rFonts w:ascii="Arial" w:cs="Arial" w:eastAsia="Arial" w:hAnsi="Arial"/>
          <w:sz w:val="19"/>
          <w:szCs w:val="19"/>
          <w:color w:val="auto"/>
        </w:rPr>
        <w:t>the preceding sentence and having the prior written consent of CIGI and OSI shall be null and void. If Transferor does not close and consummate the transfer of the Interest in accordance with the requirements of (e) and (f) hereof, CIGI’s purchase option shall again be exercisable and Transferor shall make no transfer of the Interest until it has again complied with all terms and provisions of this Section 8, including, without limitation, issuance of a new Notice of Offer. Any modification to the purchase price or other material modification to an offer shall constitute a new offer for which CIGI’s purchase option shall again be exercisable and Transferor shall make no transfer pursuant to such modified offer until it has again complied with all terms and provisions of this Section 8, including, without limitation, issuance of a new Notice of Offer.</w:t>
      </w:r>
    </w:p>
    <w:p>
      <w:pPr>
        <w:spacing w:after="0" w:line="186" w:lineRule="exact"/>
        <w:rPr>
          <w:sz w:val="20"/>
          <w:szCs w:val="20"/>
          <w:color w:val="auto"/>
        </w:rPr>
      </w:pPr>
    </w:p>
    <w:p>
      <w:pPr>
        <w:ind w:left="620" w:firstLine="621"/>
        <w:spacing w:after="0" w:line="324" w:lineRule="auto"/>
        <w:tabs>
          <w:tab w:leader="none" w:pos="1847" w:val="left"/>
        </w:tabs>
        <w:numPr>
          <w:ilvl w:val="1"/>
          <w:numId w:val="69"/>
        </w:numPr>
        <w:rPr>
          <w:rFonts w:ascii="Arial" w:cs="Arial" w:eastAsia="Arial" w:hAnsi="Arial"/>
          <w:sz w:val="17"/>
          <w:szCs w:val="17"/>
          <w:color w:val="auto"/>
        </w:rPr>
      </w:pPr>
      <w:r>
        <w:rPr>
          <w:rFonts w:ascii="Arial" w:cs="Arial" w:eastAsia="Arial" w:hAnsi="Arial"/>
          <w:sz w:val="17"/>
          <w:szCs w:val="17"/>
          <w:color w:val="auto"/>
        </w:rPr>
        <w:t>Except as otherwise provided in this Section 8, each party shall bear its own costs and expenses in connection with any proposed transaction related to the ROFR, including but not limited to fees of attorneys, financial advisors and any due diligence activities.</w:t>
      </w:r>
    </w:p>
    <w:p>
      <w:pPr>
        <w:spacing w:after="0" w:line="116" w:lineRule="exact"/>
        <w:rPr>
          <w:rFonts w:ascii="Arial" w:cs="Arial" w:eastAsia="Arial" w:hAnsi="Arial"/>
          <w:sz w:val="17"/>
          <w:szCs w:val="17"/>
          <w:color w:val="auto"/>
        </w:rPr>
      </w:pPr>
    </w:p>
    <w:p>
      <w:pPr>
        <w:ind w:left="620" w:firstLine="621"/>
        <w:spacing w:after="0" w:line="264" w:lineRule="auto"/>
        <w:tabs>
          <w:tab w:leader="none" w:pos="1847"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ROFR in this Section 8 shall not apply to Permitted Transfers or Employee Transfers (as those terms are defined in Section 16 below).</w:t>
      </w:r>
    </w:p>
    <w:p>
      <w:pPr>
        <w:spacing w:after="0" w:line="157" w:lineRule="exact"/>
        <w:rPr>
          <w:rFonts w:ascii="Arial" w:cs="Arial" w:eastAsia="Arial" w:hAnsi="Arial"/>
          <w:sz w:val="19"/>
          <w:szCs w:val="19"/>
          <w:color w:val="auto"/>
        </w:rPr>
      </w:pPr>
    </w:p>
    <w:p>
      <w:pPr>
        <w:ind w:firstLine="622"/>
        <w:spacing w:after="0" w:line="271" w:lineRule="auto"/>
        <w:tabs>
          <w:tab w:leader="none" w:pos="1237"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Representations and Warranties of CIGI and OSI</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CIGI and OSI hereby represent and warrant, jointly and severally, as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Effective Date of this Agreement, to Founders as follows:</w:t>
      </w:r>
    </w:p>
    <w:p>
      <w:pPr>
        <w:spacing w:after="0" w:line="176" w:lineRule="exact"/>
        <w:rPr>
          <w:rFonts w:ascii="Arial" w:cs="Arial" w:eastAsia="Arial" w:hAnsi="Arial"/>
          <w:sz w:val="19"/>
          <w:szCs w:val="19"/>
          <w:color w:val="auto"/>
        </w:rPr>
      </w:pPr>
    </w:p>
    <w:p>
      <w:pPr>
        <w:jc w:val="both"/>
        <w:ind w:left="620" w:firstLine="621"/>
        <w:spacing w:after="0" w:line="248" w:lineRule="auto"/>
        <w:tabs>
          <w:tab w:leader="none" w:pos="1850" w:val="left"/>
        </w:tabs>
        <w:numPr>
          <w:ilvl w:val="1"/>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Status</w:t>
      </w:r>
      <w:r>
        <w:rPr>
          <w:rFonts w:ascii="Arial" w:cs="Arial" w:eastAsia="Arial" w:hAnsi="Arial"/>
          <w:sz w:val="19"/>
          <w:szCs w:val="19"/>
          <w:color w:val="auto"/>
        </w:rPr>
        <w:t>. CIGI is a duly organized limited liability company, validly existing and in good and active status under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State of Florida, with all requisite corporate power and authority to enter into this Agreement and consummate the transactions contemplated herein. OSI is a duly organized limited liability company, validly existing and in good and active status under the laws of the State of Delaware, with all requisite power and authority to enter into this Agreement and consummate the transactions contemplated herein.</w:t>
      </w:r>
    </w:p>
    <w:p>
      <w:pPr>
        <w:spacing w:after="0" w:line="199" w:lineRule="exact"/>
        <w:rPr>
          <w:rFonts w:ascii="Arial" w:cs="Arial" w:eastAsia="Arial" w:hAnsi="Arial"/>
          <w:sz w:val="19"/>
          <w:szCs w:val="19"/>
          <w:color w:val="auto"/>
        </w:rPr>
      </w:pPr>
    </w:p>
    <w:p>
      <w:pPr>
        <w:jc w:val="both"/>
        <w:ind w:left="620" w:firstLine="621"/>
        <w:spacing w:after="0" w:line="256" w:lineRule="auto"/>
        <w:tabs>
          <w:tab w:leader="none" w:pos="1847" w:val="left"/>
        </w:tabs>
        <w:numPr>
          <w:ilvl w:val="1"/>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Authorization</w:t>
      </w:r>
      <w:r>
        <w:rPr>
          <w:rFonts w:ascii="Arial" w:cs="Arial" w:eastAsia="Arial" w:hAnsi="Arial"/>
          <w:sz w:val="19"/>
          <w:szCs w:val="19"/>
          <w:color w:val="auto"/>
        </w:rPr>
        <w:t>. Each of CIGI and OSI is duly authorized to enter into, sign and deliver this Agreement and to perform its</w:t>
      </w:r>
      <w:r>
        <w:rPr>
          <w:rFonts w:ascii="Arial" w:cs="Arial" w:eastAsia="Arial" w:hAnsi="Arial"/>
          <w:sz w:val="19"/>
          <w:szCs w:val="19"/>
          <w:b w:val="1"/>
          <w:bCs w:val="1"/>
          <w:color w:val="auto"/>
        </w:rPr>
        <w:t xml:space="preserve"> </w:t>
      </w:r>
      <w:r>
        <w:rPr>
          <w:rFonts w:ascii="Arial" w:cs="Arial" w:eastAsia="Arial" w:hAnsi="Arial"/>
          <w:sz w:val="19"/>
          <w:szCs w:val="19"/>
          <w:color w:val="auto"/>
        </w:rPr>
        <w:t>covenants and obligations hereunder. This Agreement, when signed by an officer of CIGI and OSI, will constitute a valid and binding agreement, enforceable against CIGI and OSI in accordance with its terms.</w:t>
      </w:r>
    </w:p>
    <w:p>
      <w:pPr>
        <w:spacing w:after="0" w:line="190" w:lineRule="exact"/>
        <w:rPr>
          <w:rFonts w:ascii="Arial" w:cs="Arial" w:eastAsia="Arial" w:hAnsi="Arial"/>
          <w:sz w:val="19"/>
          <w:szCs w:val="19"/>
          <w:color w:val="auto"/>
        </w:rPr>
      </w:pPr>
    </w:p>
    <w:p>
      <w:pPr>
        <w:jc w:val="both"/>
        <w:ind w:left="620" w:firstLine="621"/>
        <w:spacing w:after="0" w:line="300" w:lineRule="auto"/>
        <w:tabs>
          <w:tab w:leader="none" w:pos="1850" w:val="left"/>
        </w:tabs>
        <w:numPr>
          <w:ilvl w:val="1"/>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No Conflict</w:t>
      </w:r>
      <w:r>
        <w:rPr>
          <w:rFonts w:ascii="Arial" w:cs="Arial" w:eastAsia="Arial" w:hAnsi="Arial"/>
          <w:sz w:val="17"/>
          <w:szCs w:val="17"/>
          <w:color w:val="auto"/>
        </w:rPr>
        <w:t>. The signing, delivery and performance of this Agreement by CIGI and OSI do not, and will not,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or with the passage of time, the giving of notice or otherwise, result in a breach of, constitute a default or violation under, or accelerate any obligation under any agreement or instrument to which CIGI or OSI is a party, or by which CIGI or OSI may be bound.</w:t>
      </w:r>
    </w:p>
    <w:p>
      <w:pPr>
        <w:spacing w:after="0" w:line="156" w:lineRule="exact"/>
        <w:rPr>
          <w:rFonts w:ascii="Arial" w:cs="Arial" w:eastAsia="Arial" w:hAnsi="Arial"/>
          <w:sz w:val="17"/>
          <w:szCs w:val="17"/>
          <w:color w:val="auto"/>
        </w:rPr>
      </w:pPr>
    </w:p>
    <w:p>
      <w:pPr>
        <w:jc w:val="both"/>
        <w:ind w:left="620" w:firstLine="621"/>
        <w:spacing w:after="0" w:line="256" w:lineRule="auto"/>
        <w:tabs>
          <w:tab w:leader="none" w:pos="1847" w:val="left"/>
        </w:tabs>
        <w:numPr>
          <w:ilvl w:val="1"/>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Approvals and Consents</w:t>
      </w:r>
      <w:r>
        <w:rPr>
          <w:rFonts w:ascii="Arial" w:cs="Arial" w:eastAsia="Arial" w:hAnsi="Arial"/>
          <w:sz w:val="19"/>
          <w:szCs w:val="19"/>
          <w:color w:val="auto"/>
        </w:rPr>
        <w:t>. All required consents, approvals or authorizations of any governmental authority, entity</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trust) or person in connection with the execution or delivery of this Agreement by CIGI or OSI, and the performance of their respective obligations hereunder, have been obtained as of the Effective Date.</w:t>
      </w:r>
    </w:p>
    <w:p>
      <w:pPr>
        <w:spacing w:after="0" w:line="164" w:lineRule="exact"/>
        <w:rPr>
          <w:rFonts w:ascii="Arial" w:cs="Arial" w:eastAsia="Arial" w:hAnsi="Arial"/>
          <w:sz w:val="19"/>
          <w:szCs w:val="19"/>
          <w:color w:val="auto"/>
        </w:rPr>
      </w:pPr>
    </w:p>
    <w:p>
      <w:pPr>
        <w:ind w:firstLine="622"/>
        <w:spacing w:after="0" w:line="271" w:lineRule="auto"/>
        <w:tabs>
          <w:tab w:leader="none" w:pos="1229"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Representations and Warranties of Founders</w:t>
      </w:r>
      <w:r>
        <w:rPr>
          <w:rFonts w:ascii="Arial" w:cs="Arial" w:eastAsia="Arial" w:hAnsi="Arial"/>
          <w:sz w:val="19"/>
          <w:szCs w:val="19"/>
          <w:b w:val="1"/>
          <w:bCs w:val="1"/>
          <w:color w:val="auto"/>
        </w:rPr>
        <w:t xml:space="preserve">. </w:t>
      </w:r>
      <w:r>
        <w:rPr>
          <w:rFonts w:ascii="Arial" w:cs="Arial" w:eastAsia="Arial" w:hAnsi="Arial"/>
          <w:sz w:val="19"/>
          <w:szCs w:val="19"/>
          <w:color w:val="auto"/>
        </w:rPr>
        <w:t>Founders represent and warrant, jointly and severally, as of the Effective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to BBI Entities as follows:</w:t>
      </w:r>
    </w:p>
    <w:p>
      <w:pPr>
        <w:spacing w:after="0" w:line="176" w:lineRule="exact"/>
        <w:rPr>
          <w:rFonts w:ascii="Arial" w:cs="Arial" w:eastAsia="Arial" w:hAnsi="Arial"/>
          <w:sz w:val="19"/>
          <w:szCs w:val="19"/>
          <w:color w:val="auto"/>
        </w:rPr>
      </w:pPr>
    </w:p>
    <w:p>
      <w:pPr>
        <w:ind w:left="620" w:firstLine="621"/>
        <w:spacing w:after="0" w:line="271" w:lineRule="auto"/>
        <w:tabs>
          <w:tab w:leader="none" w:pos="1850" w:val="left"/>
        </w:tabs>
        <w:numPr>
          <w:ilvl w:val="1"/>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Status</w:t>
      </w:r>
      <w:r>
        <w:rPr>
          <w:rFonts w:ascii="Arial" w:cs="Arial" w:eastAsia="Arial" w:hAnsi="Arial"/>
          <w:sz w:val="19"/>
          <w:szCs w:val="19"/>
          <w:color w:val="auto"/>
        </w:rPr>
        <w:t>. Each of MBI, MBI2, CI and CWI is a duly organized corporation, validly existing and in good and active status</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laws of the State of Texas, with all requisite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858" w:right="339" w:bottom="1440" w:gutter="0" w:footer="0" w:header="0"/>
        </w:sectPr>
      </w:pPr>
    </w:p>
    <w:bookmarkStart w:id="71" w:name="page72"/>
    <w:bookmarkEnd w:id="71"/>
    <w:p>
      <w:pPr>
        <w:ind w:left="620"/>
        <w:spacing w:after="0"/>
        <w:rPr>
          <w:sz w:val="20"/>
          <w:szCs w:val="20"/>
          <w:color w:val="auto"/>
        </w:rPr>
      </w:pPr>
      <w:r>
        <w:rPr>
          <w:rFonts w:ascii="Arial" w:cs="Arial" w:eastAsia="Arial" w:hAnsi="Arial"/>
          <w:sz w:val="19"/>
          <w:szCs w:val="19"/>
          <w:color w:val="auto"/>
        </w:rPr>
        <w:t>corporate power and authority to enter into this Agreement and consummate the transactions contemplated herein.</w:t>
      </w:r>
    </w:p>
    <w:p>
      <w:pPr>
        <w:spacing w:after="0" w:line="227" w:lineRule="exact"/>
        <w:rPr>
          <w:sz w:val="20"/>
          <w:szCs w:val="20"/>
          <w:color w:val="auto"/>
        </w:rPr>
      </w:pPr>
    </w:p>
    <w:p>
      <w:pPr>
        <w:jc w:val="both"/>
        <w:ind w:left="620" w:firstLine="621"/>
        <w:spacing w:after="0" w:line="300" w:lineRule="auto"/>
        <w:tabs>
          <w:tab w:leader="none" w:pos="1847" w:val="left"/>
        </w:tabs>
        <w:numPr>
          <w:ilvl w:val="1"/>
          <w:numId w:val="71"/>
        </w:numPr>
        <w:rPr>
          <w:rFonts w:ascii="Arial" w:cs="Arial" w:eastAsia="Arial" w:hAnsi="Arial"/>
          <w:sz w:val="17"/>
          <w:szCs w:val="17"/>
          <w:color w:val="auto"/>
        </w:rPr>
      </w:pPr>
      <w:r>
        <w:rPr>
          <w:rFonts w:ascii="Arial" w:cs="Arial" w:eastAsia="Arial" w:hAnsi="Arial"/>
          <w:sz w:val="17"/>
          <w:szCs w:val="17"/>
          <w:b w:val="1"/>
          <w:bCs w:val="1"/>
          <w:u w:val="single" w:color="auto"/>
          <w:color w:val="auto"/>
        </w:rPr>
        <w:t>Authorization</w:t>
      </w:r>
      <w:r>
        <w:rPr>
          <w:rFonts w:ascii="Arial" w:cs="Arial" w:eastAsia="Arial" w:hAnsi="Arial"/>
          <w:sz w:val="17"/>
          <w:szCs w:val="17"/>
          <w:color w:val="auto"/>
        </w:rPr>
        <w:t>. Each Founder is duly authorized to enter into, sign and deliver this Agreement and to perform its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and obligations hereunder. This Agreement, when signed by Johnny Carrabba, Damian Mandola, John Carrabba, Jr., and an officer of MBI, MBI2, CI and CWI, will constitute a valid and binding agreement, enforceable against Founders in accordance with its terms.</w:t>
      </w:r>
    </w:p>
    <w:p>
      <w:pPr>
        <w:spacing w:after="0" w:line="156" w:lineRule="exact"/>
        <w:rPr>
          <w:rFonts w:ascii="Arial" w:cs="Arial" w:eastAsia="Arial" w:hAnsi="Arial"/>
          <w:sz w:val="17"/>
          <w:szCs w:val="17"/>
          <w:color w:val="auto"/>
        </w:rPr>
      </w:pPr>
    </w:p>
    <w:p>
      <w:pPr>
        <w:jc w:val="both"/>
        <w:ind w:left="620" w:firstLine="621"/>
        <w:spacing w:after="0" w:line="250" w:lineRule="auto"/>
        <w:tabs>
          <w:tab w:leader="none" w:pos="1850" w:val="left"/>
        </w:tabs>
        <w:numPr>
          <w:ilvl w:val="1"/>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No Conflict</w:t>
      </w:r>
      <w:r>
        <w:rPr>
          <w:rFonts w:ascii="Arial" w:cs="Arial" w:eastAsia="Arial" w:hAnsi="Arial"/>
          <w:sz w:val="19"/>
          <w:szCs w:val="19"/>
          <w:color w:val="auto"/>
        </w:rPr>
        <w:t>. The signing, delivery and performance of this Agreement by Founders do not, and will not, immediately or</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passage of time, the giving of notice or otherwise, result in a breach of, constitute a default or violation under, or accelerate any obligation under any agreement or instrument to which Founders, or any of them, is a party, or by which Founders, or any of them, may be bound.</w:t>
      </w:r>
    </w:p>
    <w:p>
      <w:pPr>
        <w:spacing w:after="0" w:line="198" w:lineRule="exact"/>
        <w:rPr>
          <w:rFonts w:ascii="Arial" w:cs="Arial" w:eastAsia="Arial" w:hAnsi="Arial"/>
          <w:sz w:val="19"/>
          <w:szCs w:val="19"/>
          <w:color w:val="auto"/>
        </w:rPr>
      </w:pPr>
    </w:p>
    <w:p>
      <w:pPr>
        <w:jc w:val="both"/>
        <w:ind w:left="620" w:firstLine="621"/>
        <w:spacing w:after="0" w:line="256" w:lineRule="auto"/>
        <w:tabs>
          <w:tab w:leader="none" w:pos="1847" w:val="left"/>
        </w:tabs>
        <w:numPr>
          <w:ilvl w:val="1"/>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Approvals and Consents</w:t>
      </w:r>
      <w:r>
        <w:rPr>
          <w:rFonts w:ascii="Arial" w:cs="Arial" w:eastAsia="Arial" w:hAnsi="Arial"/>
          <w:sz w:val="19"/>
          <w:szCs w:val="19"/>
          <w:color w:val="auto"/>
        </w:rPr>
        <w:t>. All required consents, approvals or authorizations of any governmental authority, entity</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trust) or person in connection with the execution or delivery of this Agreement by Founders, and the performance of their respective obligations hereunder, have been obtained as of the Effective Date.</w:t>
      </w:r>
    </w:p>
    <w:p>
      <w:pPr>
        <w:spacing w:after="0" w:line="190" w:lineRule="exact"/>
        <w:rPr>
          <w:rFonts w:ascii="Arial" w:cs="Arial" w:eastAsia="Arial" w:hAnsi="Arial"/>
          <w:sz w:val="19"/>
          <w:szCs w:val="19"/>
          <w:color w:val="auto"/>
        </w:rPr>
      </w:pPr>
    </w:p>
    <w:p>
      <w:pPr>
        <w:jc w:val="both"/>
        <w:ind w:left="620" w:firstLine="621"/>
        <w:spacing w:after="0" w:line="246" w:lineRule="auto"/>
        <w:tabs>
          <w:tab w:leader="none" w:pos="1850" w:val="left"/>
        </w:tabs>
        <w:numPr>
          <w:ilvl w:val="1"/>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Ownership</w:t>
      </w:r>
      <w:r>
        <w:rPr>
          <w:rFonts w:ascii="Arial" w:cs="Arial" w:eastAsia="Arial" w:hAnsi="Arial"/>
          <w:sz w:val="19"/>
          <w:szCs w:val="19"/>
          <w:color w:val="auto"/>
        </w:rPr>
        <w:t>. Except for the transfer from MBI to MBI2 pursuant to that certain Assignment of Royalty Fees dated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as of April, 1995 and certain transfers to trusts for which notice was previously provided in accordance with the Royalty Agreement, Founders have not transferred, assigned, encumbered or disposed of any right, title or interest, whether direct or indirect, in or to the royalties provided for in Article III of the Royalty Agreement. Founders further represent and warrant that (i) all such transferees described above are bound by the terms and conditions of the Royalty Agreement and (ii) Johnny Carrabba, III and/or Damian Mandola have voting control of MBI2.</w:t>
      </w:r>
    </w:p>
    <w:p>
      <w:pPr>
        <w:spacing w:after="0" w:line="177" w:lineRule="exact"/>
        <w:rPr>
          <w:rFonts w:ascii="Arial" w:cs="Arial" w:eastAsia="Arial" w:hAnsi="Arial"/>
          <w:sz w:val="19"/>
          <w:szCs w:val="19"/>
          <w:color w:val="auto"/>
        </w:rPr>
      </w:pPr>
    </w:p>
    <w:p>
      <w:pPr>
        <w:ind w:firstLine="622"/>
        <w:spacing w:after="0" w:line="271" w:lineRule="auto"/>
        <w:tabs>
          <w:tab w:leader="none" w:pos="1222" w:val="left"/>
        </w:tabs>
        <w:numPr>
          <w:ilvl w:val="0"/>
          <w:numId w:val="72"/>
        </w:numPr>
        <w:rPr>
          <w:rFonts w:ascii="Arial" w:cs="Arial" w:eastAsia="Arial" w:hAnsi="Arial"/>
          <w:sz w:val="19"/>
          <w:szCs w:val="19"/>
          <w:color w:val="auto"/>
        </w:rPr>
      </w:pPr>
      <w:r>
        <w:rPr>
          <w:rFonts w:ascii="Arial" w:cs="Arial" w:eastAsia="Arial" w:hAnsi="Arial"/>
          <w:sz w:val="19"/>
          <w:szCs w:val="19"/>
          <w:b w:val="1"/>
          <w:bCs w:val="1"/>
          <w:u w:val="single" w:color="auto"/>
          <w:color w:val="auto"/>
        </w:rPr>
        <w:t>Covenants of Founders</w:t>
      </w:r>
      <w:r>
        <w:rPr>
          <w:rFonts w:ascii="Arial" w:cs="Arial" w:eastAsia="Arial" w:hAnsi="Arial"/>
          <w:sz w:val="19"/>
          <w:szCs w:val="19"/>
          <w:color w:val="auto"/>
        </w:rPr>
        <w:t>. In addition to other covenants or agreements of Founders set forth in this Agreement, Founders agree,</w:t>
      </w:r>
      <w:r>
        <w:rPr>
          <w:rFonts w:ascii="Arial" w:cs="Arial" w:eastAsia="Arial" w:hAnsi="Arial"/>
          <w:sz w:val="19"/>
          <w:szCs w:val="19"/>
          <w:b w:val="1"/>
          <w:bCs w:val="1"/>
          <w:color w:val="auto"/>
        </w:rPr>
        <w:t xml:space="preserve"> </w:t>
      </w:r>
      <w:r>
        <w:rPr>
          <w:rFonts w:ascii="Arial" w:cs="Arial" w:eastAsia="Arial" w:hAnsi="Arial"/>
          <w:sz w:val="19"/>
          <w:szCs w:val="19"/>
          <w:color w:val="auto"/>
        </w:rPr>
        <w:t>jointly and severally, as follows:</w:t>
      </w:r>
    </w:p>
    <w:p>
      <w:pPr>
        <w:spacing w:after="0" w:line="182" w:lineRule="exact"/>
        <w:rPr>
          <w:rFonts w:ascii="Arial" w:cs="Arial" w:eastAsia="Arial" w:hAnsi="Arial"/>
          <w:sz w:val="19"/>
          <w:szCs w:val="19"/>
          <w:color w:val="auto"/>
        </w:rPr>
      </w:pPr>
    </w:p>
    <w:p>
      <w:pPr>
        <w:jc w:val="both"/>
        <w:ind w:left="620" w:firstLine="621"/>
        <w:spacing w:after="0" w:line="261" w:lineRule="auto"/>
        <w:tabs>
          <w:tab w:leader="none" w:pos="185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Except as required by law or as necessary to protect its interests in legal proceedings involving the parties to this Agreement or third parties, at no time during the License Term, or at any time thereafter, shall any Founder, individually or jointly with others, for the benefit of any Founder or any third party, publish, disclose, use, or authorize anyone else to publish, disclose or use, any secret or confidential material or information relating to any aspect of the business or operations of CIGI, the System, or the Restaurants, including, without limitation, any secret or confidential information relating to the business, customers, trade or industrial practices, trade secret, technologies, recipes, formulas, or know-how of CIGI, its Affiliates or the System.</w:t>
      </w:r>
    </w:p>
    <w:p>
      <w:pPr>
        <w:spacing w:after="0" w:line="196" w:lineRule="exact"/>
        <w:rPr>
          <w:rFonts w:ascii="Arial" w:cs="Arial" w:eastAsia="Arial" w:hAnsi="Arial"/>
          <w:sz w:val="18"/>
          <w:szCs w:val="18"/>
          <w:color w:val="auto"/>
        </w:rPr>
      </w:pPr>
    </w:p>
    <w:p>
      <w:pPr>
        <w:jc w:val="both"/>
        <w:ind w:left="620" w:firstLine="621"/>
        <w:spacing w:after="0" w:line="244" w:lineRule="auto"/>
        <w:tabs>
          <w:tab w:leader="none" w:pos="1847" w:val="left"/>
        </w:tabs>
        <w:numPr>
          <w:ilvl w:val="1"/>
          <w:numId w:val="72"/>
        </w:numPr>
        <w:rPr>
          <w:rFonts w:ascii="Arial" w:cs="Arial" w:eastAsia="Arial" w:hAnsi="Arial"/>
          <w:sz w:val="19"/>
          <w:szCs w:val="19"/>
          <w:color w:val="auto"/>
        </w:rPr>
      </w:pPr>
      <w:r>
        <w:rPr>
          <w:rFonts w:ascii="Arial" w:cs="Arial" w:eastAsia="Arial" w:hAnsi="Arial"/>
          <w:sz w:val="19"/>
          <w:szCs w:val="19"/>
          <w:color w:val="auto"/>
        </w:rPr>
        <w:t>During the License Term and for a period of two (2) years from the expiration or termination of the License Term, Founders shall not, directly or indirectly, for themselves, or through, on behalf of, or in conjunction with any person, persons, partnership or corporation, own, maintain, operate, engage in, be employed by, or have any interest in, or lend any assistance to, any business which owns or operates, or licenses or franchises rights to own or operate, one or more full service Italian food restaurants and which is, or is intended to be, located within thirty (30) miles of an existing or proposed Restaurant utilizing the System, whether owned by CIGI, its Affiliates or a licensee/franchisee of CIGI; provided, however, that during the License Term, the foregoing geographic limitation shall not apply and, except for the Kirby Restaurant and the Voss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858" w:right="339" w:bottom="1440" w:gutter="0" w:footer="0" w:header="0"/>
        </w:sectPr>
      </w:pPr>
    </w:p>
    <w:bookmarkStart w:id="72" w:name="page73"/>
    <w:bookmarkEnd w:id="72"/>
    <w:p>
      <w:pPr>
        <w:jc w:val="both"/>
        <w:ind w:left="620"/>
        <w:spacing w:after="0" w:line="261" w:lineRule="auto"/>
        <w:rPr>
          <w:sz w:val="20"/>
          <w:szCs w:val="20"/>
          <w:color w:val="auto"/>
        </w:rPr>
      </w:pPr>
      <w:r>
        <w:rPr>
          <w:rFonts w:ascii="Arial" w:cs="Arial" w:eastAsia="Arial" w:hAnsi="Arial"/>
          <w:sz w:val="18"/>
          <w:szCs w:val="18"/>
          <w:color w:val="auto"/>
        </w:rPr>
        <w:t>Restaurant, the Founders shall be prohibited from such ownership and/or activity regardless of whether such other business is within or without the thirty (30) mile radius. The term “proposed Restaurant” shall mean all locations for which CIGI (or its successor in interest as an owner of the System), any Affiliate of CIGI, or any licensee/franchisee is conducting active, bona fide negotiations to secure a fee or leasehold interest with the intention of establishing thereon a restaurant utilizing the System. This Section 11(b) shall not apply to ownership by any Founder of less than one percent (1%) beneficial interest in the outstanding equity securities of any corporation required to file periodic reports under the Securities and Exchange Act of 1934, as amended.</w:t>
      </w:r>
    </w:p>
    <w:p>
      <w:pPr>
        <w:spacing w:after="0" w:line="196" w:lineRule="exact"/>
        <w:rPr>
          <w:sz w:val="20"/>
          <w:szCs w:val="20"/>
          <w:color w:val="auto"/>
        </w:rPr>
      </w:pPr>
    </w:p>
    <w:p>
      <w:pPr>
        <w:jc w:val="both"/>
        <w:ind w:left="620" w:firstLine="621"/>
        <w:spacing w:after="0" w:line="245" w:lineRule="auto"/>
        <w:tabs>
          <w:tab w:leader="none" w:pos="1850" w:val="left"/>
        </w:tabs>
        <w:numPr>
          <w:ilvl w:val="1"/>
          <w:numId w:val="73"/>
        </w:numPr>
        <w:rPr>
          <w:rFonts w:ascii="Arial" w:cs="Arial" w:eastAsia="Arial" w:hAnsi="Arial"/>
          <w:sz w:val="19"/>
          <w:szCs w:val="19"/>
          <w:color w:val="auto"/>
        </w:rPr>
      </w:pPr>
      <w:r>
        <w:rPr>
          <w:rFonts w:ascii="Arial" w:cs="Arial" w:eastAsia="Arial" w:hAnsi="Arial"/>
          <w:sz w:val="19"/>
          <w:szCs w:val="19"/>
          <w:color w:val="auto"/>
        </w:rPr>
        <w:t>Notwithstanding any other provision to the contrary, the ownership and operation of the Trattoria Lisina restaurant that is located at 13308 FM 150 West, Driftwood, Texas 78619 (including any alternative [but not additional] address that is within a five (5) mile radius of the foregoing address) (“</w:t>
      </w:r>
      <w:r>
        <w:rPr>
          <w:rFonts w:ascii="Arial" w:cs="Arial" w:eastAsia="Arial" w:hAnsi="Arial"/>
          <w:sz w:val="19"/>
          <w:szCs w:val="19"/>
          <w:u w:val="single" w:color="auto"/>
          <w:color w:val="auto"/>
        </w:rPr>
        <w:t>Trattoria Lisina</w:t>
      </w:r>
      <w:r>
        <w:rPr>
          <w:rFonts w:ascii="Arial" w:cs="Arial" w:eastAsia="Arial" w:hAnsi="Arial"/>
          <w:sz w:val="19"/>
          <w:szCs w:val="19"/>
          <w:color w:val="auto"/>
        </w:rPr>
        <w:t>”) shall not be deemed to violate the provisions of Section 11(b) above (or the post-term restrictive covenants in Section 5.2 of the Royalty Agreement, as incorporated into this Agreement by reference pursuant to Section 2 hereof), as long as Trattoria Lisina continues to be owned and controlled by Damian Mandola, his Immediate Family and/or his or their Affiliates.</w:t>
      </w:r>
    </w:p>
    <w:p>
      <w:pPr>
        <w:spacing w:after="0" w:line="208" w:lineRule="exact"/>
        <w:rPr>
          <w:rFonts w:ascii="Arial" w:cs="Arial" w:eastAsia="Arial" w:hAnsi="Arial"/>
          <w:sz w:val="19"/>
          <w:szCs w:val="19"/>
          <w:color w:val="auto"/>
        </w:rPr>
      </w:pPr>
    </w:p>
    <w:p>
      <w:pPr>
        <w:jc w:val="both"/>
        <w:ind w:left="620" w:firstLine="621"/>
        <w:spacing w:after="0" w:line="282" w:lineRule="auto"/>
        <w:tabs>
          <w:tab w:leader="none" w:pos="1847" w:val="left"/>
        </w:tabs>
        <w:numPr>
          <w:ilvl w:val="1"/>
          <w:numId w:val="73"/>
        </w:numPr>
        <w:rPr>
          <w:rFonts w:ascii="Arial" w:cs="Arial" w:eastAsia="Arial" w:hAnsi="Arial"/>
          <w:sz w:val="17"/>
          <w:szCs w:val="17"/>
          <w:color w:val="auto"/>
        </w:rPr>
      </w:pPr>
      <w:r>
        <w:rPr>
          <w:rFonts w:ascii="Arial" w:cs="Arial" w:eastAsia="Arial" w:hAnsi="Arial"/>
          <w:sz w:val="17"/>
          <w:szCs w:val="17"/>
          <w:color w:val="auto"/>
        </w:rPr>
        <w:t>Each of CI, CWI, MBI and MBI2 shall require and obtain execution of confidentiality covenants similar to those set forth in Section 11(a) above from the following persons: (i) all managers, kitchen managers and assistant managers of the Kirby Restaurant and/or Voss Restaurant; and (iii) all officers and directors of MBI, MBI2, CI or CWI. Such covenants shall be in form reasonably satisfactory to CIGI and naming CIGI as a third-party beneficiary of such covenants with the independent right to enforce them. Nothing in this Section 11(c) shall be construed as a guarantee by MBI, MBI2, CI or CWI of the enforceability of such covenants.</w:t>
      </w:r>
    </w:p>
    <w:p>
      <w:pPr>
        <w:spacing w:after="0" w:line="173" w:lineRule="exact"/>
        <w:rPr>
          <w:rFonts w:ascii="Arial" w:cs="Arial" w:eastAsia="Arial" w:hAnsi="Arial"/>
          <w:sz w:val="17"/>
          <w:szCs w:val="17"/>
          <w:color w:val="auto"/>
        </w:rPr>
      </w:pPr>
    </w:p>
    <w:p>
      <w:pPr>
        <w:jc w:val="both"/>
        <w:ind w:firstLine="622"/>
        <w:spacing w:after="0" w:line="272" w:lineRule="auto"/>
        <w:tabs>
          <w:tab w:leader="none" w:pos="1229" w:val="left"/>
        </w:tabs>
        <w:numPr>
          <w:ilvl w:val="0"/>
          <w:numId w:val="74"/>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 by Founders</w:t>
      </w:r>
      <w:r>
        <w:rPr>
          <w:rFonts w:ascii="Arial" w:cs="Arial" w:eastAsia="Arial" w:hAnsi="Arial"/>
          <w:sz w:val="17"/>
          <w:szCs w:val="17"/>
          <w:color w:val="auto"/>
        </w:rPr>
        <w:t>. Founders agree, jointly and severally, to indemnify, defend, and hold harmless the BBI Entities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respective Affiliates, directors, officers, shareholders, members, partners, employees, agents, attorneys and representatives, together with the predecessors, successors, heirs and assigns of any and all of them (the “</w:t>
      </w:r>
      <w:r>
        <w:rPr>
          <w:rFonts w:ascii="Arial" w:cs="Arial" w:eastAsia="Arial" w:hAnsi="Arial"/>
          <w:sz w:val="17"/>
          <w:szCs w:val="17"/>
          <w:u w:val="single" w:color="auto"/>
          <w:color w:val="auto"/>
        </w:rPr>
        <w:t>BBI Indemnified Parties</w:t>
      </w:r>
      <w:r>
        <w:rPr>
          <w:rFonts w:ascii="Arial" w:cs="Arial" w:eastAsia="Arial" w:hAnsi="Arial"/>
          <w:sz w:val="17"/>
          <w:szCs w:val="17"/>
          <w:color w:val="auto"/>
        </w:rPr>
        <w:t>”), and reimburse any and all of the BBI Indemnified Parties for, any and all Claims (as defined below) arising out of or related, directly or indirectly, to: (i) any breach of the representations or warranties set forth in Section 10 of this Agreement; (ii) any failure by Founders, or any of them, to perform any covenants or agreements contained in this Agreement; or (iii) the operation of the Original Restaurants, including, without limitation, negligence of Founders, or any of them, or their agents, employees or contractors. Under no circumstances will any BBI Indemnified Party be required to seek recovery from any insurer, other third party, or otherwise, or to mitigate its losses and expenses, in order to maintain and recover fully a Claim under this Section. Founders agree that a failure to pursue such recovery or to mitigate a loss will in no way reduce or alter the amounts any BBI Indemnified Party may recover. For purposes of this Agreement, “</w:t>
      </w:r>
      <w:r>
        <w:rPr>
          <w:rFonts w:ascii="Arial" w:cs="Arial" w:eastAsia="Arial" w:hAnsi="Arial"/>
          <w:sz w:val="17"/>
          <w:szCs w:val="17"/>
          <w:u w:val="single" w:color="auto"/>
          <w:color w:val="auto"/>
        </w:rPr>
        <w:t>Claims</w:t>
      </w:r>
      <w:r>
        <w:rPr>
          <w:rFonts w:ascii="Arial" w:cs="Arial" w:eastAsia="Arial" w:hAnsi="Arial"/>
          <w:sz w:val="17"/>
          <w:szCs w:val="17"/>
          <w:color w:val="auto"/>
        </w:rPr>
        <w:t>” shall mean: (a) all liabilities, losses, damages (including, without limitation, consequential damages, but only to the extent such consequential damages are awarded to a third party and not consequential damages allegedly incurred by a BBI Indemnified Party absent an award to a third party for which a BBI Indemnified Party is liable), judgments, awards, settlements approved by the indemnified party (such approval shall not be unreasonably withheld or delayed), costs and expenses (including, without limitation, interest (including, without limitation, prejudgment interest in any litigated matter), penalties, court costs and reasonable attorneys’ fees and expenses); and (b) all demands, claims, suits, actions, costs of investigation, causes of action, proceedings and assessments. Notwithstanding the foregoing, in the event the BBI Indemnified Parties are entitled to indemnification hereunder on account of the actions of either Johnny Carrabba or Damian Mandola, the indemnification obligations contained herein shall not be joint and several, but rather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858" w:right="339" w:bottom="1440" w:gutter="0" w:footer="0" w:header="0"/>
        </w:sectPr>
      </w:pPr>
    </w:p>
    <w:bookmarkStart w:id="73" w:name="page74"/>
    <w:bookmarkEnd w:id="73"/>
    <w:p>
      <w:pPr>
        <w:spacing w:after="0" w:line="264" w:lineRule="auto"/>
        <w:rPr>
          <w:sz w:val="20"/>
          <w:szCs w:val="20"/>
          <w:color w:val="auto"/>
        </w:rPr>
      </w:pPr>
      <w:r>
        <w:rPr>
          <w:rFonts w:ascii="Arial" w:cs="Arial" w:eastAsia="Arial" w:hAnsi="Arial"/>
          <w:sz w:val="19"/>
          <w:szCs w:val="19"/>
          <w:color w:val="auto"/>
        </w:rPr>
        <w:t>several only on the part of Johnny Carrabba or Damian Mandola, as applicable. The indemnity provisions of this Section 12 shall survive the expiration or termination of this Agreement.</w:t>
      </w:r>
    </w:p>
    <w:p>
      <w:pPr>
        <w:spacing w:after="0" w:line="184" w:lineRule="exact"/>
        <w:rPr>
          <w:sz w:val="20"/>
          <w:szCs w:val="20"/>
          <w:color w:val="auto"/>
        </w:rPr>
      </w:pPr>
    </w:p>
    <w:p>
      <w:pPr>
        <w:jc w:val="both"/>
        <w:ind w:firstLine="622"/>
        <w:spacing w:after="0" w:line="276" w:lineRule="auto"/>
        <w:tabs>
          <w:tab w:leader="none" w:pos="1229" w:val="left"/>
        </w:tabs>
        <w:numPr>
          <w:ilvl w:val="0"/>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 by CIGI and OSI</w:t>
      </w:r>
      <w:r>
        <w:rPr>
          <w:rFonts w:ascii="Arial" w:cs="Arial" w:eastAsia="Arial" w:hAnsi="Arial"/>
          <w:sz w:val="17"/>
          <w:szCs w:val="17"/>
          <w:color w:val="auto"/>
        </w:rPr>
        <w:t>. CIGI and OSI agree, jointly and severally, to indemnify, defend, and hold harmless Founders</w:t>
      </w:r>
      <w:r>
        <w:rPr>
          <w:rFonts w:ascii="Arial" w:cs="Arial" w:eastAsia="Arial" w:hAnsi="Arial"/>
          <w:sz w:val="17"/>
          <w:szCs w:val="17"/>
          <w:b w:val="1"/>
          <w:bCs w:val="1"/>
          <w:color w:val="auto"/>
        </w:rPr>
        <w:t xml:space="preserve"> </w:t>
      </w:r>
      <w:r>
        <w:rPr>
          <w:rFonts w:ascii="Arial" w:cs="Arial" w:eastAsia="Arial" w:hAnsi="Arial"/>
          <w:sz w:val="17"/>
          <w:szCs w:val="17"/>
          <w:color w:val="auto"/>
        </w:rPr>
        <w:t>and their respective Affiliates, directors, officers, shareholders, members, partners, employees, agents, attorneys and representatives, together with the predecessors, successors, heirs and assigns of any and all of them (the “</w:t>
      </w:r>
      <w:r>
        <w:rPr>
          <w:rFonts w:ascii="Arial" w:cs="Arial" w:eastAsia="Arial" w:hAnsi="Arial"/>
          <w:sz w:val="17"/>
          <w:szCs w:val="17"/>
          <w:u w:val="single" w:color="auto"/>
          <w:color w:val="auto"/>
        </w:rPr>
        <w:t>Founder Indemnified Parties</w:t>
      </w:r>
      <w:r>
        <w:rPr>
          <w:rFonts w:ascii="Arial" w:cs="Arial" w:eastAsia="Arial" w:hAnsi="Arial"/>
          <w:sz w:val="17"/>
          <w:szCs w:val="17"/>
          <w:color w:val="auto"/>
        </w:rPr>
        <w:t>”), and reimburse any and all of the Founder Indemnified Parties for, any and all Claims arising out of or related, directly or indirectly, to (i) any breach of the representations or warranties set forth in Section 9 of this Agreement; or (ii) any failure by CIGI or OSI to perform any covenants or agreements contained in this Agreement. Under no circumstances will any Founder Indemnified Party be required to seek recovery from any insurer, other third party, or otherwise, or to mitigate its losses and expenses, in order to maintain and recover fully a Claim under this Section. CIGI and OSI agree that a failure to pursue such recovery or to mitigate a loss will in no way reduce or alter the amounts any Founder Indemnified Party may recover. The indemnity provisions of this Section 13 shall survive the expiration or termination of this Agreement.</w:t>
      </w:r>
    </w:p>
    <w:p>
      <w:pPr>
        <w:spacing w:after="0" w:line="181" w:lineRule="exact"/>
        <w:rPr>
          <w:rFonts w:ascii="Arial" w:cs="Arial" w:eastAsia="Arial" w:hAnsi="Arial"/>
          <w:sz w:val="17"/>
          <w:szCs w:val="17"/>
          <w:color w:val="auto"/>
        </w:rPr>
      </w:pPr>
    </w:p>
    <w:p>
      <w:pPr>
        <w:jc w:val="both"/>
        <w:ind w:firstLine="622"/>
        <w:spacing w:after="0" w:line="258" w:lineRule="auto"/>
        <w:tabs>
          <w:tab w:leader="none" w:pos="1229"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 by Founders</w:t>
      </w:r>
      <w:r>
        <w:rPr>
          <w:rFonts w:ascii="Arial" w:cs="Arial" w:eastAsia="Arial" w:hAnsi="Arial"/>
          <w:sz w:val="18"/>
          <w:szCs w:val="18"/>
          <w:color w:val="auto"/>
        </w:rPr>
        <w:t>. In specific consideration of CIGI and OSI’s entry into this Agreement, and effective as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Founders, for themselves and their respective Affiliates, directors, officers, shareholders, members, partners, employees, agents, attorneys and representatives, together with the predecessors, successors, heirs and assigns of any and all of them (collectively, the “</w:t>
      </w:r>
      <w:r>
        <w:rPr>
          <w:rFonts w:ascii="Arial" w:cs="Arial" w:eastAsia="Arial" w:hAnsi="Arial"/>
          <w:sz w:val="18"/>
          <w:szCs w:val="18"/>
          <w:u w:val="single" w:color="auto"/>
          <w:color w:val="auto"/>
        </w:rPr>
        <w:t>Founder Releasing Parties</w:t>
      </w:r>
      <w:r>
        <w:rPr>
          <w:rFonts w:ascii="Arial" w:cs="Arial" w:eastAsia="Arial" w:hAnsi="Arial"/>
          <w:sz w:val="18"/>
          <w:szCs w:val="18"/>
          <w:color w:val="auto"/>
        </w:rPr>
        <w:t>”), hereby release, remise, acquit, and forever discharge CIGI and OSI and their respective Affiliates, directors, officers, shareholders, members, partners, employees, agents, attorneys and representatives, together with the predecessors, successors, heirs and assign s of any and all of them (collectively, the “</w:t>
      </w:r>
      <w:r>
        <w:rPr>
          <w:rFonts w:ascii="Arial" w:cs="Arial" w:eastAsia="Arial" w:hAnsi="Arial"/>
          <w:sz w:val="18"/>
          <w:szCs w:val="18"/>
          <w:u w:val="single" w:color="auto"/>
          <w:color w:val="auto"/>
        </w:rPr>
        <w:t>BBI Released Parties</w:t>
      </w:r>
      <w:r>
        <w:rPr>
          <w:rFonts w:ascii="Arial" w:cs="Arial" w:eastAsia="Arial" w:hAnsi="Arial"/>
          <w:sz w:val="18"/>
          <w:szCs w:val="18"/>
          <w:color w:val="auto"/>
        </w:rPr>
        <w:t>”), from and against any and all debts, claims, demands, actions, causes of action, loss, losses, damage, damages, and liabilities of any nature or kind, contingent or fixed, known or unknown, at law or in equity or otherwise, which the Founder Releasing Parties (or any of them) now have or ever had against the BBI Released Parties, or any of them, including, without limitation, anything related to, or that may hereafter arise out of or relate to: (i) the Royalty Agreement or any related agreement; or (ii) the business relationship or other agreements between the BBI Released Parties, or any of them, on the one hand, and the Founder Releasing Parties, or any of them, on the other hand; for any matter arising prior to and including the Effective Date of this Agreement; provided, however, this release does not apply to any duties or obligations expressly contained in this Agreement.</w:t>
      </w:r>
    </w:p>
    <w:p>
      <w:pPr>
        <w:spacing w:after="0" w:line="191" w:lineRule="exact"/>
        <w:rPr>
          <w:rFonts w:ascii="Arial" w:cs="Arial" w:eastAsia="Arial" w:hAnsi="Arial"/>
          <w:sz w:val="18"/>
          <w:szCs w:val="18"/>
          <w:color w:val="auto"/>
        </w:rPr>
      </w:pPr>
    </w:p>
    <w:p>
      <w:pPr>
        <w:jc w:val="both"/>
        <w:ind w:firstLine="622"/>
        <w:spacing w:after="0" w:line="274" w:lineRule="auto"/>
        <w:tabs>
          <w:tab w:leader="none" w:pos="1229" w:val="left"/>
        </w:tabs>
        <w:numPr>
          <w:ilvl w:val="0"/>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Release by CIGI and OSI</w:t>
      </w:r>
      <w:r>
        <w:rPr>
          <w:rFonts w:ascii="Arial" w:cs="Arial" w:eastAsia="Arial" w:hAnsi="Arial"/>
          <w:sz w:val="17"/>
          <w:szCs w:val="17"/>
          <w:color w:val="auto"/>
        </w:rPr>
        <w:t>. In specific consideration of the Founders’ entry into this Agreement, and effective as of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CIGI and OSI, for themselves and their respective Affiliates. directors, officers, shareholders, members, partners, employees, agents, attorneys and representatives, together with the predecessors, successors, heirs and assigns of any and all of them (collectively, the “</w:t>
      </w:r>
      <w:r>
        <w:rPr>
          <w:rFonts w:ascii="Arial" w:cs="Arial" w:eastAsia="Arial" w:hAnsi="Arial"/>
          <w:sz w:val="17"/>
          <w:szCs w:val="17"/>
          <w:u w:val="single" w:color="auto"/>
          <w:color w:val="auto"/>
        </w:rPr>
        <w:t>BBI Releasing Parties</w:t>
      </w:r>
      <w:r>
        <w:rPr>
          <w:rFonts w:ascii="Arial" w:cs="Arial" w:eastAsia="Arial" w:hAnsi="Arial"/>
          <w:sz w:val="17"/>
          <w:szCs w:val="17"/>
          <w:color w:val="auto"/>
        </w:rPr>
        <w:t>”), hereby release, remise, acquit, and forever discharge Founders and their respective Affiliates, directors, officers, shareholders members, partners, employees, agents, attorneys and representatives, together with the predecessors, successors, heirs and assigns of any and all of them (collectively, the “</w:t>
      </w:r>
      <w:r>
        <w:rPr>
          <w:rFonts w:ascii="Arial" w:cs="Arial" w:eastAsia="Arial" w:hAnsi="Arial"/>
          <w:sz w:val="17"/>
          <w:szCs w:val="17"/>
          <w:u w:val="single" w:color="auto"/>
          <w:color w:val="auto"/>
        </w:rPr>
        <w:t>Founder Released Parties</w:t>
      </w:r>
      <w:r>
        <w:rPr>
          <w:rFonts w:ascii="Arial" w:cs="Arial" w:eastAsia="Arial" w:hAnsi="Arial"/>
          <w:sz w:val="17"/>
          <w:szCs w:val="17"/>
          <w:color w:val="auto"/>
        </w:rPr>
        <w:t>”), from and against any and all debts, claims, demands, actions, causes of action, loss, losses, damage, damages, and liabilities of any nature or kind, contingent or fixed, known or unknown, at law or in equity or otherwise, which the BBI Releasing Parties, or any of them, now have or ever had against the Founder Released Parties, or any of them, including, without limitation, anything related to, or that may hereafter arise out of or relate to: (i) the Royalty Agreement or any related agreement; or (ii) the business relationship or other agreements between the BBI Released Parties, or any of them, on the one hand, and the Founder Releasing Parties, or any of them, on the other hand; for any matter arising prior to and including the Effective Date of this Agreement; provided, however, this release does not apply to (a) any duties or obligations expressly contained in this Agreement; (b) the operation of the Original Restaurants; or (c) any obligations that expressly or by their nature survive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858" w:right="33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t>termination of the Royalty Agreement, including the confidentiality obligations and post-term restrictive covenants.</w:t>
      </w:r>
    </w:p>
    <w:p>
      <w:pPr>
        <w:spacing w:after="0" w:line="227" w:lineRule="exact"/>
        <w:rPr>
          <w:sz w:val="20"/>
          <w:szCs w:val="20"/>
          <w:color w:val="auto"/>
        </w:rPr>
      </w:pPr>
    </w:p>
    <w:p>
      <w:pPr>
        <w:jc w:val="both"/>
        <w:ind w:firstLine="622"/>
        <w:spacing w:after="0" w:line="250" w:lineRule="auto"/>
        <w:tabs>
          <w:tab w:leader="none" w:pos="1229"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 The parties each agree to refrain from disparaging or otherwise making derogatory comments or statements,</w:t>
      </w:r>
      <w:r>
        <w:rPr>
          <w:rFonts w:ascii="Arial" w:cs="Arial" w:eastAsia="Arial" w:hAnsi="Arial"/>
          <w:sz w:val="19"/>
          <w:szCs w:val="19"/>
          <w:b w:val="1"/>
          <w:bCs w:val="1"/>
          <w:color w:val="auto"/>
        </w:rPr>
        <w:t xml:space="preserve"> </w:t>
      </w:r>
      <w:r>
        <w:rPr>
          <w:rFonts w:ascii="Arial" w:cs="Arial" w:eastAsia="Arial" w:hAnsi="Arial"/>
          <w:sz w:val="19"/>
          <w:szCs w:val="19"/>
          <w:color w:val="auto"/>
        </w:rPr>
        <w:t>orally or in writing, concerning the other party's or parties' character, business practices or operations, or in any way tending to harm the other party's or parties' reputation and standing or that of such party's or parties' officers, directors, employees, shareholders, Affiliates, agents, representatives, successors or assigns.</w:t>
      </w:r>
    </w:p>
    <w:p>
      <w:pPr>
        <w:spacing w:after="0" w:line="172" w:lineRule="exact"/>
        <w:rPr>
          <w:rFonts w:ascii="Arial" w:cs="Arial" w:eastAsia="Arial" w:hAnsi="Arial"/>
          <w:sz w:val="19"/>
          <w:szCs w:val="19"/>
          <w:color w:val="auto"/>
        </w:rPr>
      </w:pPr>
    </w:p>
    <w:p>
      <w:pPr>
        <w:ind w:left="1240" w:hanging="618"/>
        <w:spacing w:after="0"/>
        <w:tabs>
          <w:tab w:leader="none" w:pos="1240"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Transfers</w:t>
      </w:r>
      <w:r>
        <w:rPr>
          <w:rFonts w:ascii="Arial" w:cs="Arial" w:eastAsia="Arial" w:hAnsi="Arial"/>
          <w:sz w:val="19"/>
          <w:szCs w:val="19"/>
          <w:color w:val="auto"/>
        </w:rPr>
        <w:t>.</w:t>
      </w:r>
    </w:p>
    <w:p>
      <w:pPr>
        <w:spacing w:after="0" w:line="212" w:lineRule="exact"/>
        <w:rPr>
          <w:rFonts w:ascii="Arial" w:cs="Arial" w:eastAsia="Arial" w:hAnsi="Arial"/>
          <w:sz w:val="19"/>
          <w:szCs w:val="19"/>
          <w:color w:val="auto"/>
        </w:rPr>
      </w:pPr>
    </w:p>
    <w:p>
      <w:pPr>
        <w:jc w:val="both"/>
        <w:ind w:left="620" w:firstLine="621"/>
        <w:spacing w:after="0" w:line="280" w:lineRule="auto"/>
        <w:tabs>
          <w:tab w:leader="none" w:pos="1850" w:val="left"/>
        </w:tabs>
        <w:numPr>
          <w:ilvl w:val="1"/>
          <w:numId w:val="76"/>
        </w:numPr>
        <w:rPr>
          <w:rFonts w:ascii="Arial" w:cs="Arial" w:eastAsia="Arial" w:hAnsi="Arial"/>
          <w:sz w:val="17"/>
          <w:szCs w:val="17"/>
          <w:color w:val="auto"/>
        </w:rPr>
      </w:pPr>
      <w:r>
        <w:rPr>
          <w:rFonts w:ascii="Arial" w:cs="Arial" w:eastAsia="Arial" w:hAnsi="Arial"/>
          <w:sz w:val="17"/>
          <w:szCs w:val="17"/>
          <w:color w:val="auto"/>
        </w:rPr>
        <w:t>CIGI or OSI may transfer or assign this Agreement and all or any part of their rights and obligations hereunder, or all or any part of CIGI’s or OSI’s assets, to any person or legal entity without the consent of Founders; provided, however, that any transferee and successor will succeed to the rights of CIGI and/or OSI in the License and they expressly agree to assume CIGI’s or OSI’s obligations under this Agreement, as applicable. CIGI and OSI may change their ownership or form without any restriction. Founders expressly and specifically waive any claims, demands, or damages against the BBI Entities arising from or related to the transfer of the Proprietary Marks (or any variation of them) and/or the Carrabba’s IP (or any component thereof) from CIGI to any other party.</w:t>
      </w:r>
    </w:p>
    <w:p>
      <w:pPr>
        <w:spacing w:after="0" w:line="152" w:lineRule="exact"/>
        <w:rPr>
          <w:rFonts w:ascii="Arial" w:cs="Arial" w:eastAsia="Arial" w:hAnsi="Arial"/>
          <w:sz w:val="17"/>
          <w:szCs w:val="17"/>
          <w:color w:val="auto"/>
        </w:rPr>
      </w:pPr>
    </w:p>
    <w:p>
      <w:pPr>
        <w:jc w:val="both"/>
        <w:ind w:left="620" w:firstLine="621"/>
        <w:spacing w:after="0" w:line="280" w:lineRule="auto"/>
        <w:tabs>
          <w:tab w:leader="none" w:pos="1847" w:val="left"/>
        </w:tabs>
        <w:numPr>
          <w:ilvl w:val="1"/>
          <w:numId w:val="76"/>
        </w:numPr>
        <w:rPr>
          <w:rFonts w:ascii="Arial" w:cs="Arial" w:eastAsia="Arial" w:hAnsi="Arial"/>
          <w:sz w:val="17"/>
          <w:szCs w:val="17"/>
          <w:color w:val="auto"/>
        </w:rPr>
      </w:pPr>
      <w:r>
        <w:rPr>
          <w:rFonts w:ascii="Arial" w:cs="Arial" w:eastAsia="Arial" w:hAnsi="Arial"/>
          <w:sz w:val="17"/>
          <w:szCs w:val="17"/>
          <w:color w:val="auto"/>
        </w:rPr>
        <w:t>Except for Permitted Transfers or Employee Transfers (as those terms are defined below), Founders shall not, directly or indirectly, transfer or assign any interest in this Agreement (or any of their rights or obligations hereunder) or the Original Restaurants (including any ownership interests therein or all or substantially all of the assets thereof) without the prior written consent of CIGI and OSI and compliance with the terms of Section 8. Any purported transfer, by operation of law or otherwise, without CIGI’s and OSI’s required consent shall be deemed null and void. Any permitted transferee or assignee (including transfers pursuant to Section 16(c) or 16(d) below) shall be bound by the terms and conditions of this Agreement and shall sign a written agreement to that effect.</w:t>
      </w:r>
    </w:p>
    <w:p>
      <w:pPr>
        <w:spacing w:after="0" w:line="152" w:lineRule="exact"/>
        <w:rPr>
          <w:rFonts w:ascii="Arial" w:cs="Arial" w:eastAsia="Arial" w:hAnsi="Arial"/>
          <w:sz w:val="17"/>
          <w:szCs w:val="17"/>
          <w:color w:val="auto"/>
        </w:rPr>
      </w:pPr>
    </w:p>
    <w:p>
      <w:pPr>
        <w:jc w:val="both"/>
        <w:ind w:left="620" w:firstLine="621"/>
        <w:spacing w:after="0" w:line="244" w:lineRule="auto"/>
        <w:tabs>
          <w:tab w:leader="none" w:pos="1850" w:val="left"/>
        </w:tabs>
        <w:numPr>
          <w:ilvl w:val="1"/>
          <w:numId w:val="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Transfers</w:t>
      </w:r>
      <w:r>
        <w:rPr>
          <w:rFonts w:ascii="Arial" w:cs="Arial" w:eastAsia="Arial" w:hAnsi="Arial"/>
          <w:sz w:val="19"/>
          <w:szCs w:val="19"/>
          <w:color w:val="auto"/>
        </w:rPr>
        <w:t>” shall mean any assignment or transfer of interests to (i) Immediate Family Members of Johnny Carrabba, Damian Mandola, or John Carrabba, Jr. or (ii) any trust established by any of the foregoing individuals (alone or with their spouses) for estate planning purposes and for the benefit of Immediate Family Members; provided that, in each case, the transferee of such interests shall be subject to the same restrictions on further transfers as are contained in this Section 16 (including exceptions to such restrictions pursuant to this Section 16(c)). The term “</w:t>
      </w:r>
      <w:r>
        <w:rPr>
          <w:rFonts w:ascii="Arial" w:cs="Arial" w:eastAsia="Arial" w:hAnsi="Arial"/>
          <w:sz w:val="19"/>
          <w:szCs w:val="19"/>
          <w:u w:val="single" w:color="auto"/>
          <w:color w:val="auto"/>
        </w:rPr>
        <w:t>Immediate Family Member(s)</w:t>
      </w:r>
      <w:r>
        <w:rPr>
          <w:rFonts w:ascii="Arial" w:cs="Arial" w:eastAsia="Arial" w:hAnsi="Arial"/>
          <w:sz w:val="19"/>
          <w:szCs w:val="19"/>
          <w:color w:val="auto"/>
        </w:rPr>
        <w:t>” shall mean the spouse, parents, brothers, sisters and children, whether natural or adopted, of any individual. Founders shall provide advance written notice to CIGI and OSI for any Permitted Transfers.</w:t>
      </w:r>
    </w:p>
    <w:p>
      <w:pPr>
        <w:spacing w:after="0" w:line="185" w:lineRule="exact"/>
        <w:rPr>
          <w:rFonts w:ascii="Arial" w:cs="Arial" w:eastAsia="Arial" w:hAnsi="Arial"/>
          <w:sz w:val="19"/>
          <w:szCs w:val="19"/>
          <w:color w:val="auto"/>
        </w:rPr>
      </w:pPr>
    </w:p>
    <w:p>
      <w:pPr>
        <w:jc w:val="both"/>
        <w:ind w:left="620" w:firstLine="621"/>
        <w:spacing w:after="0" w:line="260" w:lineRule="auto"/>
        <w:tabs>
          <w:tab w:leader="none" w:pos="1847" w:val="left"/>
        </w:tabs>
        <w:numPr>
          <w:ilvl w:val="1"/>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Transfers</w:t>
      </w:r>
      <w:r>
        <w:rPr>
          <w:rFonts w:ascii="Arial" w:cs="Arial" w:eastAsia="Arial" w:hAnsi="Arial"/>
          <w:sz w:val="18"/>
          <w:szCs w:val="18"/>
          <w:color w:val="auto"/>
        </w:rPr>
        <w:t>” shall mean any assignment or transfer of interests, whether alone or together with previous, simultaneous or proposed transfers, to not more than five (5) individuals (in the aggregate) each of whom has been employed by MBI, MBI2, CI, CWI or their Affiliates in connection with the Original Restaurants for at least ten (10) years as of the Effective Date of this Agreement (collectively, the “</w:t>
      </w:r>
      <w:r>
        <w:rPr>
          <w:rFonts w:ascii="Arial" w:cs="Arial" w:eastAsia="Arial" w:hAnsi="Arial"/>
          <w:sz w:val="18"/>
          <w:szCs w:val="18"/>
          <w:u w:val="single" w:color="auto"/>
          <w:color w:val="auto"/>
        </w:rPr>
        <w:t>Founder Employees</w:t>
      </w:r>
      <w:r>
        <w:rPr>
          <w:rFonts w:ascii="Arial" w:cs="Arial" w:eastAsia="Arial" w:hAnsi="Arial"/>
          <w:sz w:val="18"/>
          <w:szCs w:val="18"/>
          <w:color w:val="auto"/>
        </w:rPr>
        <w:t>”); provided that, in each case, the transferee of such interests shall be subject to the same restrictions on further transfers as are contained in this Section 16. Founders shall provide advance written notice to CIGI and OSI for any Employee Transfers. If the transfer involves all or substantially all of the assets of the Kirby Restaurant and/or Voss Restaurant, or a controlling interest (direct or indirect) in the entity that then owns/operates the restaurants, then: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858" w:right="339" w:bottom="1440" w:gutter="0" w:footer="0" w:header="0"/>
        </w:sectPr>
      </w:pPr>
    </w:p>
    <w:bookmarkStart w:id="75" w:name="page76"/>
    <w:bookmarkEnd w:id="75"/>
    <w:p>
      <w:pPr>
        <w:jc w:val="both"/>
        <w:ind w:left="1238" w:hanging="154"/>
        <w:spacing w:after="0" w:line="265" w:lineRule="auto"/>
        <w:rPr>
          <w:sz w:val="20"/>
          <w:szCs w:val="20"/>
          <w:color w:val="auto"/>
        </w:rPr>
      </w:pPr>
      <w:r>
        <w:rPr>
          <w:rFonts w:ascii="Arial" w:cs="Arial" w:eastAsia="Arial" w:hAnsi="Arial"/>
          <w:sz w:val="17"/>
          <w:szCs w:val="17"/>
          <w:color w:val="auto"/>
        </w:rPr>
        <w:t>i. the transferee and CIGI shall sign a license agreement, in form mutually acceptable to both parties, related to the use of the Proprietary Marks and System in the operation of the Kirby Restaurant and/or Voss Restaurant, which new license agreement shall (A) replace and supersede the License Agreements; (B) contain terms and provisions reasonably necessary to protect CIGI’s interests in and to the Carrabba’s IP; (C) require a continuing royalty fee equal to five percent (5%) of Net Sales commencing on the fifteenth (15</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effective date of the transfer; and (D) provide for an initial term of twenty (20) years plus one consecutive renewal term of twenty (20) years. There shall be no initial fee, marketing fees or other fees payable under the new license agreement, except for the five percent (5%) royalty fee.</w:t>
      </w:r>
    </w:p>
    <w:p>
      <w:pPr>
        <w:spacing w:after="0" w:line="166" w:lineRule="exact"/>
        <w:rPr>
          <w:sz w:val="20"/>
          <w:szCs w:val="20"/>
          <w:color w:val="auto"/>
        </w:rPr>
      </w:pPr>
    </w:p>
    <w:p>
      <w:pPr>
        <w:jc w:val="both"/>
        <w:ind w:left="1238" w:hanging="154"/>
        <w:spacing w:after="0" w:line="261" w:lineRule="auto"/>
        <w:rPr>
          <w:sz w:val="20"/>
          <w:szCs w:val="20"/>
          <w:color w:val="auto"/>
        </w:rPr>
      </w:pPr>
      <w:r>
        <w:rPr>
          <w:rFonts w:ascii="Arial" w:cs="Arial" w:eastAsia="Arial" w:hAnsi="Arial"/>
          <w:sz w:val="18"/>
          <w:szCs w:val="18"/>
          <w:color w:val="auto"/>
        </w:rPr>
        <w:t>ii.Transferee shall designate at least one of the Founder Employees as the “</w:t>
      </w:r>
      <w:r>
        <w:rPr>
          <w:rFonts w:ascii="Arial" w:cs="Arial" w:eastAsia="Arial" w:hAnsi="Arial"/>
          <w:sz w:val="18"/>
          <w:szCs w:val="18"/>
          <w:u w:val="single" w:color="auto"/>
          <w:color w:val="auto"/>
        </w:rPr>
        <w:t>Designated Principal</w:t>
      </w:r>
      <w:r>
        <w:rPr>
          <w:rFonts w:ascii="Arial" w:cs="Arial" w:eastAsia="Arial" w:hAnsi="Arial"/>
          <w:sz w:val="18"/>
          <w:szCs w:val="18"/>
          <w:color w:val="auto"/>
        </w:rPr>
        <w:t>” who shall (A) own and control at least twenty (20%) percent of the equity and voting rights in the entity (or entities) that own the Kirby Restaurant and/or Voss Restaurant, as applicable; (B) have sufficient business and industry experience, and devote sufficient time and attention, necessary to actively oversee the operations of the restaurants; and (C) have authority to direct and control the day-to-day operations of the restaurants and to make decisions, on behalf of the Founder Employees, relating to the affairs of the business in its dealings with CIGI.</w:t>
      </w:r>
    </w:p>
    <w:p>
      <w:pPr>
        <w:spacing w:after="0" w:line="165" w:lineRule="exact"/>
        <w:rPr>
          <w:sz w:val="20"/>
          <w:szCs w:val="20"/>
          <w:color w:val="auto"/>
        </w:rPr>
      </w:pPr>
    </w:p>
    <w:p>
      <w:pPr>
        <w:jc w:val="both"/>
        <w:ind w:left="-622" w:firstLine="622"/>
        <w:spacing w:after="0" w:line="331" w:lineRule="auto"/>
        <w:tabs>
          <w:tab w:leader="none" w:pos="607" w:val="left"/>
        </w:tabs>
        <w:numPr>
          <w:ilvl w:val="0"/>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All notices or requests to be given hereunder by any party shall be in writing and will be deemed to be duly given if</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personally or sent by nationally recognized overnight delivery service (e.g., FedEx), or by registered or certified mail, postage prepaid, to:</w:t>
      </w:r>
    </w:p>
    <w:p>
      <w:pPr>
        <w:sectPr>
          <w:pgSz w:w="11900" w:h="16838" w:orient="portrait"/>
          <w:cols w:equalWidth="0" w:num="1">
            <w:col w:w="10618"/>
          </w:cols>
          <w:pgMar w:left="942" w:top="1296" w:right="339" w:bottom="1440" w:gutter="0" w:footer="0" w:header="0"/>
        </w:sectPr>
      </w:pPr>
    </w:p>
    <w:p>
      <w:pPr>
        <w:spacing w:after="0" w:line="146" w:lineRule="exact"/>
        <w:rPr>
          <w:sz w:val="20"/>
          <w:szCs w:val="20"/>
          <w:color w:val="auto"/>
        </w:rPr>
      </w:pPr>
    </w:p>
    <w:p>
      <w:pPr>
        <w:ind w:left="38"/>
        <w:spacing w:after="0"/>
        <w:rPr>
          <w:sz w:val="20"/>
          <w:szCs w:val="20"/>
          <w:color w:val="auto"/>
        </w:rPr>
      </w:pPr>
      <w:r>
        <w:rPr>
          <w:rFonts w:ascii="Arial" w:cs="Arial" w:eastAsia="Arial" w:hAnsi="Arial"/>
          <w:sz w:val="21"/>
          <w:szCs w:val="21"/>
          <w:u w:val="single" w:color="auto"/>
          <w:color w:val="auto"/>
        </w:rPr>
        <w:t>If to MBI, MBI2, CI</w:t>
      </w:r>
    </w:p>
    <w:p>
      <w:pPr>
        <w:spacing w:after="0" w:line="22" w:lineRule="exact"/>
        <w:rPr>
          <w:sz w:val="20"/>
          <w:szCs w:val="20"/>
          <w:color w:val="auto"/>
        </w:rPr>
      </w:pPr>
    </w:p>
    <w:p>
      <w:pPr>
        <w:ind w:left="38"/>
        <w:spacing w:after="0"/>
        <w:rPr>
          <w:sz w:val="20"/>
          <w:szCs w:val="20"/>
          <w:color w:val="auto"/>
        </w:rPr>
      </w:pPr>
      <w:r>
        <w:rPr>
          <w:rFonts w:ascii="Arial" w:cs="Arial" w:eastAsia="Arial" w:hAnsi="Arial"/>
          <w:sz w:val="18"/>
          <w:szCs w:val="18"/>
          <w:u w:val="single" w:color="auto"/>
          <w:color w:val="auto"/>
        </w:rPr>
        <w:t>Johnny Carrabba or John</w:t>
      </w:r>
    </w:p>
    <w:p>
      <w:pPr>
        <w:spacing w:after="0" w:line="51" w:lineRule="exact"/>
        <w:rPr>
          <w:sz w:val="20"/>
          <w:szCs w:val="20"/>
          <w:color w:val="auto"/>
        </w:rPr>
      </w:pPr>
    </w:p>
    <w:p>
      <w:pPr>
        <w:ind w:left="38"/>
        <w:spacing w:after="0"/>
        <w:rPr>
          <w:sz w:val="20"/>
          <w:szCs w:val="20"/>
          <w:color w:val="auto"/>
        </w:rPr>
      </w:pPr>
      <w:r>
        <w:rPr>
          <w:rFonts w:ascii="Arial" w:cs="Arial" w:eastAsia="Arial" w:hAnsi="Arial"/>
          <w:sz w:val="21"/>
          <w:szCs w:val="21"/>
          <w:u w:val="single" w:color="auto"/>
          <w:color w:val="auto"/>
        </w:rPr>
        <w:t>Carrabba, Jr.: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
        <w:spacing w:after="0"/>
        <w:rPr>
          <w:sz w:val="20"/>
          <w:szCs w:val="20"/>
          <w:color w:val="auto"/>
        </w:rPr>
      </w:pPr>
      <w:r>
        <w:rPr>
          <w:rFonts w:ascii="Arial" w:cs="Arial" w:eastAsia="Arial" w:hAnsi="Arial"/>
          <w:sz w:val="21"/>
          <w:szCs w:val="21"/>
          <w:u w:val="single" w:color="auto"/>
          <w:color w:val="auto"/>
        </w:rPr>
        <w:t>If to CWI:</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color w:val="auto"/>
        </w:rPr>
        <w:t>MANGIA BEVE, INC.</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3131 Argonne Street</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Houston, TX 77098</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Attn: John C. Carrabba, III</w:t>
      </w: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color w:val="auto"/>
        </w:rPr>
        <w:t>VOSS, INC.</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3131 Argonne Street</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Houston, TX 77098</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Attn: John C. Carrabba, III</w:t>
      </w:r>
    </w:p>
    <w:p>
      <w:pPr>
        <w:spacing w:after="0" w:line="200" w:lineRule="exact"/>
        <w:rPr>
          <w:sz w:val="20"/>
          <w:szCs w:val="20"/>
          <w:color w:val="auto"/>
        </w:rPr>
      </w:pPr>
    </w:p>
    <w:p>
      <w:pPr>
        <w:sectPr>
          <w:pgSz w:w="11900" w:h="16838" w:orient="portrait"/>
          <w:cols w:equalWidth="0" w:num="2">
            <w:col w:w="4278" w:space="720"/>
            <w:col w:w="5620"/>
          </w:cols>
          <w:pgMar w:left="942" w:top="1296" w:right="339" w:bottom="1440" w:gutter="0" w:footer="0" w:header="0"/>
          <w:type w:val="continuous"/>
        </w:sectPr>
      </w:pPr>
    </w:p>
    <w:p>
      <w:pPr>
        <w:spacing w:after="0" w:line="142" w:lineRule="exact"/>
        <w:rPr>
          <w:sz w:val="20"/>
          <w:szCs w:val="20"/>
          <w:color w:val="auto"/>
        </w:rPr>
      </w:pPr>
    </w:p>
    <w:tbl>
      <w:tblPr>
        <w:tblLayout w:type="fixed"/>
        <w:tblInd w:w="38" w:type="dxa"/>
        <w:tblCellMar>
          <w:top w:w="0" w:type="dxa"/>
          <w:left w:w="0" w:type="dxa"/>
          <w:bottom w:w="0" w:type="dxa"/>
          <w:right w:w="0" w:type="dxa"/>
        </w:tblCellMar>
      </w:tblPr>
      <w:tr>
        <w:trPr>
          <w:trHeight w:val="241"/>
        </w:trPr>
        <w:tc>
          <w:tcPr>
            <w:tcW w:w="3580" w:type="dxa"/>
            <w:vAlign w:val="bottom"/>
            <w:gridSpan w:val="4"/>
          </w:tcPr>
          <w:p>
            <w:pPr>
              <w:spacing w:after="0"/>
              <w:rPr>
                <w:sz w:val="20"/>
                <w:szCs w:val="20"/>
                <w:color w:val="auto"/>
              </w:rPr>
            </w:pPr>
            <w:r>
              <w:rPr>
                <w:rFonts w:ascii="Arial" w:cs="Arial" w:eastAsia="Arial" w:hAnsi="Arial"/>
                <w:sz w:val="21"/>
                <w:szCs w:val="21"/>
                <w:color w:val="auto"/>
              </w:rPr>
              <w:t>If to Damian Mandola:</w:t>
            </w:r>
          </w:p>
        </w:tc>
        <w:tc>
          <w:tcPr>
            <w:tcW w:w="4700" w:type="dxa"/>
            <w:vAlign w:val="bottom"/>
          </w:tcPr>
          <w:p>
            <w:pPr>
              <w:ind w:left="1380"/>
              <w:spacing w:after="0"/>
              <w:rPr>
                <w:sz w:val="20"/>
                <w:szCs w:val="20"/>
                <w:color w:val="auto"/>
              </w:rPr>
            </w:pPr>
            <w:r>
              <w:rPr>
                <w:rFonts w:ascii="Arial" w:cs="Arial" w:eastAsia="Arial" w:hAnsi="Arial"/>
                <w:sz w:val="21"/>
                <w:szCs w:val="21"/>
                <w:color w:val="auto"/>
              </w:rPr>
              <w:t>DAMIAN C. MANDOLA</w:t>
            </w:r>
          </w:p>
        </w:tc>
      </w:tr>
      <w:tr>
        <w:trPr>
          <w:trHeight w:val="281"/>
        </w:trPr>
        <w:tc>
          <w:tcPr>
            <w:tcW w:w="1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700" w:type="dxa"/>
            <w:vAlign w:val="bottom"/>
          </w:tcPr>
          <w:p>
            <w:pPr>
              <w:ind w:left="1380"/>
              <w:spacing w:after="0"/>
              <w:rPr>
                <w:sz w:val="20"/>
                <w:szCs w:val="20"/>
                <w:color w:val="auto"/>
              </w:rPr>
            </w:pPr>
            <w:r>
              <w:rPr>
                <w:rFonts w:ascii="Arial" w:cs="Arial" w:eastAsia="Arial" w:hAnsi="Arial"/>
                <w:sz w:val="21"/>
                <w:szCs w:val="21"/>
                <w:color w:val="auto"/>
              </w:rPr>
              <w:t>2155 Addison Road</w:t>
            </w:r>
          </w:p>
        </w:tc>
      </w:tr>
      <w:tr>
        <w:trPr>
          <w:trHeight w:val="264"/>
        </w:trPr>
        <w:tc>
          <w:tcPr>
            <w:tcW w:w="1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700" w:type="dxa"/>
            <w:vAlign w:val="bottom"/>
          </w:tcPr>
          <w:p>
            <w:pPr>
              <w:ind w:left="1380"/>
              <w:spacing w:after="0"/>
              <w:rPr>
                <w:sz w:val="20"/>
                <w:szCs w:val="20"/>
                <w:color w:val="auto"/>
              </w:rPr>
            </w:pPr>
            <w:r>
              <w:rPr>
                <w:rFonts w:ascii="Arial" w:cs="Arial" w:eastAsia="Arial" w:hAnsi="Arial"/>
                <w:sz w:val="21"/>
                <w:szCs w:val="21"/>
                <w:color w:val="auto"/>
              </w:rPr>
              <w:t>Houston, TX 77030</w:t>
            </w:r>
          </w:p>
        </w:tc>
      </w:tr>
      <w:tr>
        <w:trPr>
          <w:trHeight w:val="570"/>
        </w:trPr>
        <w:tc>
          <w:tcPr>
            <w:tcW w:w="3580" w:type="dxa"/>
            <w:vAlign w:val="bottom"/>
            <w:gridSpan w:val="4"/>
          </w:tcPr>
          <w:p>
            <w:pPr>
              <w:spacing w:after="0"/>
              <w:rPr>
                <w:sz w:val="20"/>
                <w:szCs w:val="20"/>
                <w:color w:val="auto"/>
              </w:rPr>
            </w:pPr>
            <w:r>
              <w:rPr>
                <w:rFonts w:ascii="Arial" w:cs="Arial" w:eastAsia="Arial" w:hAnsi="Arial"/>
                <w:sz w:val="21"/>
                <w:szCs w:val="21"/>
                <w:color w:val="auto"/>
              </w:rPr>
              <w:t>In each case with a copy to:</w:t>
            </w:r>
          </w:p>
        </w:tc>
        <w:tc>
          <w:tcPr>
            <w:tcW w:w="4700" w:type="dxa"/>
            <w:vAlign w:val="bottom"/>
          </w:tcPr>
          <w:p>
            <w:pPr>
              <w:ind w:left="1380"/>
              <w:spacing w:after="0"/>
              <w:rPr>
                <w:sz w:val="20"/>
                <w:szCs w:val="20"/>
                <w:color w:val="auto"/>
              </w:rPr>
            </w:pPr>
            <w:r>
              <w:rPr>
                <w:rFonts w:ascii="Arial" w:cs="Arial" w:eastAsia="Arial" w:hAnsi="Arial"/>
                <w:sz w:val="21"/>
                <w:szCs w:val="21"/>
                <w:color w:val="auto"/>
              </w:rPr>
              <w:t>BoyarMiller</w:t>
            </w:r>
          </w:p>
        </w:tc>
      </w:tr>
      <w:tr>
        <w:trPr>
          <w:trHeight w:val="281"/>
        </w:trPr>
        <w:tc>
          <w:tcPr>
            <w:tcW w:w="1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4700" w:type="dxa"/>
            <w:vAlign w:val="bottom"/>
          </w:tcPr>
          <w:p>
            <w:pPr>
              <w:ind w:left="1380"/>
              <w:spacing w:after="0" w:line="281" w:lineRule="exact"/>
              <w:rPr>
                <w:sz w:val="20"/>
                <w:szCs w:val="20"/>
                <w:color w:val="auto"/>
              </w:rPr>
            </w:pPr>
            <w:r>
              <w:rPr>
                <w:rFonts w:ascii="Arial" w:cs="Arial" w:eastAsia="Arial" w:hAnsi="Arial"/>
                <w:sz w:val="21"/>
                <w:szCs w:val="21"/>
                <w:color w:val="auto"/>
              </w:rPr>
              <w:t>2925 Richmond Avenue, 14</w:t>
            </w:r>
            <w:r>
              <w:rPr>
                <w:rFonts w:ascii="Arial" w:cs="Arial" w:eastAsia="Arial" w:hAnsi="Arial"/>
                <w:sz w:val="26"/>
                <w:szCs w:val="26"/>
                <w:color w:val="auto"/>
                <w:vertAlign w:val="superscript"/>
              </w:rPr>
              <w:t>th</w:t>
            </w:r>
            <w:r>
              <w:rPr>
                <w:rFonts w:ascii="Arial" w:cs="Arial" w:eastAsia="Arial" w:hAnsi="Arial"/>
                <w:sz w:val="21"/>
                <w:szCs w:val="21"/>
                <w:color w:val="auto"/>
              </w:rPr>
              <w:t xml:space="preserve"> Floor</w:t>
            </w:r>
          </w:p>
        </w:tc>
      </w:tr>
      <w:tr>
        <w:trPr>
          <w:trHeight w:val="258"/>
        </w:trPr>
        <w:tc>
          <w:tcPr>
            <w:tcW w:w="1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700" w:type="dxa"/>
            <w:vAlign w:val="bottom"/>
          </w:tcPr>
          <w:p>
            <w:pPr>
              <w:ind w:left="1380"/>
              <w:spacing w:after="0"/>
              <w:rPr>
                <w:sz w:val="20"/>
                <w:szCs w:val="20"/>
                <w:color w:val="auto"/>
              </w:rPr>
            </w:pPr>
            <w:r>
              <w:rPr>
                <w:rFonts w:ascii="Arial" w:cs="Arial" w:eastAsia="Arial" w:hAnsi="Arial"/>
                <w:sz w:val="21"/>
                <w:szCs w:val="21"/>
                <w:color w:val="auto"/>
              </w:rPr>
              <w:t>Houston, TX 77098</w:t>
            </w:r>
          </w:p>
        </w:tc>
      </w:tr>
      <w:tr>
        <w:trPr>
          <w:trHeight w:val="264"/>
        </w:trPr>
        <w:tc>
          <w:tcPr>
            <w:tcW w:w="1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700" w:type="dxa"/>
            <w:vAlign w:val="bottom"/>
          </w:tcPr>
          <w:p>
            <w:pPr>
              <w:ind w:left="1380"/>
              <w:spacing w:after="0"/>
              <w:rPr>
                <w:sz w:val="20"/>
                <w:szCs w:val="20"/>
                <w:color w:val="auto"/>
              </w:rPr>
            </w:pPr>
            <w:r>
              <w:rPr>
                <w:rFonts w:ascii="Arial" w:cs="Arial" w:eastAsia="Arial" w:hAnsi="Arial"/>
                <w:sz w:val="21"/>
                <w:szCs w:val="21"/>
                <w:color w:val="auto"/>
              </w:rPr>
              <w:t>Attn: Gary W. Miller</w:t>
            </w:r>
          </w:p>
        </w:tc>
      </w:tr>
      <w:tr>
        <w:trPr>
          <w:trHeight w:val="570"/>
        </w:trPr>
        <w:tc>
          <w:tcPr>
            <w:tcW w:w="3580" w:type="dxa"/>
            <w:vAlign w:val="bottom"/>
            <w:gridSpan w:val="4"/>
          </w:tcPr>
          <w:p>
            <w:pPr>
              <w:spacing w:after="0"/>
              <w:rPr>
                <w:sz w:val="20"/>
                <w:szCs w:val="20"/>
                <w:color w:val="auto"/>
              </w:rPr>
            </w:pPr>
            <w:r>
              <w:rPr>
                <w:rFonts w:ascii="Arial" w:cs="Arial" w:eastAsia="Arial" w:hAnsi="Arial"/>
                <w:sz w:val="21"/>
                <w:szCs w:val="21"/>
                <w:color w:val="auto"/>
              </w:rPr>
              <w:t>If to CIGI or OSI</w:t>
            </w:r>
          </w:p>
        </w:tc>
        <w:tc>
          <w:tcPr>
            <w:tcW w:w="4700" w:type="dxa"/>
            <w:vAlign w:val="bottom"/>
          </w:tcPr>
          <w:p>
            <w:pPr>
              <w:ind w:left="1380"/>
              <w:spacing w:after="0"/>
              <w:rPr>
                <w:sz w:val="20"/>
                <w:szCs w:val="20"/>
                <w:color w:val="auto"/>
              </w:rPr>
            </w:pPr>
            <w:r>
              <w:rPr>
                <w:rFonts w:ascii="Arial" w:cs="Arial" w:eastAsia="Arial" w:hAnsi="Arial"/>
                <w:sz w:val="21"/>
                <w:szCs w:val="21"/>
                <w:color w:val="auto"/>
                <w:w w:val="98"/>
              </w:rPr>
              <w:t>CARRABBA’S ITALIAN GRILL, LLC</w:t>
            </w:r>
          </w:p>
        </w:tc>
      </w:tr>
      <w:tr>
        <w:trPr>
          <w:trHeight w:val="281"/>
        </w:trPr>
        <w:tc>
          <w:tcPr>
            <w:tcW w:w="14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700" w:type="dxa"/>
            <w:vAlign w:val="bottom"/>
          </w:tcPr>
          <w:p>
            <w:pPr>
              <w:ind w:left="1380"/>
              <w:spacing w:after="0"/>
              <w:rPr>
                <w:sz w:val="20"/>
                <w:szCs w:val="20"/>
                <w:color w:val="auto"/>
              </w:rPr>
            </w:pPr>
            <w:r>
              <w:rPr>
                <w:rFonts w:ascii="Arial" w:cs="Arial" w:eastAsia="Arial" w:hAnsi="Arial"/>
                <w:sz w:val="21"/>
                <w:szCs w:val="21"/>
                <w:color w:val="auto"/>
                <w:w w:val="98"/>
              </w:rPr>
              <w:t>2202 N. West Shore Blvd, Suite 500</w:t>
            </w:r>
          </w:p>
        </w:tc>
      </w:tr>
      <w:tr>
        <w:trPr>
          <w:trHeight w:val="258"/>
        </w:trPr>
        <w:tc>
          <w:tcPr>
            <w:tcW w:w="1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700" w:type="dxa"/>
            <w:vAlign w:val="bottom"/>
          </w:tcPr>
          <w:p>
            <w:pPr>
              <w:ind w:left="1380"/>
              <w:spacing w:after="0"/>
              <w:rPr>
                <w:sz w:val="20"/>
                <w:szCs w:val="20"/>
                <w:color w:val="auto"/>
              </w:rPr>
            </w:pPr>
            <w:r>
              <w:rPr>
                <w:rFonts w:ascii="Arial" w:cs="Arial" w:eastAsia="Arial" w:hAnsi="Arial"/>
                <w:sz w:val="21"/>
                <w:szCs w:val="21"/>
                <w:color w:val="auto"/>
              </w:rPr>
              <w:t>Tampa, FL 33607</w:t>
            </w:r>
          </w:p>
        </w:tc>
      </w:tr>
      <w:tr>
        <w:trPr>
          <w:trHeight w:val="264"/>
        </w:trPr>
        <w:tc>
          <w:tcPr>
            <w:tcW w:w="1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700" w:type="dxa"/>
            <w:vAlign w:val="bottom"/>
          </w:tcPr>
          <w:p>
            <w:pPr>
              <w:ind w:left="1380"/>
              <w:spacing w:after="0"/>
              <w:rPr>
                <w:sz w:val="20"/>
                <w:szCs w:val="20"/>
                <w:color w:val="auto"/>
              </w:rPr>
            </w:pPr>
            <w:r>
              <w:rPr>
                <w:rFonts w:ascii="Arial" w:cs="Arial" w:eastAsia="Arial" w:hAnsi="Arial"/>
                <w:sz w:val="21"/>
                <w:szCs w:val="21"/>
                <w:color w:val="auto"/>
              </w:rPr>
              <w:t>Attn: Chief Legal Officer</w:t>
            </w:r>
          </w:p>
        </w:tc>
      </w:tr>
      <w:tr>
        <w:trPr>
          <w:trHeight w:val="581"/>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700" w:type="dxa"/>
            <w:vAlign w:val="bottom"/>
          </w:tcPr>
          <w:p>
            <w:pPr>
              <w:ind w:left="1300"/>
              <w:spacing w:after="0"/>
              <w:rPr>
                <w:sz w:val="20"/>
                <w:szCs w:val="20"/>
                <w:color w:val="auto"/>
              </w:rPr>
            </w:pPr>
            <w:r>
              <w:rPr>
                <w:rFonts w:ascii="Arial" w:cs="Arial" w:eastAsia="Arial" w:hAnsi="Arial"/>
                <w:sz w:val="17"/>
                <w:szCs w:val="17"/>
                <w:color w:val="auto"/>
              </w:rPr>
              <w:t>16</w:t>
            </w:r>
          </w:p>
        </w:tc>
      </w:tr>
    </w:tbl>
    <w:p>
      <w:pPr>
        <w:sectPr>
          <w:pgSz w:w="11900" w:h="16838" w:orient="portrait"/>
          <w:cols w:equalWidth="0" w:num="1">
            <w:col w:w="10618"/>
          </w:cols>
          <w:pgMar w:left="942" w:top="1296" w:right="339" w:bottom="1440" w:gutter="0" w:footer="0" w:header="0"/>
          <w:type w:val="continuous"/>
        </w:sectPr>
      </w:pPr>
    </w:p>
    <w:bookmarkStart w:id="76" w:name="page77"/>
    <w:bookmarkEnd w:id="76"/>
    <w:p>
      <w:pPr>
        <w:jc w:val="both"/>
        <w:ind w:firstLine="622"/>
        <w:spacing w:after="0" w:line="256" w:lineRule="auto"/>
        <w:tabs>
          <w:tab w:leader="none" w:pos="1229" w:val="left"/>
        </w:tabs>
        <w:numPr>
          <w:ilvl w:val="0"/>
          <w:numId w:val="78"/>
        </w:numPr>
        <w:rPr>
          <w:rFonts w:ascii="Arial" w:cs="Arial" w:eastAsia="Arial" w:hAnsi="Arial"/>
          <w:sz w:val="19"/>
          <w:szCs w:val="19"/>
          <w:color w:val="0A0A0A"/>
        </w:rPr>
      </w:pPr>
      <w:r>
        <w:rPr>
          <w:rFonts w:ascii="Arial" w:cs="Arial" w:eastAsia="Arial" w:hAnsi="Arial"/>
          <w:sz w:val="19"/>
          <w:szCs w:val="19"/>
          <w:b w:val="1"/>
          <w:bCs w:val="1"/>
          <w:u w:val="single" w:color="auto"/>
          <w:color w:val="0A0A0A"/>
        </w:rPr>
        <w:t>Relationship of Parties</w:t>
      </w:r>
      <w:r>
        <w:rPr>
          <w:rFonts w:ascii="Arial" w:cs="Arial" w:eastAsia="Arial" w:hAnsi="Arial"/>
          <w:sz w:val="19"/>
          <w:szCs w:val="19"/>
          <w:color w:val="0A0A0A"/>
        </w:rPr>
        <w:t>. It is understood and agreed by the parties hereto that this Agreement does not create a fiduciary</w:t>
      </w:r>
      <w:r>
        <w:rPr>
          <w:rFonts w:ascii="Arial" w:cs="Arial" w:eastAsia="Arial" w:hAnsi="Arial"/>
          <w:sz w:val="19"/>
          <w:szCs w:val="19"/>
          <w:b w:val="1"/>
          <w:bCs w:val="1"/>
          <w:color w:val="0A0A0A"/>
        </w:rPr>
        <w:t xml:space="preserve"> </w:t>
      </w:r>
      <w:r>
        <w:rPr>
          <w:rFonts w:ascii="Arial" w:cs="Arial" w:eastAsia="Arial" w:hAnsi="Arial"/>
          <w:sz w:val="19"/>
          <w:szCs w:val="19"/>
          <w:color w:val="0A0A0A"/>
        </w:rPr>
        <w:t>relationship between or among them and that nothing in this Agreement is intended to constitute any party an agent, legal representative, joint-venturer, partner, employee or servant of another party for any purpose whatsoever.</w:t>
      </w:r>
    </w:p>
    <w:p>
      <w:pPr>
        <w:spacing w:after="0" w:line="190" w:lineRule="exact"/>
        <w:rPr>
          <w:rFonts w:ascii="Arial" w:cs="Arial" w:eastAsia="Arial" w:hAnsi="Arial"/>
          <w:sz w:val="19"/>
          <w:szCs w:val="19"/>
          <w:color w:val="0A0A0A"/>
        </w:rPr>
      </w:pPr>
    </w:p>
    <w:p>
      <w:pPr>
        <w:jc w:val="both"/>
        <w:ind w:firstLine="622"/>
        <w:spacing w:after="0" w:line="250" w:lineRule="auto"/>
        <w:tabs>
          <w:tab w:leader="none" w:pos="1229" w:val="left"/>
        </w:tabs>
        <w:numPr>
          <w:ilvl w:val="0"/>
          <w:numId w:val="78"/>
        </w:numPr>
        <w:rPr>
          <w:rFonts w:ascii="Arial" w:cs="Arial" w:eastAsia="Arial" w:hAnsi="Arial"/>
          <w:sz w:val="19"/>
          <w:szCs w:val="19"/>
          <w:color w:val="0A0A0A"/>
        </w:rPr>
      </w:pPr>
      <w:r>
        <w:rPr>
          <w:rFonts w:ascii="Arial" w:cs="Arial" w:eastAsia="Arial" w:hAnsi="Arial"/>
          <w:sz w:val="19"/>
          <w:szCs w:val="19"/>
          <w:b w:val="1"/>
          <w:bCs w:val="1"/>
          <w:u w:val="single" w:color="auto"/>
          <w:color w:val="0A0A0A"/>
        </w:rPr>
        <w:t>Governing Law</w:t>
      </w:r>
      <w:r>
        <w:rPr>
          <w:rFonts w:ascii="Arial" w:cs="Arial" w:eastAsia="Arial" w:hAnsi="Arial"/>
          <w:sz w:val="19"/>
          <w:szCs w:val="19"/>
          <w:color w:val="0A0A0A"/>
        </w:rPr>
        <w:t>.</w:t>
      </w:r>
      <w:r>
        <w:rPr>
          <w:rFonts w:ascii="Arial" w:cs="Arial" w:eastAsia="Arial" w:hAnsi="Arial"/>
          <w:sz w:val="19"/>
          <w:szCs w:val="19"/>
          <w:b w:val="1"/>
          <w:bCs w:val="1"/>
          <w:color w:val="0A0A0A"/>
        </w:rPr>
        <w:t xml:space="preserve"> </w:t>
      </w:r>
      <w:r>
        <w:rPr>
          <w:rFonts w:ascii="Arial" w:cs="Arial" w:eastAsia="Arial" w:hAnsi="Arial"/>
          <w:sz w:val="19"/>
          <w:szCs w:val="19"/>
          <w:color w:val="000000"/>
        </w:rPr>
        <w:t>This Agreement and the rights and obligations hereunder shall be governed by Florida law. The parties agree that</w:t>
      </w:r>
      <w:r>
        <w:rPr>
          <w:rFonts w:ascii="Arial" w:cs="Arial" w:eastAsia="Arial" w:hAnsi="Arial"/>
          <w:sz w:val="19"/>
          <w:szCs w:val="19"/>
          <w:b w:val="1"/>
          <w:bCs w:val="1"/>
          <w:color w:val="0A0A0A"/>
        </w:rPr>
        <w:t xml:space="preserve"> </w:t>
      </w:r>
      <w:r>
        <w:rPr>
          <w:rFonts w:ascii="Arial" w:cs="Arial" w:eastAsia="Arial" w:hAnsi="Arial"/>
          <w:sz w:val="19"/>
          <w:szCs w:val="19"/>
          <w:color w:val="000000"/>
        </w:rPr>
        <w:t>venue and jurisdiction for any disputes related to or arising out of this Agreement shall be exclusively in the federal and state courts located in Hillsborough County, Florida, and each party hereby consents and irrevocably submits to the personal jurisdiction and venue of such courts and waives any objection that such courts constitute an inconvenient forum.</w:t>
      </w:r>
    </w:p>
    <w:p>
      <w:pPr>
        <w:spacing w:after="0" w:line="198" w:lineRule="exact"/>
        <w:rPr>
          <w:rFonts w:ascii="Arial" w:cs="Arial" w:eastAsia="Arial" w:hAnsi="Arial"/>
          <w:sz w:val="19"/>
          <w:szCs w:val="19"/>
          <w:color w:val="0A0A0A"/>
        </w:rPr>
      </w:pPr>
    </w:p>
    <w:p>
      <w:pPr>
        <w:jc w:val="both"/>
        <w:ind w:firstLine="622"/>
        <w:spacing w:after="0" w:line="276" w:lineRule="auto"/>
        <w:tabs>
          <w:tab w:leader="none" w:pos="1229" w:val="left"/>
        </w:tabs>
        <w:numPr>
          <w:ilvl w:val="0"/>
          <w:numId w:val="78"/>
        </w:numPr>
        <w:rPr>
          <w:rFonts w:ascii="Arial" w:cs="Arial" w:eastAsia="Arial" w:hAnsi="Arial"/>
          <w:sz w:val="18"/>
          <w:szCs w:val="18"/>
          <w:color w:val="0A0A0A"/>
        </w:rPr>
      </w:pPr>
      <w:r>
        <w:rPr>
          <w:rFonts w:ascii="Arial" w:cs="Arial" w:eastAsia="Arial" w:hAnsi="Arial"/>
          <w:sz w:val="18"/>
          <w:szCs w:val="18"/>
          <w:b w:val="1"/>
          <w:bCs w:val="1"/>
          <w:u w:val="single" w:color="auto"/>
          <w:color w:val="0A0A0A"/>
        </w:rPr>
        <w:t>Waiver of Jury Trial</w:t>
      </w:r>
      <w:r>
        <w:rPr>
          <w:rFonts w:ascii="Arial" w:cs="Arial" w:eastAsia="Arial" w:hAnsi="Arial"/>
          <w:sz w:val="18"/>
          <w:szCs w:val="18"/>
          <w:color w:val="0A0A0A"/>
        </w:rPr>
        <w:t>. EACH OF THE PARTIES TO THIS AGREEMENT HEREBY IRREVOCABLY WAIVES, AND SHALL</w:t>
      </w:r>
      <w:r>
        <w:rPr>
          <w:rFonts w:ascii="Arial" w:cs="Arial" w:eastAsia="Arial" w:hAnsi="Arial"/>
          <w:sz w:val="18"/>
          <w:szCs w:val="18"/>
          <w:b w:val="1"/>
          <w:bCs w:val="1"/>
          <w:color w:val="0A0A0A"/>
        </w:rPr>
        <w:t xml:space="preserve"> </w:t>
      </w:r>
      <w:r>
        <w:rPr>
          <w:rFonts w:ascii="Arial" w:cs="Arial" w:eastAsia="Arial" w:hAnsi="Arial"/>
          <w:sz w:val="18"/>
          <w:szCs w:val="18"/>
          <w:color w:val="0A0A0A"/>
        </w:rPr>
        <w:t>CAUSE ITS AFFILIATES TO WAIVE, ALL RIGHT TO A TRIAL BY JURY IN ANY ACTION, PROCEEDING OR COUNTERCLAIM ARISING OUT OF OR RELATING TO THIS AGREEMENT OR THE TRANSACTIONS CONTEMPLATED HEREBY.</w:t>
      </w:r>
    </w:p>
    <w:p>
      <w:pPr>
        <w:spacing w:after="0" w:line="175" w:lineRule="exact"/>
        <w:rPr>
          <w:rFonts w:ascii="Arial" w:cs="Arial" w:eastAsia="Arial" w:hAnsi="Arial"/>
          <w:sz w:val="18"/>
          <w:szCs w:val="18"/>
          <w:color w:val="0A0A0A"/>
        </w:rPr>
      </w:pPr>
    </w:p>
    <w:p>
      <w:pPr>
        <w:jc w:val="both"/>
        <w:ind w:firstLine="622"/>
        <w:spacing w:after="0" w:line="250" w:lineRule="auto"/>
        <w:tabs>
          <w:tab w:leader="none" w:pos="1229" w:val="left"/>
        </w:tabs>
        <w:numPr>
          <w:ilvl w:val="0"/>
          <w:numId w:val="78"/>
        </w:numPr>
        <w:rPr>
          <w:rFonts w:ascii="Arial" w:cs="Arial" w:eastAsia="Arial" w:hAnsi="Arial"/>
          <w:sz w:val="19"/>
          <w:szCs w:val="19"/>
          <w:color w:val="0A0A0A"/>
        </w:rPr>
      </w:pPr>
      <w:r>
        <w:rPr>
          <w:rFonts w:ascii="Arial" w:cs="Arial" w:eastAsia="Arial" w:hAnsi="Arial"/>
          <w:sz w:val="19"/>
          <w:szCs w:val="19"/>
          <w:b w:val="1"/>
          <w:bCs w:val="1"/>
          <w:u w:val="single" w:color="auto"/>
          <w:color w:val="0A0A0A"/>
        </w:rPr>
        <w:t>Enforcement Costs</w:t>
      </w:r>
      <w:r>
        <w:rPr>
          <w:rFonts w:ascii="Arial" w:cs="Arial" w:eastAsia="Arial" w:hAnsi="Arial"/>
          <w:sz w:val="19"/>
          <w:szCs w:val="19"/>
          <w:color w:val="0A0A0A"/>
        </w:rPr>
        <w:t>.</w:t>
      </w:r>
      <w:r>
        <w:rPr>
          <w:rFonts w:ascii="Arial" w:cs="Arial" w:eastAsia="Arial" w:hAnsi="Arial"/>
          <w:sz w:val="19"/>
          <w:szCs w:val="19"/>
          <w:b w:val="1"/>
          <w:bCs w:val="1"/>
          <w:color w:val="0A0A0A"/>
        </w:rPr>
        <w:t xml:space="preserve"> </w:t>
      </w:r>
      <w:r>
        <w:rPr>
          <w:rFonts w:ascii="Arial" w:cs="Arial" w:eastAsia="Arial" w:hAnsi="Arial"/>
          <w:sz w:val="19"/>
          <w:szCs w:val="19"/>
          <w:color w:val="000000"/>
        </w:rPr>
        <w:t>If a legal action is initiated by any party to this Agreement or its Affiliates against another party or its</w:t>
      </w:r>
      <w:r>
        <w:rPr>
          <w:rFonts w:ascii="Arial" w:cs="Arial" w:eastAsia="Arial" w:hAnsi="Arial"/>
          <w:sz w:val="19"/>
          <w:szCs w:val="19"/>
          <w:b w:val="1"/>
          <w:bCs w:val="1"/>
          <w:color w:val="0A0A0A"/>
        </w:rPr>
        <w:t xml:space="preserve"> </w:t>
      </w:r>
      <w:r>
        <w:rPr>
          <w:rFonts w:ascii="Arial" w:cs="Arial" w:eastAsia="Arial" w:hAnsi="Arial"/>
          <w:sz w:val="19"/>
          <w:szCs w:val="19"/>
          <w:color w:val="000000"/>
        </w:rPr>
        <w:t xml:space="preserve">Affiliates, arising out of or relating to any right or obligation hereunder, any and all fees, costs and expenses reasonably incurred by each </w:t>
      </w:r>
      <w:r>
        <w:rPr>
          <w:rFonts w:ascii="Arial" w:cs="Arial" w:eastAsia="Arial" w:hAnsi="Arial"/>
          <w:sz w:val="19"/>
          <w:szCs w:val="19"/>
          <w:color w:val="0A0A0A"/>
        </w:rPr>
        <w:t>successful</w:t>
      </w:r>
      <w:r>
        <w:rPr>
          <w:rFonts w:ascii="Arial" w:cs="Arial" w:eastAsia="Arial" w:hAnsi="Arial"/>
          <w:sz w:val="19"/>
          <w:szCs w:val="19"/>
          <w:color w:val="000000"/>
        </w:rPr>
        <w:t xml:space="preserve"> </w:t>
      </w:r>
      <w:r>
        <w:rPr>
          <w:rFonts w:ascii="Arial" w:cs="Arial" w:eastAsia="Arial" w:hAnsi="Arial"/>
          <w:sz w:val="19"/>
          <w:szCs w:val="19"/>
          <w:color w:val="0A0A0A"/>
        </w:rPr>
        <w:t>party (as determined by the applicable court) in investigating, preparing for, prosecuting, defending against, or providing evidence in respect of, such action will be paid or reimbursed by the unsuccessful party.</w:t>
      </w:r>
    </w:p>
    <w:p>
      <w:pPr>
        <w:spacing w:after="0" w:line="198" w:lineRule="exact"/>
        <w:rPr>
          <w:rFonts w:ascii="Arial" w:cs="Arial" w:eastAsia="Arial" w:hAnsi="Arial"/>
          <w:sz w:val="19"/>
          <w:szCs w:val="19"/>
          <w:color w:val="0A0A0A"/>
        </w:rPr>
      </w:pPr>
    </w:p>
    <w:p>
      <w:pPr>
        <w:ind w:firstLine="622"/>
        <w:spacing w:after="0" w:line="331" w:lineRule="auto"/>
        <w:tabs>
          <w:tab w:leader="none" w:pos="1229" w:val="left"/>
        </w:tabs>
        <w:numPr>
          <w:ilvl w:val="0"/>
          <w:numId w:val="78"/>
        </w:numPr>
        <w:rPr>
          <w:rFonts w:ascii="Arial" w:cs="Arial" w:eastAsia="Arial" w:hAnsi="Arial"/>
          <w:sz w:val="17"/>
          <w:szCs w:val="17"/>
          <w:color w:val="0A0A0A"/>
        </w:rPr>
      </w:pPr>
      <w:r>
        <w:rPr>
          <w:rFonts w:ascii="Arial" w:cs="Arial" w:eastAsia="Arial" w:hAnsi="Arial"/>
          <w:sz w:val="17"/>
          <w:szCs w:val="17"/>
          <w:b w:val="1"/>
          <w:bCs w:val="1"/>
          <w:u w:val="single" w:color="auto"/>
          <w:color w:val="0A0A0A"/>
        </w:rPr>
        <w:t>Expenses</w:t>
      </w:r>
      <w:r>
        <w:rPr>
          <w:rFonts w:ascii="Arial" w:cs="Arial" w:eastAsia="Arial" w:hAnsi="Arial"/>
          <w:sz w:val="17"/>
          <w:szCs w:val="17"/>
          <w:color w:val="0A0A0A"/>
        </w:rPr>
        <w:t>. Each party shall pay all fees and expenses incurred by them, including the fees of their respective counsel, accountants,</w:t>
      </w:r>
      <w:r>
        <w:rPr>
          <w:rFonts w:ascii="Arial" w:cs="Arial" w:eastAsia="Arial" w:hAnsi="Arial"/>
          <w:sz w:val="17"/>
          <w:szCs w:val="17"/>
          <w:b w:val="1"/>
          <w:bCs w:val="1"/>
          <w:color w:val="0A0A0A"/>
        </w:rPr>
        <w:t xml:space="preserve"> </w:t>
      </w:r>
      <w:r>
        <w:rPr>
          <w:rFonts w:ascii="Arial" w:cs="Arial" w:eastAsia="Arial" w:hAnsi="Arial"/>
          <w:sz w:val="17"/>
          <w:szCs w:val="17"/>
          <w:color w:val="0A0A0A"/>
        </w:rPr>
        <w:t>and other experts incident to the negotiation and preparation of this Agreement and the consummation of the transactions contemplated herein.</w:t>
      </w:r>
    </w:p>
    <w:p>
      <w:pPr>
        <w:spacing w:after="0" w:line="105" w:lineRule="exact"/>
        <w:rPr>
          <w:rFonts w:ascii="Arial" w:cs="Arial" w:eastAsia="Arial" w:hAnsi="Arial"/>
          <w:sz w:val="17"/>
          <w:szCs w:val="17"/>
          <w:color w:val="0A0A0A"/>
        </w:rPr>
      </w:pPr>
    </w:p>
    <w:p>
      <w:pPr>
        <w:ind w:firstLine="622"/>
        <w:spacing w:after="0" w:line="271" w:lineRule="auto"/>
        <w:tabs>
          <w:tab w:leader="none" w:pos="1229" w:val="left"/>
        </w:tabs>
        <w:numPr>
          <w:ilvl w:val="0"/>
          <w:numId w:val="78"/>
        </w:numPr>
        <w:rPr>
          <w:rFonts w:ascii="Arial" w:cs="Arial" w:eastAsia="Arial" w:hAnsi="Arial"/>
          <w:sz w:val="19"/>
          <w:szCs w:val="19"/>
          <w:color w:val="0A0A0A"/>
        </w:rPr>
      </w:pP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Founders shall be responsible for any sales, use, income, gross receipts, capital gains, transfer or similar taxes or</w:t>
      </w:r>
      <w:r>
        <w:rPr>
          <w:rFonts w:ascii="Arial" w:cs="Arial" w:eastAsia="Arial" w:hAnsi="Arial"/>
          <w:sz w:val="19"/>
          <w:szCs w:val="19"/>
          <w:b w:val="1"/>
          <w:bCs w:val="1"/>
          <w:color w:val="auto"/>
        </w:rPr>
        <w:t xml:space="preserve"> </w:t>
      </w:r>
      <w:r>
        <w:rPr>
          <w:rFonts w:ascii="Arial" w:cs="Arial" w:eastAsia="Arial" w:hAnsi="Arial"/>
          <w:sz w:val="19"/>
          <w:szCs w:val="19"/>
          <w:color w:val="auto"/>
        </w:rPr>
        <w:t>assessments imposed by any taxing authority with respect to the transactions contemplated hereunder.</w:t>
      </w:r>
    </w:p>
    <w:p>
      <w:pPr>
        <w:spacing w:after="0" w:line="151" w:lineRule="exact"/>
        <w:rPr>
          <w:rFonts w:ascii="Arial" w:cs="Arial" w:eastAsia="Arial" w:hAnsi="Arial"/>
          <w:sz w:val="19"/>
          <w:szCs w:val="19"/>
          <w:color w:val="0A0A0A"/>
        </w:rPr>
      </w:pPr>
    </w:p>
    <w:p>
      <w:pPr>
        <w:ind w:firstLine="622"/>
        <w:spacing w:after="0" w:line="299" w:lineRule="auto"/>
        <w:tabs>
          <w:tab w:leader="none" w:pos="1229" w:val="left"/>
        </w:tabs>
        <w:numPr>
          <w:ilvl w:val="0"/>
          <w:numId w:val="78"/>
        </w:numPr>
        <w:rPr>
          <w:rFonts w:ascii="Arial" w:cs="Arial" w:eastAsia="Arial" w:hAnsi="Arial"/>
          <w:sz w:val="18"/>
          <w:szCs w:val="18"/>
          <w:color w:val="0A0A0A"/>
        </w:rPr>
      </w:pPr>
      <w:r>
        <w:rPr>
          <w:rFonts w:ascii="Arial" w:cs="Arial" w:eastAsia="Arial" w:hAnsi="Arial"/>
          <w:sz w:val="18"/>
          <w:szCs w:val="18"/>
          <w:b w:val="1"/>
          <w:bCs w:val="1"/>
          <w:u w:val="single" w:color="auto"/>
          <w:color w:val="0A0A0A"/>
        </w:rPr>
        <w:t>Survival</w:t>
      </w:r>
      <w:r>
        <w:rPr>
          <w:rFonts w:ascii="Arial" w:cs="Arial" w:eastAsia="Arial" w:hAnsi="Arial"/>
          <w:sz w:val="18"/>
          <w:szCs w:val="18"/>
          <w:color w:val="0A0A0A"/>
        </w:rPr>
        <w:t>. All covenants, obligations, and agreements of the parties which by their terms or by reasonable implication are to be</w:t>
      </w:r>
      <w:r>
        <w:rPr>
          <w:rFonts w:ascii="Arial" w:cs="Arial" w:eastAsia="Arial" w:hAnsi="Arial"/>
          <w:sz w:val="18"/>
          <w:szCs w:val="18"/>
          <w:b w:val="1"/>
          <w:bCs w:val="1"/>
          <w:color w:val="0A0A0A"/>
        </w:rPr>
        <w:t xml:space="preserve"> </w:t>
      </w:r>
      <w:r>
        <w:rPr>
          <w:rFonts w:ascii="Arial" w:cs="Arial" w:eastAsia="Arial" w:hAnsi="Arial"/>
          <w:sz w:val="18"/>
          <w:szCs w:val="18"/>
          <w:color w:val="0A0A0A"/>
        </w:rPr>
        <w:t>performed, in whole or in part, after the termination or expiration of this Agreement, will survive such termination or expiration.</w:t>
      </w:r>
    </w:p>
    <w:p>
      <w:pPr>
        <w:spacing w:after="0" w:line="128" w:lineRule="exact"/>
        <w:rPr>
          <w:rFonts w:ascii="Arial" w:cs="Arial" w:eastAsia="Arial" w:hAnsi="Arial"/>
          <w:sz w:val="18"/>
          <w:szCs w:val="18"/>
          <w:color w:val="0A0A0A"/>
        </w:rPr>
      </w:pPr>
    </w:p>
    <w:p>
      <w:pPr>
        <w:jc w:val="both"/>
        <w:ind w:firstLine="622"/>
        <w:spacing w:after="0" w:line="256" w:lineRule="auto"/>
        <w:tabs>
          <w:tab w:leader="none" w:pos="1229" w:val="left"/>
        </w:tabs>
        <w:numPr>
          <w:ilvl w:val="0"/>
          <w:numId w:val="78"/>
        </w:numPr>
        <w:rPr>
          <w:rFonts w:ascii="Arial" w:cs="Arial" w:eastAsia="Arial" w:hAnsi="Arial"/>
          <w:sz w:val="19"/>
          <w:szCs w:val="19"/>
          <w:color w:val="0A0A0A"/>
        </w:rPr>
      </w:pPr>
      <w:r>
        <w:rPr>
          <w:rFonts w:ascii="Arial" w:cs="Arial" w:eastAsia="Arial" w:hAnsi="Arial"/>
          <w:sz w:val="19"/>
          <w:szCs w:val="19"/>
          <w:b w:val="1"/>
          <w:bCs w:val="1"/>
          <w:u w:val="single" w:color="auto"/>
          <w:color w:val="0A0A0A"/>
        </w:rPr>
        <w:t>No Third Party Beneficiary</w:t>
      </w:r>
      <w:r>
        <w:rPr>
          <w:rFonts w:ascii="Arial" w:cs="Arial" w:eastAsia="Arial" w:hAnsi="Arial"/>
          <w:sz w:val="19"/>
          <w:szCs w:val="19"/>
          <w:color w:val="0A0A0A"/>
        </w:rPr>
        <w:t>. Nothing in this Agreement is intended or shall be construed to create any right, claim or remedy in</w:t>
      </w:r>
      <w:r>
        <w:rPr>
          <w:rFonts w:ascii="Arial" w:cs="Arial" w:eastAsia="Arial" w:hAnsi="Arial"/>
          <w:sz w:val="19"/>
          <w:szCs w:val="19"/>
          <w:b w:val="1"/>
          <w:bCs w:val="1"/>
          <w:color w:val="0A0A0A"/>
        </w:rPr>
        <w:t xml:space="preserve"> </w:t>
      </w:r>
      <w:r>
        <w:rPr>
          <w:rFonts w:ascii="Arial" w:cs="Arial" w:eastAsia="Arial" w:hAnsi="Arial"/>
          <w:sz w:val="19"/>
          <w:szCs w:val="19"/>
          <w:color w:val="0A0A0A"/>
        </w:rPr>
        <w:t>favor of any person other than the parties hereto. This Agreement shall be binding upon and inure to the benefit of the parties’ respective successors, permitted assigns, heirs, personal representatives and administrators.</w:t>
      </w:r>
    </w:p>
    <w:p>
      <w:pPr>
        <w:spacing w:after="0" w:line="164" w:lineRule="exact"/>
        <w:rPr>
          <w:rFonts w:ascii="Arial" w:cs="Arial" w:eastAsia="Arial" w:hAnsi="Arial"/>
          <w:sz w:val="19"/>
          <w:szCs w:val="19"/>
          <w:color w:val="0A0A0A"/>
        </w:rPr>
      </w:pPr>
    </w:p>
    <w:p>
      <w:pPr>
        <w:jc w:val="both"/>
        <w:ind w:firstLine="622"/>
        <w:spacing w:after="0" w:line="250" w:lineRule="auto"/>
        <w:tabs>
          <w:tab w:leader="none" w:pos="1229" w:val="left"/>
        </w:tabs>
        <w:numPr>
          <w:ilvl w:val="0"/>
          <w:numId w:val="78"/>
        </w:numPr>
        <w:rPr>
          <w:rFonts w:ascii="Arial" w:cs="Arial" w:eastAsia="Arial" w:hAnsi="Arial"/>
          <w:sz w:val="19"/>
          <w:szCs w:val="19"/>
          <w:color w:val="0A0A0A"/>
        </w:rPr>
      </w:pPr>
      <w:r>
        <w:rPr>
          <w:rFonts w:ascii="Arial" w:cs="Arial" w:eastAsia="Arial" w:hAnsi="Arial"/>
          <w:sz w:val="19"/>
          <w:szCs w:val="19"/>
          <w:b w:val="1"/>
          <w:bCs w:val="1"/>
          <w:u w:val="single" w:color="auto"/>
          <w:color w:val="0A0A0A"/>
        </w:rPr>
        <w:t>Opportunity to Consult Counsel</w:t>
      </w:r>
      <w:r>
        <w:rPr>
          <w:rFonts w:ascii="Arial" w:cs="Arial" w:eastAsia="Arial" w:hAnsi="Arial"/>
          <w:sz w:val="19"/>
          <w:szCs w:val="19"/>
          <w:color w:val="0A0A0A"/>
        </w:rPr>
        <w:t>. Each party to this Agreement acknowledges that such party has had the opportunity to review</w:t>
      </w:r>
      <w:r>
        <w:rPr>
          <w:rFonts w:ascii="Arial" w:cs="Arial" w:eastAsia="Arial" w:hAnsi="Arial"/>
          <w:sz w:val="19"/>
          <w:szCs w:val="19"/>
          <w:b w:val="1"/>
          <w:bCs w:val="1"/>
          <w:color w:val="0A0A0A"/>
        </w:rPr>
        <w:t xml:space="preserve"> </w:t>
      </w:r>
      <w:r>
        <w:rPr>
          <w:rFonts w:ascii="Arial" w:cs="Arial" w:eastAsia="Arial" w:hAnsi="Arial"/>
          <w:sz w:val="19"/>
          <w:szCs w:val="19"/>
          <w:color w:val="0A0A0A"/>
        </w:rPr>
        <w:t>this Agreement and to consult with legal counsel of their own choosing concerning the terms of this Agreement prior to its execution. No provision of this Agreement shall be construed by any Court or other judicial authority against any party hereto by reason of such party’s being deemed to have drafted or structured such provisions.</w:t>
      </w:r>
    </w:p>
    <w:p>
      <w:pPr>
        <w:spacing w:after="0" w:line="172" w:lineRule="exact"/>
        <w:rPr>
          <w:rFonts w:ascii="Arial" w:cs="Arial" w:eastAsia="Arial" w:hAnsi="Arial"/>
          <w:sz w:val="19"/>
          <w:szCs w:val="19"/>
          <w:color w:val="0A0A0A"/>
        </w:rPr>
      </w:pPr>
    </w:p>
    <w:p>
      <w:pPr>
        <w:ind w:left="1240" w:hanging="618"/>
        <w:spacing w:after="0"/>
        <w:tabs>
          <w:tab w:leader="none" w:pos="1240" w:val="left"/>
        </w:tabs>
        <w:numPr>
          <w:ilvl w:val="0"/>
          <w:numId w:val="78"/>
        </w:numPr>
        <w:rPr>
          <w:rFonts w:ascii="Arial" w:cs="Arial" w:eastAsia="Arial" w:hAnsi="Arial"/>
          <w:sz w:val="18"/>
          <w:szCs w:val="18"/>
          <w:color w:val="0A0A0A"/>
        </w:rPr>
      </w:pPr>
      <w:r>
        <w:rPr>
          <w:rFonts w:ascii="Arial" w:cs="Arial" w:eastAsia="Arial" w:hAnsi="Arial"/>
          <w:sz w:val="18"/>
          <w:szCs w:val="18"/>
          <w:b w:val="1"/>
          <w:bCs w:val="1"/>
          <w:u w:val="single" w:color="auto"/>
          <w:color w:val="0A0A0A"/>
        </w:rPr>
        <w:t>Recitals</w:t>
      </w:r>
      <w:r>
        <w:rPr>
          <w:rFonts w:ascii="Arial" w:cs="Arial" w:eastAsia="Arial" w:hAnsi="Arial"/>
          <w:sz w:val="18"/>
          <w:szCs w:val="18"/>
          <w:color w:val="0A0A0A"/>
        </w:rPr>
        <w:t>. The parties acknowledge and agree that the Recitals are true and correct and are incorporated herein by reference.</w:t>
      </w:r>
    </w:p>
    <w:p>
      <w:pPr>
        <w:spacing w:after="0" w:line="218" w:lineRule="exact"/>
        <w:rPr>
          <w:rFonts w:ascii="Arial" w:cs="Arial" w:eastAsia="Arial" w:hAnsi="Arial"/>
          <w:sz w:val="18"/>
          <w:szCs w:val="18"/>
          <w:color w:val="0A0A0A"/>
        </w:rPr>
      </w:pPr>
    </w:p>
    <w:p>
      <w:pPr>
        <w:jc w:val="both"/>
        <w:ind w:firstLine="622"/>
        <w:spacing w:after="0" w:line="256" w:lineRule="auto"/>
        <w:tabs>
          <w:tab w:leader="none" w:pos="1229" w:val="left"/>
        </w:tabs>
        <w:numPr>
          <w:ilvl w:val="0"/>
          <w:numId w:val="78"/>
        </w:numPr>
        <w:rPr>
          <w:rFonts w:ascii="Arial" w:cs="Arial" w:eastAsia="Arial" w:hAnsi="Arial"/>
          <w:sz w:val="19"/>
          <w:szCs w:val="19"/>
          <w:color w:val="0A0A0A"/>
        </w:rPr>
      </w:pPr>
      <w:r>
        <w:rPr>
          <w:rFonts w:ascii="Arial" w:cs="Arial" w:eastAsia="Arial" w:hAnsi="Arial"/>
          <w:sz w:val="19"/>
          <w:szCs w:val="19"/>
          <w:b w:val="1"/>
          <w:bCs w:val="1"/>
          <w:u w:val="single" w:color="auto"/>
          <w:color w:val="0A0A0A"/>
        </w:rPr>
        <w:t>Entire Agreement</w:t>
      </w:r>
      <w:r>
        <w:rPr>
          <w:rFonts w:ascii="Arial" w:cs="Arial" w:eastAsia="Arial" w:hAnsi="Arial"/>
          <w:sz w:val="19"/>
          <w:szCs w:val="19"/>
          <w:b w:val="1"/>
          <w:bCs w:val="1"/>
          <w:color w:val="0A0A0A"/>
        </w:rPr>
        <w:t xml:space="preserve">. </w:t>
      </w:r>
      <w:r>
        <w:rPr>
          <w:rFonts w:ascii="Arial" w:cs="Arial" w:eastAsia="Arial" w:hAnsi="Arial"/>
          <w:sz w:val="19"/>
          <w:szCs w:val="19"/>
          <w:color w:val="0A0A0A"/>
        </w:rPr>
        <w:t>This Agreement contains the entire agreement of the parties relating to the subject matter hereof, and</w:t>
      </w:r>
      <w:r>
        <w:rPr>
          <w:rFonts w:ascii="Arial" w:cs="Arial" w:eastAsia="Arial" w:hAnsi="Arial"/>
          <w:sz w:val="19"/>
          <w:szCs w:val="19"/>
          <w:b w:val="1"/>
          <w:bCs w:val="1"/>
          <w:color w:val="0A0A0A"/>
        </w:rPr>
        <w:t xml:space="preserve"> </w:t>
      </w:r>
      <w:r>
        <w:rPr>
          <w:rFonts w:ascii="Arial" w:cs="Arial" w:eastAsia="Arial" w:hAnsi="Arial"/>
          <w:sz w:val="19"/>
          <w:szCs w:val="19"/>
          <w:color w:val="0A0A0A"/>
        </w:rPr>
        <w:t>supersedes all prior and contemporaneous agreements, understandings, negotiations, and discussions of the parties, whether oral or written, and there are no warranties,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084" w:right="339" w:bottom="1440" w:gutter="0" w:footer="0" w:header="0"/>
        </w:sectPr>
      </w:pPr>
    </w:p>
    <w:bookmarkStart w:id="77" w:name="page78"/>
    <w:bookmarkEnd w:id="77"/>
    <w:p>
      <w:pPr>
        <w:spacing w:after="0" w:line="264" w:lineRule="auto"/>
        <w:rPr>
          <w:sz w:val="20"/>
          <w:szCs w:val="20"/>
          <w:color w:val="auto"/>
        </w:rPr>
      </w:pPr>
      <w:r>
        <w:rPr>
          <w:rFonts w:ascii="Arial" w:cs="Arial" w:eastAsia="Arial" w:hAnsi="Arial"/>
          <w:sz w:val="19"/>
          <w:szCs w:val="19"/>
          <w:color w:val="0A0A0A"/>
        </w:rPr>
        <w:t>representations or other agreements between the parties or on which any of the parties have relied in connection with the subject matter hereof, except as specifically set forth in this Agreement.</w:t>
      </w:r>
    </w:p>
    <w:p>
      <w:pPr>
        <w:spacing w:after="0" w:line="158" w:lineRule="exact"/>
        <w:rPr>
          <w:sz w:val="20"/>
          <w:szCs w:val="20"/>
          <w:color w:val="auto"/>
        </w:rPr>
      </w:pPr>
    </w:p>
    <w:p>
      <w:pPr>
        <w:jc w:val="both"/>
        <w:ind w:firstLine="622"/>
        <w:spacing w:after="0" w:line="245" w:lineRule="auto"/>
        <w:tabs>
          <w:tab w:leader="none" w:pos="1229" w:val="left"/>
        </w:tabs>
        <w:numPr>
          <w:ilvl w:val="0"/>
          <w:numId w:val="79"/>
        </w:numPr>
        <w:rPr>
          <w:rFonts w:ascii="Arial" w:cs="Arial" w:eastAsia="Arial" w:hAnsi="Arial"/>
          <w:sz w:val="19"/>
          <w:szCs w:val="19"/>
          <w:color w:val="0A0A0A"/>
        </w:rPr>
      </w:pPr>
      <w:r>
        <w:rPr>
          <w:rFonts w:ascii="Arial" w:cs="Arial" w:eastAsia="Arial" w:hAnsi="Arial"/>
          <w:sz w:val="19"/>
          <w:szCs w:val="19"/>
          <w:b w:val="1"/>
          <w:bCs w:val="1"/>
          <w:u w:val="single" w:color="auto"/>
          <w:color w:val="0A0A0A"/>
        </w:rPr>
        <w:t>Modification; Waiver</w:t>
      </w:r>
      <w:r>
        <w:rPr>
          <w:rFonts w:ascii="Arial" w:cs="Arial" w:eastAsia="Arial" w:hAnsi="Arial"/>
          <w:sz w:val="19"/>
          <w:szCs w:val="19"/>
          <w:color w:val="0A0A0A"/>
        </w:rPr>
        <w:t>. This Agreement shall not be modified except by an instrument in writing duly signed on behalf of the party</w:t>
      </w:r>
      <w:r>
        <w:rPr>
          <w:rFonts w:ascii="Arial" w:cs="Arial" w:eastAsia="Arial" w:hAnsi="Arial"/>
          <w:sz w:val="19"/>
          <w:szCs w:val="19"/>
          <w:b w:val="1"/>
          <w:bCs w:val="1"/>
          <w:color w:val="0A0A0A"/>
        </w:rPr>
        <w:t xml:space="preserve"> </w:t>
      </w:r>
      <w:r>
        <w:rPr>
          <w:rFonts w:ascii="Arial" w:cs="Arial" w:eastAsia="Arial" w:hAnsi="Arial"/>
          <w:sz w:val="19"/>
          <w:szCs w:val="19"/>
          <w:color w:val="0A0A0A"/>
        </w:rPr>
        <w:t>against whom enforcement of such modification is sought. No waiver of any provision of this Agreement shall be effective unless in writing and similarly signed, nor shall any failure of any party to enforce any right or remedy hereunder be deemed a waiver of such right or remedy for the future in the same or any situation. Notwithstanding the foregoing, the parties agree that CIGI shall have the right, in its sole discretion, to reduce the scope of any restrictive covenants set forth in Section 2, Section 11 or otherwise, or any portion thereof, effective immediately upon receipt of written notice thereof; and each Founder agrees that it shall forthwith comply with any covenant as so modified, which shall be fully enforceable against such Founder.</w:t>
      </w:r>
    </w:p>
    <w:p>
      <w:pPr>
        <w:spacing w:after="0" w:line="179" w:lineRule="exact"/>
        <w:rPr>
          <w:rFonts w:ascii="Arial" w:cs="Arial" w:eastAsia="Arial" w:hAnsi="Arial"/>
          <w:sz w:val="19"/>
          <w:szCs w:val="19"/>
          <w:color w:val="0A0A0A"/>
        </w:rPr>
      </w:pPr>
    </w:p>
    <w:p>
      <w:pPr>
        <w:jc w:val="both"/>
        <w:ind w:firstLine="622"/>
        <w:spacing w:after="0" w:line="245" w:lineRule="auto"/>
        <w:tabs>
          <w:tab w:leader="none" w:pos="1229" w:val="left"/>
        </w:tabs>
        <w:numPr>
          <w:ilvl w:val="0"/>
          <w:numId w:val="79"/>
        </w:numPr>
        <w:rPr>
          <w:rFonts w:ascii="Arial" w:cs="Arial" w:eastAsia="Arial" w:hAnsi="Arial"/>
          <w:sz w:val="19"/>
          <w:szCs w:val="19"/>
          <w:color w:val="0A0A0A"/>
        </w:rPr>
      </w:pPr>
      <w:r>
        <w:rPr>
          <w:rFonts w:ascii="Arial" w:cs="Arial" w:eastAsia="Arial" w:hAnsi="Arial"/>
          <w:sz w:val="19"/>
          <w:szCs w:val="19"/>
          <w:b w:val="1"/>
          <w:bCs w:val="1"/>
          <w:u w:val="single" w:color="auto"/>
          <w:color w:val="0A0A0A"/>
        </w:rPr>
        <w:t>Severability</w:t>
      </w:r>
      <w:r>
        <w:rPr>
          <w:rFonts w:ascii="Arial" w:cs="Arial" w:eastAsia="Arial" w:hAnsi="Arial"/>
          <w:sz w:val="19"/>
          <w:szCs w:val="19"/>
          <w:color w:val="0A0A0A"/>
        </w:rPr>
        <w:t>. Any provision of this Agreement held to be invalid, illegal or unenforceable in any jurisdiction shall, as to such</w:t>
      </w:r>
      <w:r>
        <w:rPr>
          <w:rFonts w:ascii="Arial" w:cs="Arial" w:eastAsia="Arial" w:hAnsi="Arial"/>
          <w:sz w:val="19"/>
          <w:szCs w:val="19"/>
          <w:b w:val="1"/>
          <w:bCs w:val="1"/>
          <w:color w:val="0A0A0A"/>
        </w:rPr>
        <w:t xml:space="preserve"> </w:t>
      </w:r>
      <w:r>
        <w:rPr>
          <w:rFonts w:ascii="Arial" w:cs="Arial" w:eastAsia="Arial" w:hAnsi="Arial"/>
          <w:sz w:val="19"/>
          <w:szCs w:val="19"/>
          <w:color w:val="0A0A0A"/>
        </w:rPr>
        <w:t>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To the extent any provision of this Agreement is held to be invalid, illegal or unenforceable in any jurisdiction, the Parties will use reasonable efforts to negotiate and agree upon provisions that are valid, legal and enforceable in the applicable jurisdiction and that accomplish to the extent practicable, those provides held to be invalid, illegal or unenforceable, provided, however no Party shall be required to agree upon a substitute provision to the extent that such provision requires other than a de minimis expenditure by such Party or otherwise adversely effects such party to any material extent.</w:t>
      </w:r>
    </w:p>
    <w:p>
      <w:pPr>
        <w:spacing w:after="0" w:line="175" w:lineRule="exact"/>
        <w:rPr>
          <w:rFonts w:ascii="Arial" w:cs="Arial" w:eastAsia="Arial" w:hAnsi="Arial"/>
          <w:sz w:val="19"/>
          <w:szCs w:val="19"/>
          <w:color w:val="0A0A0A"/>
        </w:rPr>
      </w:pPr>
    </w:p>
    <w:p>
      <w:pPr>
        <w:ind w:firstLine="622"/>
        <w:spacing w:after="0" w:line="271" w:lineRule="auto"/>
        <w:tabs>
          <w:tab w:leader="none" w:pos="1229" w:val="left"/>
        </w:tabs>
        <w:numPr>
          <w:ilvl w:val="0"/>
          <w:numId w:val="79"/>
        </w:numPr>
        <w:rPr>
          <w:rFonts w:ascii="Arial" w:cs="Arial" w:eastAsia="Arial" w:hAnsi="Arial"/>
          <w:sz w:val="19"/>
          <w:szCs w:val="19"/>
          <w:color w:val="0A0A0A"/>
        </w:rPr>
      </w:pPr>
      <w:r>
        <w:rPr>
          <w:rFonts w:ascii="Arial" w:cs="Arial" w:eastAsia="Arial" w:hAnsi="Arial"/>
          <w:sz w:val="19"/>
          <w:szCs w:val="19"/>
          <w:b w:val="1"/>
          <w:bCs w:val="1"/>
          <w:u w:val="single" w:color="auto"/>
          <w:color w:val="0A0A0A"/>
        </w:rPr>
        <w:t>Headings</w:t>
      </w:r>
      <w:r>
        <w:rPr>
          <w:rFonts w:ascii="Arial" w:cs="Arial" w:eastAsia="Arial" w:hAnsi="Arial"/>
          <w:sz w:val="19"/>
          <w:szCs w:val="19"/>
          <w:color w:val="0A0A0A"/>
        </w:rPr>
        <w:t>. The headings, captions and arrangements used in this Agreement are, unless specified otherwise, for convenience only</w:t>
      </w:r>
      <w:r>
        <w:rPr>
          <w:rFonts w:ascii="Arial" w:cs="Arial" w:eastAsia="Arial" w:hAnsi="Arial"/>
          <w:sz w:val="19"/>
          <w:szCs w:val="19"/>
          <w:b w:val="1"/>
          <w:bCs w:val="1"/>
          <w:color w:val="0A0A0A"/>
        </w:rPr>
        <w:t xml:space="preserve"> </w:t>
      </w:r>
      <w:r>
        <w:rPr>
          <w:rFonts w:ascii="Arial" w:cs="Arial" w:eastAsia="Arial" w:hAnsi="Arial"/>
          <w:sz w:val="19"/>
          <w:szCs w:val="19"/>
          <w:color w:val="0A0A0A"/>
        </w:rPr>
        <w:t>and shall not be deemed to limit, amplify or modify the terms of this Agreement, nor affect the meaning thereof.</w:t>
      </w:r>
    </w:p>
    <w:p>
      <w:pPr>
        <w:spacing w:after="0" w:line="151" w:lineRule="exact"/>
        <w:rPr>
          <w:rFonts w:ascii="Arial" w:cs="Arial" w:eastAsia="Arial" w:hAnsi="Arial"/>
          <w:sz w:val="19"/>
          <w:szCs w:val="19"/>
          <w:color w:val="0A0A0A"/>
        </w:rPr>
      </w:pPr>
    </w:p>
    <w:p>
      <w:pPr>
        <w:jc w:val="both"/>
        <w:ind w:firstLine="622"/>
        <w:spacing w:after="0" w:line="250" w:lineRule="auto"/>
        <w:tabs>
          <w:tab w:leader="none" w:pos="1229" w:val="left"/>
        </w:tabs>
        <w:numPr>
          <w:ilvl w:val="0"/>
          <w:numId w:val="79"/>
        </w:numPr>
        <w:rPr>
          <w:rFonts w:ascii="Arial" w:cs="Arial" w:eastAsia="Arial" w:hAnsi="Arial"/>
          <w:sz w:val="19"/>
          <w:szCs w:val="19"/>
          <w:color w:val="0A0A0A"/>
        </w:rPr>
      </w:pPr>
      <w:r>
        <w:rPr>
          <w:rFonts w:ascii="Arial" w:cs="Arial" w:eastAsia="Arial" w:hAnsi="Arial"/>
          <w:sz w:val="19"/>
          <w:szCs w:val="19"/>
          <w:b w:val="1"/>
          <w:bCs w:val="1"/>
          <w:u w:val="single" w:color="auto"/>
          <w:color w:val="0A0A0A"/>
        </w:rPr>
        <w:t>Language Construction</w:t>
      </w:r>
      <w:r>
        <w:rPr>
          <w:rFonts w:ascii="Arial" w:cs="Arial" w:eastAsia="Arial" w:hAnsi="Arial"/>
          <w:sz w:val="19"/>
          <w:szCs w:val="19"/>
          <w:color w:val="0A0A0A"/>
        </w:rPr>
        <w:t>. The language in all parts of this Agreement shall be construed, in all cases, according to its fair meaning,</w:t>
      </w:r>
      <w:r>
        <w:rPr>
          <w:rFonts w:ascii="Arial" w:cs="Arial" w:eastAsia="Arial" w:hAnsi="Arial"/>
          <w:sz w:val="19"/>
          <w:szCs w:val="19"/>
          <w:b w:val="1"/>
          <w:bCs w:val="1"/>
          <w:color w:val="0A0A0A"/>
        </w:rPr>
        <w:t xml:space="preserve"> </w:t>
      </w:r>
      <w:r>
        <w:rPr>
          <w:rFonts w:ascii="Arial" w:cs="Arial" w:eastAsia="Arial" w:hAnsi="Arial"/>
          <w:sz w:val="19"/>
          <w:szCs w:val="19"/>
          <w:color w:val="0A0A0A"/>
        </w:rPr>
        <w:t>and not for or against either party hereto. The parties acknowledge that each party and its counsel have reviewed and revised this Agreement and that normal rules of construction to the effect that any ambiguities are to be resolved against the drafting party shall not be employed in the interpretation of this Agreement.</w:t>
      </w:r>
    </w:p>
    <w:p>
      <w:pPr>
        <w:spacing w:after="0" w:line="198" w:lineRule="exact"/>
        <w:rPr>
          <w:rFonts w:ascii="Arial" w:cs="Arial" w:eastAsia="Arial" w:hAnsi="Arial"/>
          <w:sz w:val="19"/>
          <w:szCs w:val="19"/>
          <w:color w:val="0A0A0A"/>
        </w:rPr>
      </w:pPr>
    </w:p>
    <w:p>
      <w:pPr>
        <w:ind w:firstLine="622"/>
        <w:spacing w:after="0" w:line="299" w:lineRule="auto"/>
        <w:tabs>
          <w:tab w:leader="none" w:pos="1229" w:val="left"/>
        </w:tabs>
        <w:numPr>
          <w:ilvl w:val="0"/>
          <w:numId w:val="79"/>
        </w:numPr>
        <w:rPr>
          <w:rFonts w:ascii="Arial" w:cs="Arial" w:eastAsia="Arial" w:hAnsi="Arial"/>
          <w:sz w:val="18"/>
          <w:szCs w:val="18"/>
          <w:color w:val="0A0A0A"/>
        </w:rPr>
      </w:pPr>
      <w:r>
        <w:rPr>
          <w:rFonts w:ascii="Arial" w:cs="Arial" w:eastAsia="Arial" w:hAnsi="Arial"/>
          <w:sz w:val="18"/>
          <w:szCs w:val="18"/>
          <w:b w:val="1"/>
          <w:bCs w:val="1"/>
          <w:u w:val="single" w:color="auto"/>
          <w:color w:val="0A0A0A"/>
        </w:rPr>
        <w:t>Counterparts</w:t>
      </w:r>
      <w:r>
        <w:rPr>
          <w:rFonts w:ascii="Arial" w:cs="Arial" w:eastAsia="Arial" w:hAnsi="Arial"/>
          <w:sz w:val="18"/>
          <w:szCs w:val="18"/>
          <w:color w:val="000000"/>
        </w:rPr>
        <w:t>. This Agreement may be executed in one or more counterparts or by any electronic means, each of which will be</w:t>
      </w:r>
      <w:r>
        <w:rPr>
          <w:rFonts w:ascii="Arial" w:cs="Arial" w:eastAsia="Arial" w:hAnsi="Arial"/>
          <w:sz w:val="18"/>
          <w:szCs w:val="18"/>
          <w:b w:val="1"/>
          <w:bCs w:val="1"/>
          <w:color w:val="0A0A0A"/>
        </w:rPr>
        <w:t xml:space="preserve"> </w:t>
      </w:r>
      <w:r>
        <w:rPr>
          <w:rFonts w:ascii="Arial" w:cs="Arial" w:eastAsia="Arial" w:hAnsi="Arial"/>
          <w:sz w:val="18"/>
          <w:szCs w:val="18"/>
          <w:color w:val="000000"/>
        </w:rPr>
        <w:t>deemed to be an original and all of which, when taken together, will be deemed to constitute one and the same instrument.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857"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IN WITNESS WHEREOF, the parties have hereunto executed this Agreement effective as of the day and year first written above.</w:t>
      </w:r>
    </w:p>
    <w:p>
      <w:pPr>
        <w:spacing w:after="0" w:line="200" w:lineRule="exact"/>
        <w:rPr>
          <w:sz w:val="20"/>
          <w:szCs w:val="20"/>
          <w:color w:val="auto"/>
        </w:rPr>
      </w:pPr>
    </w:p>
    <w:p>
      <w:pPr>
        <w:spacing w:after="0" w:line="296" w:lineRule="exact"/>
        <w:rPr>
          <w:sz w:val="20"/>
          <w:szCs w:val="20"/>
          <w:color w:val="auto"/>
        </w:rPr>
      </w:pPr>
    </w:p>
    <w:p>
      <w:pPr>
        <w:ind w:left="5000"/>
        <w:spacing w:after="0"/>
        <w:rPr>
          <w:sz w:val="20"/>
          <w:szCs w:val="20"/>
          <w:color w:val="auto"/>
        </w:rPr>
      </w:pPr>
      <w:r>
        <w:rPr>
          <w:rFonts w:ascii="Arial" w:cs="Arial" w:eastAsia="Arial" w:hAnsi="Arial"/>
          <w:sz w:val="21"/>
          <w:szCs w:val="21"/>
          <w:u w:val="single" w:color="auto"/>
          <w:color w:val="auto"/>
        </w:rPr>
        <w:t>“CIGI”</w:t>
      </w:r>
    </w:p>
    <w:p>
      <w:pPr>
        <w:spacing w:after="0" w:line="274"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CARRABBA’S ITALIAN GRILL, LLC</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(formerly Carrabba’s Italian Grill, Inc.), a</w:t>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Florida limited liability company</w:t>
      </w:r>
    </w:p>
    <w:p>
      <w:pPr>
        <w:spacing w:after="0" w:line="268" w:lineRule="exact"/>
        <w:rPr>
          <w:sz w:val="20"/>
          <w:szCs w:val="20"/>
          <w:color w:val="auto"/>
        </w:rPr>
      </w:pPr>
    </w:p>
    <w:p>
      <w:pPr>
        <w:jc w:val="both"/>
        <w:ind w:left="5000"/>
        <w:spacing w:after="0"/>
        <w:tabs>
          <w:tab w:leader="none" w:pos="5500" w:val="left"/>
        </w:tabs>
        <w:rPr>
          <w:sz w:val="20"/>
          <w:szCs w:val="20"/>
          <w:color w:val="auto"/>
        </w:rPr>
      </w:pPr>
      <w:r>
        <w:rPr>
          <w:rFonts w:ascii="Arial" w:cs="Arial" w:eastAsia="Arial" w:hAnsi="Arial"/>
          <w:sz w:val="21"/>
          <w:szCs w:val="21"/>
          <w:color w:val="auto"/>
        </w:rPr>
        <w:t>By:</w:t>
        <w:tab/>
        <w:t>/s/ Kelly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15875</wp:posOffset>
            </wp:positionV>
            <wp:extent cx="27590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9" w:lineRule="exact"/>
        <w:rPr>
          <w:sz w:val="20"/>
          <w:szCs w:val="20"/>
          <w:color w:val="auto"/>
        </w:rPr>
      </w:pPr>
    </w:p>
    <w:p>
      <w:pPr>
        <w:jc w:val="right"/>
        <w:ind w:right="2940"/>
        <w:spacing w:after="0"/>
        <w:rPr>
          <w:sz w:val="20"/>
          <w:szCs w:val="20"/>
          <w:color w:val="auto"/>
        </w:rPr>
      </w:pPr>
      <w:r>
        <w:rPr>
          <w:rFonts w:ascii="Arial" w:cs="Arial" w:eastAsia="Arial" w:hAnsi="Arial"/>
          <w:sz w:val="21"/>
          <w:szCs w:val="21"/>
          <w:color w:val="auto"/>
        </w:rPr>
        <w:t>Kelly Lefferts,</w:t>
      </w:r>
    </w:p>
    <w:p>
      <w:pPr>
        <w:spacing w:after="0" w:line="107"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Executive Vice President, Chief</w:t>
      </w:r>
    </w:p>
    <w:p>
      <w:pPr>
        <w:spacing w:after="0" w:line="94"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Legal Officer and Secretary</w:t>
      </w:r>
    </w:p>
    <w:p>
      <w:pPr>
        <w:spacing w:after="0" w:line="200" w:lineRule="exact"/>
        <w:rPr>
          <w:sz w:val="20"/>
          <w:szCs w:val="20"/>
          <w:color w:val="auto"/>
        </w:rPr>
      </w:pPr>
    </w:p>
    <w:p>
      <w:pPr>
        <w:spacing w:after="0" w:line="371" w:lineRule="exact"/>
        <w:rPr>
          <w:sz w:val="20"/>
          <w:szCs w:val="20"/>
          <w:color w:val="auto"/>
        </w:rPr>
      </w:pPr>
    </w:p>
    <w:p>
      <w:pPr>
        <w:ind w:left="5000"/>
        <w:spacing w:after="0"/>
        <w:rPr>
          <w:sz w:val="20"/>
          <w:szCs w:val="20"/>
          <w:color w:val="auto"/>
        </w:rPr>
      </w:pPr>
      <w:r>
        <w:rPr>
          <w:rFonts w:ascii="Arial" w:cs="Arial" w:eastAsia="Arial" w:hAnsi="Arial"/>
          <w:sz w:val="21"/>
          <w:szCs w:val="21"/>
          <w:u w:val="single" w:color="auto"/>
          <w:color w:val="auto"/>
        </w:rPr>
        <w:t>“OSI”</w:t>
      </w:r>
    </w:p>
    <w:p>
      <w:pPr>
        <w:spacing w:after="0" w:line="274"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OSI RESTAURANT PARTNERS, LLC</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(formerly OSI Restaurant Partners, Inc.,</w:t>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formerly Outback Steakhouse, Inc.), a Delaware</w:t>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corporation</w:t>
      </w:r>
    </w:p>
    <w:p>
      <w:pPr>
        <w:spacing w:after="0" w:line="268" w:lineRule="exact"/>
        <w:rPr>
          <w:sz w:val="20"/>
          <w:szCs w:val="20"/>
          <w:color w:val="auto"/>
        </w:rPr>
      </w:pPr>
    </w:p>
    <w:p>
      <w:pPr>
        <w:jc w:val="both"/>
        <w:ind w:left="5000"/>
        <w:spacing w:after="0"/>
        <w:tabs>
          <w:tab w:leader="none" w:pos="5500" w:val="left"/>
        </w:tabs>
        <w:rPr>
          <w:sz w:val="20"/>
          <w:szCs w:val="20"/>
          <w:color w:val="auto"/>
        </w:rPr>
      </w:pPr>
      <w:r>
        <w:rPr>
          <w:rFonts w:ascii="Arial" w:cs="Arial" w:eastAsia="Arial" w:hAnsi="Arial"/>
          <w:sz w:val="21"/>
          <w:szCs w:val="21"/>
          <w:color w:val="auto"/>
        </w:rPr>
        <w:t>By:</w:t>
        <w:tab/>
        <w:t>/s/ Kelly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15875</wp:posOffset>
            </wp:positionV>
            <wp:extent cx="27590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9" w:lineRule="exact"/>
        <w:rPr>
          <w:sz w:val="20"/>
          <w:szCs w:val="20"/>
          <w:color w:val="auto"/>
        </w:rPr>
      </w:pPr>
    </w:p>
    <w:p>
      <w:pPr>
        <w:jc w:val="right"/>
        <w:ind w:right="2940"/>
        <w:spacing w:after="0"/>
        <w:rPr>
          <w:sz w:val="20"/>
          <w:szCs w:val="20"/>
          <w:color w:val="auto"/>
        </w:rPr>
      </w:pPr>
      <w:r>
        <w:rPr>
          <w:rFonts w:ascii="Arial" w:cs="Arial" w:eastAsia="Arial" w:hAnsi="Arial"/>
          <w:sz w:val="21"/>
          <w:szCs w:val="21"/>
          <w:color w:val="auto"/>
        </w:rPr>
        <w:t>Kelly Lefferts,</w:t>
      </w:r>
    </w:p>
    <w:p>
      <w:pPr>
        <w:spacing w:after="0" w:line="94"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Executive Vice President, Chief</w:t>
      </w:r>
    </w:p>
    <w:p>
      <w:pPr>
        <w:spacing w:after="0" w:line="107"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Legal Officer and Secretary</w:t>
      </w:r>
    </w:p>
    <w:p>
      <w:pPr>
        <w:spacing w:after="0" w:line="352" w:lineRule="exact"/>
        <w:rPr>
          <w:sz w:val="20"/>
          <w:szCs w:val="20"/>
          <w:color w:val="auto"/>
        </w:rPr>
      </w:pPr>
    </w:p>
    <w:p>
      <w:pPr>
        <w:ind w:left="5000"/>
        <w:spacing w:after="0"/>
        <w:rPr>
          <w:sz w:val="20"/>
          <w:szCs w:val="20"/>
          <w:color w:val="auto"/>
        </w:rPr>
      </w:pPr>
      <w:r>
        <w:rPr>
          <w:rFonts w:ascii="Arial" w:cs="Arial" w:eastAsia="Arial" w:hAnsi="Arial"/>
          <w:sz w:val="21"/>
          <w:szCs w:val="21"/>
          <w:u w:val="single" w:color="auto"/>
          <w:color w:val="auto"/>
        </w:rPr>
        <w:t>“MBI”</w:t>
      </w:r>
    </w:p>
    <w:p>
      <w:pPr>
        <w:spacing w:after="0" w:line="274"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MANGIA BEVE, INC., a Texas corporation</w:t>
      </w:r>
    </w:p>
    <w:p>
      <w:pPr>
        <w:spacing w:after="0" w:line="274" w:lineRule="exact"/>
        <w:rPr>
          <w:sz w:val="20"/>
          <w:szCs w:val="20"/>
          <w:color w:val="auto"/>
        </w:rPr>
      </w:pPr>
    </w:p>
    <w:p>
      <w:pPr>
        <w:ind w:left="5000"/>
        <w:spacing w:after="0"/>
        <w:tabs>
          <w:tab w:leader="none" w:pos="5500" w:val="left"/>
        </w:tabs>
        <w:rPr>
          <w:sz w:val="20"/>
          <w:szCs w:val="20"/>
          <w:color w:val="auto"/>
        </w:rPr>
      </w:pPr>
      <w:r>
        <w:rPr>
          <w:rFonts w:ascii="Arial" w:cs="Arial" w:eastAsia="Arial" w:hAnsi="Arial"/>
          <w:sz w:val="21"/>
          <w:szCs w:val="21"/>
          <w:color w:val="auto"/>
        </w:rPr>
        <w:t>By:</w:t>
        <w:tab/>
        <w:t>/s/ John C. Carrabba,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15875</wp:posOffset>
            </wp:positionV>
            <wp:extent cx="27590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9"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John C. Carrabba, III</w:t>
      </w:r>
    </w:p>
    <w:p>
      <w:pPr>
        <w:spacing w:after="0" w:line="107"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President</w:t>
      </w:r>
    </w:p>
    <w:p>
      <w:pPr>
        <w:spacing w:after="0" w:line="200" w:lineRule="exact"/>
        <w:rPr>
          <w:sz w:val="20"/>
          <w:szCs w:val="20"/>
          <w:color w:val="auto"/>
        </w:rPr>
      </w:pPr>
    </w:p>
    <w:p>
      <w:pPr>
        <w:spacing w:after="0" w:line="242" w:lineRule="exact"/>
        <w:rPr>
          <w:sz w:val="20"/>
          <w:szCs w:val="20"/>
          <w:color w:val="auto"/>
        </w:rPr>
      </w:pPr>
    </w:p>
    <w:p>
      <w:pPr>
        <w:ind w:left="5000"/>
        <w:spacing w:after="0"/>
        <w:rPr>
          <w:sz w:val="20"/>
          <w:szCs w:val="20"/>
          <w:color w:val="auto"/>
        </w:rPr>
      </w:pPr>
      <w:r>
        <w:rPr>
          <w:rFonts w:ascii="Arial" w:cs="Arial" w:eastAsia="Arial" w:hAnsi="Arial"/>
          <w:sz w:val="21"/>
          <w:szCs w:val="21"/>
          <w:u w:val="single" w:color="auto"/>
          <w:color w:val="auto"/>
        </w:rPr>
        <w:t>“MBI2”</w:t>
      </w:r>
    </w:p>
    <w:p>
      <w:pPr>
        <w:spacing w:after="0" w:line="274"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MANGIA BEVE II, INC., a Texas corporation</w:t>
      </w:r>
    </w:p>
    <w:p>
      <w:pPr>
        <w:spacing w:after="0" w:line="274" w:lineRule="exact"/>
        <w:rPr>
          <w:sz w:val="20"/>
          <w:szCs w:val="20"/>
          <w:color w:val="auto"/>
        </w:rPr>
      </w:pPr>
    </w:p>
    <w:p>
      <w:pPr>
        <w:ind w:left="5000"/>
        <w:spacing w:after="0"/>
        <w:tabs>
          <w:tab w:leader="none" w:pos="5500" w:val="left"/>
        </w:tabs>
        <w:rPr>
          <w:sz w:val="20"/>
          <w:szCs w:val="20"/>
          <w:color w:val="auto"/>
        </w:rPr>
      </w:pPr>
      <w:r>
        <w:rPr>
          <w:rFonts w:ascii="Arial" w:cs="Arial" w:eastAsia="Arial" w:hAnsi="Arial"/>
          <w:sz w:val="21"/>
          <w:szCs w:val="21"/>
          <w:color w:val="auto"/>
        </w:rPr>
        <w:t>By:</w:t>
        <w:tab/>
        <w:t>/s/ John C. Carrabba,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15875</wp:posOffset>
            </wp:positionV>
            <wp:extent cx="27590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9"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John C. Carrabba, III</w:t>
      </w:r>
    </w:p>
    <w:p>
      <w:pPr>
        <w:spacing w:after="0" w:line="107"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President</w:t>
      </w:r>
    </w:p>
    <w:p>
      <w:pPr>
        <w:sectPr>
          <w:pgSz w:w="11900" w:h="16838" w:orient="portrait"/>
          <w:cols w:equalWidth="0" w:num="1">
            <w:col w:w="9820"/>
          </w:cols>
          <w:pgMar w:left="940" w:top="85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9820"/>
          </w:cols>
          <w:pgMar w:left="940" w:top="857" w:right="1139" w:bottom="1440" w:gutter="0" w:footer="0" w:header="0"/>
          <w:type w:val="continuous"/>
        </w:sectPr>
      </w:pPr>
    </w:p>
    <w:bookmarkStart w:id="79" w:name="page80"/>
    <w:bookmarkEnd w:id="79"/>
    <w:p>
      <w:pPr>
        <w:ind w:left="4500"/>
        <w:spacing w:after="0"/>
        <w:rPr>
          <w:sz w:val="20"/>
          <w:szCs w:val="20"/>
          <w:color w:val="auto"/>
        </w:rPr>
      </w:pPr>
      <w:r>
        <w:rPr>
          <w:rFonts w:ascii="Arial" w:cs="Arial" w:eastAsia="Arial" w:hAnsi="Arial"/>
          <w:sz w:val="21"/>
          <w:szCs w:val="21"/>
          <w:u w:val="single" w:color="auto"/>
          <w:color w:val="auto"/>
        </w:rPr>
        <w:t>“CI”</w:t>
      </w:r>
    </w:p>
    <w:p>
      <w:pPr>
        <w:spacing w:after="0" w:line="274"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ORIGINAL, INC. (formerly Carrabba,Inc.), a</w:t>
      </w:r>
    </w:p>
    <w:p>
      <w:pPr>
        <w:spacing w:after="0" w:line="45"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Texas corporation</w:t>
      </w:r>
    </w:p>
    <w:p>
      <w:pPr>
        <w:spacing w:after="0" w:line="268"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1"/>
          <w:szCs w:val="21"/>
          <w:color w:val="auto"/>
        </w:rPr>
        <w:t>By:</w:t>
        <w:tab/>
        <w:t>/s/ John C. Carrabba,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15875</wp:posOffset>
            </wp:positionV>
            <wp:extent cx="27590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9"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John C. Carrabba, III</w:t>
      </w:r>
    </w:p>
    <w:p>
      <w:pPr>
        <w:spacing w:after="0" w:line="107"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President</w:t>
      </w:r>
    </w:p>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Arial" w:cs="Arial" w:eastAsia="Arial" w:hAnsi="Arial"/>
          <w:sz w:val="21"/>
          <w:szCs w:val="21"/>
          <w:u w:val="single" w:color="auto"/>
          <w:color w:val="auto"/>
        </w:rPr>
        <w:t>“CWI”</w:t>
      </w:r>
    </w:p>
    <w:p>
      <w:pPr>
        <w:spacing w:after="0" w:line="274"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VOSS, INC. (formerly Carrabba Woodway,</w:t>
      </w:r>
    </w:p>
    <w:p>
      <w:pPr>
        <w:spacing w:after="0" w:line="45"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Inc.), a Texas corporation</w:t>
      </w:r>
    </w:p>
    <w:p>
      <w:pPr>
        <w:spacing w:after="0" w:line="268"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1"/>
          <w:szCs w:val="21"/>
          <w:color w:val="auto"/>
        </w:rPr>
        <w:t>By:</w:t>
        <w:tab/>
        <w:t>/s/ John C. Carrabba,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15875</wp:posOffset>
            </wp:positionV>
            <wp:extent cx="27590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9"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John C. Carrabba, III</w:t>
      </w:r>
    </w:p>
    <w:p>
      <w:pPr>
        <w:spacing w:after="0" w:line="94"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00"/>
        <w:spacing w:after="0"/>
        <w:rPr>
          <w:sz w:val="20"/>
          <w:szCs w:val="20"/>
          <w:color w:val="auto"/>
        </w:rPr>
      </w:pPr>
      <w:r>
        <w:rPr>
          <w:rFonts w:ascii="Arial" w:cs="Arial" w:eastAsia="Arial" w:hAnsi="Arial"/>
          <w:sz w:val="21"/>
          <w:szCs w:val="21"/>
          <w:u w:val="single" w:color="auto"/>
          <w:color w:val="auto"/>
        </w:rPr>
        <w:t>“JOHNNY CARRABBA”</w:t>
      </w:r>
    </w:p>
    <w:p>
      <w:pPr>
        <w:spacing w:after="0" w:line="274"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/s/ John C. Carrabba,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15875</wp:posOffset>
            </wp:positionV>
            <wp:extent cx="30943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9"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John C. Carrabba, III, individually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1"/>
          <w:szCs w:val="21"/>
          <w:u w:val="single" w:color="auto"/>
          <w:color w:val="auto"/>
        </w:rPr>
        <w:t>“DAMIAN MANDOLA”</w:t>
      </w:r>
    </w:p>
    <w:p>
      <w:pPr>
        <w:spacing w:after="0" w:line="274"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/s/ Damian C. Mandola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15875</wp:posOffset>
            </wp:positionV>
            <wp:extent cx="30943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9"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Damian C. Mandola, individually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1"/>
          <w:szCs w:val="21"/>
          <w:u w:val="single" w:color="auto"/>
          <w:color w:val="auto"/>
        </w:rPr>
        <w:t>“JOHN CARRABBA, JR.”</w:t>
      </w:r>
    </w:p>
    <w:p>
      <w:pPr>
        <w:spacing w:after="0" w:line="274"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/s/ John C. Carrabba,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15875</wp:posOffset>
            </wp:positionV>
            <wp:extent cx="30943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9"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John C. Carrabba, Jr.,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9019"/>
          </w:cols>
          <w:pgMar w:left="1440" w:top="1124" w:right="1440" w:bottom="1440" w:gutter="0" w:footer="0" w:header="0"/>
        </w:sectPr>
      </w:pPr>
    </w:p>
    <w:bookmarkStart w:id="80" w:name="page81"/>
    <w:bookmarkEnd w:id="80"/>
    <w:p>
      <w:pPr>
        <w:jc w:val="center"/>
        <w:ind w:right="-168"/>
        <w:spacing w:after="0"/>
        <w:rPr>
          <w:sz w:val="20"/>
          <w:szCs w:val="20"/>
          <w:color w:val="auto"/>
        </w:rPr>
      </w:pPr>
      <w:r>
        <w:rPr>
          <w:rFonts w:ascii="Arial" w:cs="Arial" w:eastAsia="Arial" w:hAnsi="Arial"/>
          <w:sz w:val="19"/>
          <w:szCs w:val="19"/>
          <w:b w:val="1"/>
          <w:bCs w:val="1"/>
          <w:u w:val="single" w:color="auto"/>
          <w:color w:val="auto"/>
        </w:rPr>
        <w:t>EXHIBIT A</w:t>
      </w:r>
    </w:p>
    <w:p>
      <w:pPr>
        <w:spacing w:after="0" w:line="213" w:lineRule="exact"/>
        <w:rPr>
          <w:sz w:val="20"/>
          <w:szCs w:val="20"/>
          <w:color w:val="auto"/>
        </w:rPr>
      </w:pPr>
    </w:p>
    <w:p>
      <w:pPr>
        <w:jc w:val="center"/>
        <w:ind w:right="-168"/>
        <w:spacing w:after="0"/>
        <w:rPr>
          <w:sz w:val="20"/>
          <w:szCs w:val="20"/>
          <w:color w:val="auto"/>
        </w:rPr>
      </w:pPr>
      <w:r>
        <w:rPr>
          <w:rFonts w:ascii="Arial" w:cs="Arial" w:eastAsia="Arial" w:hAnsi="Arial"/>
          <w:sz w:val="19"/>
          <w:szCs w:val="19"/>
          <w:u w:val="single" w:color="auto"/>
          <w:color w:val="auto"/>
        </w:rPr>
        <w:t>Signature Menu Items</w:t>
      </w:r>
    </w:p>
    <w:p>
      <w:pPr>
        <w:spacing w:after="0" w:line="220" w:lineRule="exact"/>
        <w:rPr>
          <w:sz w:val="20"/>
          <w:szCs w:val="20"/>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Chicken Bryan</w:t>
      </w:r>
    </w:p>
    <w:p>
      <w:pPr>
        <w:spacing w:after="0" w:line="21"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Pollo Rosa Maria</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Scotty Thompson Bruschette</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Spiedino Di Mare</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Mahi Wulfe</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Linguine Pescatore</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Fettuccine Carrabba (AKA Pasta Carrabba)</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Mezzaluna</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Pasta Georgio</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Mr. C’s signature grill baste</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Johnny Rocco salad</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Mama Mandola’s Sicilian Chicken Soup</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Ricardo sauce for dipping or topping dishes</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Rigatoni Martino</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Scampi Damian</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Picchi Pacchiu (Using that name for this type of sauce)</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Spicy Sicilian butter for dipping or topping dishes</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Dessert Rosa</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John Cole dessert</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Limoncello Bread Pudding</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Fruit filled handmade crostatas</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Sogno Di Cioccolata “chocolate dream”</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Cozze in Bianco (The use of our signature house made lemon butter sauce to create the recipe)</w:t>
      </w:r>
    </w:p>
    <w:p>
      <w:pPr>
        <w:spacing w:after="0" w:line="48" w:lineRule="exact"/>
        <w:rPr>
          <w:rFonts w:ascii="Arial" w:cs="Arial" w:eastAsia="Arial" w:hAnsi="Arial"/>
          <w:sz w:val="16"/>
          <w:szCs w:val="16"/>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Shrimp Diavolo</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combination plater designed like “The johnny” and “Chicken trio”</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Cannoli Cake for Two</w:t>
      </w:r>
    </w:p>
    <w:p>
      <w:pPr>
        <w:spacing w:after="0" w:line="13" w:lineRule="exact"/>
        <w:rPr>
          <w:rFonts w:ascii="Arial" w:cs="Arial" w:eastAsia="Arial" w:hAnsi="Arial"/>
          <w:sz w:val="19"/>
          <w:szCs w:val="19"/>
          <w:color w:val="auto"/>
        </w:rPr>
      </w:pPr>
    </w:p>
    <w:p>
      <w:pPr>
        <w:ind w:left="289" w:hanging="289"/>
        <w:spacing w:after="0"/>
        <w:tabs>
          <w:tab w:leader="none" w:pos="2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Marketing Terms</w:t>
      </w:r>
    </w:p>
    <w:p>
      <w:pPr>
        <w:spacing w:after="0" w:line="13" w:lineRule="exact"/>
        <w:rPr>
          <w:rFonts w:ascii="Arial" w:cs="Arial" w:eastAsia="Arial" w:hAnsi="Arial"/>
          <w:sz w:val="19"/>
          <w:szCs w:val="19"/>
          <w:color w:val="auto"/>
        </w:rPr>
      </w:pPr>
    </w:p>
    <w:p>
      <w:pPr>
        <w:ind w:left="929" w:hanging="310"/>
        <w:spacing w:after="0"/>
        <w:tabs>
          <w:tab w:leader="none" w:pos="929" w:val="left"/>
        </w:tabs>
        <w:numPr>
          <w:ilvl w:val="1"/>
          <w:numId w:val="80"/>
        </w:numPr>
        <w:rPr>
          <w:rFonts w:ascii="Arial" w:cs="Arial" w:eastAsia="Arial" w:hAnsi="Arial"/>
          <w:sz w:val="19"/>
          <w:szCs w:val="19"/>
          <w:color w:val="auto"/>
        </w:rPr>
      </w:pPr>
      <w:r>
        <w:rPr>
          <w:rFonts w:ascii="Arial" w:cs="Arial" w:eastAsia="Arial" w:hAnsi="Arial"/>
          <w:sz w:val="19"/>
          <w:szCs w:val="19"/>
          <w:color w:val="auto"/>
        </w:rPr>
        <w:t>Bring homemade home</w:t>
      </w:r>
    </w:p>
    <w:p>
      <w:pPr>
        <w:spacing w:after="0" w:line="13" w:lineRule="exact"/>
        <w:rPr>
          <w:rFonts w:ascii="Arial" w:cs="Arial" w:eastAsia="Arial" w:hAnsi="Arial"/>
          <w:sz w:val="19"/>
          <w:szCs w:val="19"/>
          <w:color w:val="auto"/>
        </w:rPr>
      </w:pPr>
    </w:p>
    <w:p>
      <w:pPr>
        <w:ind w:left="929" w:hanging="310"/>
        <w:spacing w:after="0"/>
        <w:tabs>
          <w:tab w:leader="none" w:pos="929" w:val="left"/>
        </w:tabs>
        <w:numPr>
          <w:ilvl w:val="1"/>
          <w:numId w:val="80"/>
        </w:numPr>
        <w:rPr>
          <w:rFonts w:ascii="Arial" w:cs="Arial" w:eastAsia="Arial" w:hAnsi="Arial"/>
          <w:sz w:val="19"/>
          <w:szCs w:val="19"/>
          <w:color w:val="auto"/>
        </w:rPr>
      </w:pPr>
      <w:r>
        <w:rPr>
          <w:rFonts w:ascii="Arial" w:cs="Arial" w:eastAsia="Arial" w:hAnsi="Arial"/>
          <w:sz w:val="19"/>
          <w:szCs w:val="19"/>
          <w:color w:val="auto"/>
        </w:rPr>
        <w:t>Amore Monday or any other day of week</w:t>
      </w:r>
    </w:p>
    <w:p>
      <w:pPr>
        <w:spacing w:after="0" w:line="13" w:lineRule="exact"/>
        <w:rPr>
          <w:rFonts w:ascii="Arial" w:cs="Arial" w:eastAsia="Arial" w:hAnsi="Arial"/>
          <w:sz w:val="19"/>
          <w:szCs w:val="19"/>
          <w:color w:val="auto"/>
        </w:rPr>
      </w:pPr>
    </w:p>
    <w:p>
      <w:pPr>
        <w:ind w:left="929" w:hanging="310"/>
        <w:spacing w:after="0"/>
        <w:tabs>
          <w:tab w:leader="none" w:pos="929" w:val="left"/>
        </w:tabs>
        <w:numPr>
          <w:ilvl w:val="1"/>
          <w:numId w:val="80"/>
        </w:numPr>
        <w:rPr>
          <w:rFonts w:ascii="Arial" w:cs="Arial" w:eastAsia="Arial" w:hAnsi="Arial"/>
          <w:sz w:val="19"/>
          <w:szCs w:val="19"/>
          <w:color w:val="auto"/>
        </w:rPr>
      </w:pPr>
      <w:r>
        <w:rPr>
          <w:rFonts w:ascii="Arial" w:cs="Arial" w:eastAsia="Arial" w:hAnsi="Arial"/>
          <w:sz w:val="19"/>
          <w:szCs w:val="19"/>
          <w:color w:val="auto"/>
        </w:rPr>
        <w:t>Founder’s Favorites</w:t>
      </w:r>
    </w:p>
    <w:p>
      <w:pPr>
        <w:spacing w:after="0" w:line="8" w:lineRule="exact"/>
        <w:rPr>
          <w:rFonts w:ascii="Arial" w:cs="Arial" w:eastAsia="Arial" w:hAnsi="Arial"/>
          <w:sz w:val="19"/>
          <w:szCs w:val="19"/>
          <w:color w:val="auto"/>
        </w:rPr>
      </w:pPr>
    </w:p>
    <w:p>
      <w:pPr>
        <w:ind w:left="929" w:hanging="310"/>
        <w:spacing w:after="0"/>
        <w:tabs>
          <w:tab w:leader="none" w:pos="929" w:val="left"/>
        </w:tabs>
        <w:numPr>
          <w:ilvl w:val="1"/>
          <w:numId w:val="80"/>
        </w:numPr>
        <w:rPr>
          <w:rFonts w:ascii="Arial" w:cs="Arial" w:eastAsia="Arial" w:hAnsi="Arial"/>
          <w:sz w:val="19"/>
          <w:szCs w:val="19"/>
          <w:color w:val="auto"/>
        </w:rPr>
      </w:pPr>
      <w:r>
        <w:rPr>
          <w:rFonts w:ascii="Arial" w:cs="Arial" w:eastAsia="Arial" w:hAnsi="Arial"/>
          <w:sz w:val="19"/>
          <w:szCs w:val="19"/>
          <w:color w:val="auto"/>
        </w:rPr>
        <w:t>Sangria Sunday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68"/>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9208"/>
          </w:cols>
          <w:pgMar w:left="1251" w:top="852"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9"/>
          <w:szCs w:val="19"/>
          <w:b w:val="1"/>
          <w:bCs w:val="1"/>
          <w:color w:val="auto"/>
        </w:rPr>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David J. Deno, certify that:</w:t>
      </w:r>
    </w:p>
    <w:p>
      <w:pPr>
        <w:spacing w:after="0" w:line="233" w:lineRule="exact"/>
        <w:rPr>
          <w:sz w:val="20"/>
          <w:szCs w:val="20"/>
          <w:color w:val="auto"/>
        </w:rPr>
      </w:pPr>
    </w:p>
    <w:p>
      <w:pPr>
        <w:ind w:left="540" w:hanging="537"/>
        <w:spacing w:after="0"/>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Bloomin’ Brands, Inc.;</w:t>
      </w:r>
    </w:p>
    <w:p>
      <w:pPr>
        <w:spacing w:after="0" w:line="232" w:lineRule="exact"/>
        <w:rPr>
          <w:rFonts w:ascii="Arial" w:cs="Arial" w:eastAsia="Arial" w:hAnsi="Arial"/>
          <w:sz w:val="19"/>
          <w:szCs w:val="19"/>
          <w:color w:val="auto"/>
        </w:rPr>
      </w:pPr>
    </w:p>
    <w:p>
      <w:pPr>
        <w:jc w:val="both"/>
        <w:ind w:left="540" w:hanging="537"/>
        <w:spacing w:after="0" w:line="252" w:lineRule="auto"/>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color w:val="auto"/>
        </w:rPr>
      </w:pPr>
    </w:p>
    <w:p>
      <w:pPr>
        <w:ind w:left="540" w:hanging="537"/>
        <w:spacing w:after="0" w:line="324"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7"/>
          <w:szCs w:val="17"/>
          <w:color w:val="auto"/>
        </w:rPr>
      </w:pPr>
    </w:p>
    <w:p>
      <w:pPr>
        <w:jc w:val="both"/>
        <w:ind w:left="540" w:hanging="537"/>
        <w:spacing w:after="0" w:line="278"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9"/>
          <w:szCs w:val="19"/>
          <w:color w:val="auto"/>
        </w:rPr>
        <w:t>13a-15(f) and 15d-15(f)) for the registrant and have:</w:t>
      </w:r>
    </w:p>
    <w:p>
      <w:pPr>
        <w:spacing w:after="0" w:line="216" w:lineRule="exact"/>
        <w:rPr>
          <w:rFonts w:ascii="Arial" w:cs="Arial" w:eastAsia="Arial" w:hAnsi="Arial"/>
          <w:sz w:val="17"/>
          <w:szCs w:val="17"/>
          <w:color w:val="auto"/>
        </w:rPr>
      </w:pPr>
    </w:p>
    <w:p>
      <w:pPr>
        <w:jc w:val="both"/>
        <w:ind w:left="1240" w:hanging="463"/>
        <w:spacing w:after="0" w:line="273" w:lineRule="auto"/>
        <w:tabs>
          <w:tab w:leader="none" w:pos="123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40" w:hanging="463"/>
        <w:spacing w:after="0" w:line="252" w:lineRule="auto"/>
        <w:tabs>
          <w:tab w:leader="none" w:pos="1228" w:val="left"/>
        </w:tabs>
        <w:numPr>
          <w:ilvl w:val="1"/>
          <w:numId w:val="8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color w:val="auto"/>
        </w:rPr>
      </w:pPr>
    </w:p>
    <w:p>
      <w:pPr>
        <w:jc w:val="both"/>
        <w:ind w:left="1240" w:hanging="463"/>
        <w:spacing w:after="0" w:line="252" w:lineRule="auto"/>
        <w:tabs>
          <w:tab w:leader="none" w:pos="1230" w:val="left"/>
        </w:tabs>
        <w:numPr>
          <w:ilvl w:val="1"/>
          <w:numId w:val="81"/>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color w:val="auto"/>
        </w:rPr>
      </w:pPr>
    </w:p>
    <w:p>
      <w:pPr>
        <w:jc w:val="both"/>
        <w:ind w:left="1240" w:hanging="463"/>
        <w:spacing w:after="0" w:line="273" w:lineRule="auto"/>
        <w:tabs>
          <w:tab w:leader="none" w:pos="12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540" w:hanging="537"/>
        <w:spacing w:after="0" w:line="252" w:lineRule="auto"/>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9"/>
          <w:szCs w:val="19"/>
          <w:color w:val="auto"/>
        </w:rPr>
      </w:pPr>
    </w:p>
    <w:p>
      <w:pPr>
        <w:ind w:left="1240" w:hanging="463"/>
        <w:spacing w:after="0" w:line="324" w:lineRule="auto"/>
        <w:tabs>
          <w:tab w:leader="none" w:pos="123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7"/>
          <w:szCs w:val="17"/>
          <w:color w:val="auto"/>
        </w:rPr>
      </w:pPr>
    </w:p>
    <w:p>
      <w:pPr>
        <w:ind w:left="1240" w:hanging="463"/>
        <w:spacing w:after="0" w:line="264" w:lineRule="auto"/>
        <w:tabs>
          <w:tab w:leader="none" w:pos="1228" w:val="left"/>
        </w:tabs>
        <w:numPr>
          <w:ilvl w:val="1"/>
          <w:numId w:val="81"/>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660"/>
        <w:spacing w:after="0"/>
        <w:tabs>
          <w:tab w:leader="none" w:pos="1220" w:val="left"/>
          <w:tab w:leader="none" w:pos="4980" w:val="left"/>
        </w:tabs>
        <w:rPr>
          <w:sz w:val="20"/>
          <w:szCs w:val="20"/>
          <w:color w:val="auto"/>
        </w:rPr>
      </w:pPr>
      <w:r>
        <w:rPr>
          <w:rFonts w:ascii="Arial" w:cs="Arial" w:eastAsia="Arial" w:hAnsi="Arial"/>
          <w:sz w:val="19"/>
          <w:szCs w:val="19"/>
          <w:color w:val="auto"/>
        </w:rPr>
        <w:t>Date:</w:t>
        <w:tab/>
        <w:t>August 5, 2021</w:t>
      </w:r>
      <w:r>
        <w:rPr>
          <w:sz w:val="20"/>
          <w:szCs w:val="20"/>
          <w:color w:val="auto"/>
        </w:rPr>
        <w:tab/>
      </w:r>
      <w:r>
        <w:rPr>
          <w:rFonts w:ascii="Arial" w:cs="Arial" w:eastAsia="Arial" w:hAnsi="Arial"/>
          <w:sz w:val="17"/>
          <w:szCs w:val="17"/>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10795</wp:posOffset>
            </wp:positionV>
            <wp:extent cx="357759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577590" cy="16510"/>
                    </a:xfrm>
                    <a:prstGeom prst="rect">
                      <a:avLst/>
                    </a:prstGeom>
                    <a:noFill/>
                  </pic:spPr>
                </pic:pic>
              </a:graphicData>
            </a:graphic>
          </wp:anchor>
        </w:drawing>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David J. Deno</w:t>
      </w:r>
    </w:p>
    <w:p>
      <w:pPr>
        <w:ind w:left="5000"/>
        <w:spacing w:after="0" w:line="230" w:lineRule="auto"/>
        <w:rPr>
          <w:sz w:val="20"/>
          <w:szCs w:val="20"/>
          <w:color w:val="auto"/>
        </w:rPr>
      </w:pPr>
      <w:r>
        <w:rPr>
          <w:rFonts w:ascii="Arial" w:cs="Arial" w:eastAsia="Arial" w:hAnsi="Arial"/>
          <w:sz w:val="19"/>
          <w:szCs w:val="19"/>
          <w:color w:val="auto"/>
        </w:rPr>
        <w:t>Chief Executive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11240"/>
          </w:cols>
          <w:pgMar w:left="320" w:top="349"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9"/>
          <w:szCs w:val="19"/>
          <w:b w:val="1"/>
          <w:bCs w:val="1"/>
          <w:color w:val="auto"/>
        </w:rPr>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Christopher Meyer, certify that:</w:t>
      </w:r>
    </w:p>
    <w:p>
      <w:pPr>
        <w:spacing w:after="0" w:line="233" w:lineRule="exact"/>
        <w:rPr>
          <w:sz w:val="20"/>
          <w:szCs w:val="20"/>
          <w:color w:val="auto"/>
        </w:rPr>
      </w:pPr>
    </w:p>
    <w:p>
      <w:pPr>
        <w:ind w:left="540" w:hanging="537"/>
        <w:spacing w:after="0"/>
        <w:tabs>
          <w:tab w:leader="none" w:pos="5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Bloomin’ Brands, Inc.;</w:t>
      </w:r>
    </w:p>
    <w:p>
      <w:pPr>
        <w:spacing w:after="0" w:line="232" w:lineRule="exact"/>
        <w:rPr>
          <w:rFonts w:ascii="Arial" w:cs="Arial" w:eastAsia="Arial" w:hAnsi="Arial"/>
          <w:sz w:val="19"/>
          <w:szCs w:val="19"/>
          <w:color w:val="auto"/>
        </w:rPr>
      </w:pPr>
    </w:p>
    <w:p>
      <w:pPr>
        <w:jc w:val="both"/>
        <w:ind w:left="540" w:hanging="537"/>
        <w:spacing w:after="0" w:line="252" w:lineRule="auto"/>
        <w:tabs>
          <w:tab w:leader="none" w:pos="5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color w:val="auto"/>
        </w:rPr>
      </w:pPr>
    </w:p>
    <w:p>
      <w:pPr>
        <w:ind w:left="540" w:hanging="537"/>
        <w:spacing w:after="0" w:line="324" w:lineRule="auto"/>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7"/>
          <w:szCs w:val="17"/>
          <w:color w:val="auto"/>
        </w:rPr>
      </w:pPr>
    </w:p>
    <w:p>
      <w:pPr>
        <w:jc w:val="both"/>
        <w:ind w:left="540" w:hanging="537"/>
        <w:spacing w:after="0" w:line="278" w:lineRule="auto"/>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9"/>
          <w:szCs w:val="19"/>
          <w:color w:val="auto"/>
        </w:rPr>
        <w:t>13a-15(f) and 15d-15(f)) for the registrant and have:</w:t>
      </w:r>
    </w:p>
    <w:p>
      <w:pPr>
        <w:spacing w:after="0" w:line="216" w:lineRule="exact"/>
        <w:rPr>
          <w:rFonts w:ascii="Arial" w:cs="Arial" w:eastAsia="Arial" w:hAnsi="Arial"/>
          <w:sz w:val="17"/>
          <w:szCs w:val="17"/>
          <w:color w:val="auto"/>
        </w:rPr>
      </w:pPr>
    </w:p>
    <w:p>
      <w:pPr>
        <w:jc w:val="both"/>
        <w:ind w:left="1240" w:hanging="463"/>
        <w:spacing w:after="0" w:line="273" w:lineRule="auto"/>
        <w:tabs>
          <w:tab w:leader="none" w:pos="123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40" w:hanging="463"/>
        <w:spacing w:after="0" w:line="252" w:lineRule="auto"/>
        <w:tabs>
          <w:tab w:leader="none" w:pos="1228" w:val="left"/>
        </w:tabs>
        <w:numPr>
          <w:ilvl w:val="1"/>
          <w:numId w:val="8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color w:val="auto"/>
        </w:rPr>
      </w:pPr>
    </w:p>
    <w:p>
      <w:pPr>
        <w:jc w:val="both"/>
        <w:ind w:left="1240" w:hanging="463"/>
        <w:spacing w:after="0" w:line="252" w:lineRule="auto"/>
        <w:tabs>
          <w:tab w:leader="none" w:pos="1230" w:val="left"/>
        </w:tabs>
        <w:numPr>
          <w:ilvl w:val="1"/>
          <w:numId w:val="82"/>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color w:val="auto"/>
        </w:rPr>
      </w:pPr>
    </w:p>
    <w:p>
      <w:pPr>
        <w:jc w:val="both"/>
        <w:ind w:left="1240" w:hanging="463"/>
        <w:spacing w:after="0" w:line="273" w:lineRule="auto"/>
        <w:tabs>
          <w:tab w:leader="none" w:pos="122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540" w:hanging="537"/>
        <w:spacing w:after="0" w:line="252" w:lineRule="auto"/>
        <w:tabs>
          <w:tab w:leader="none" w:pos="5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9"/>
          <w:szCs w:val="19"/>
          <w:color w:val="auto"/>
        </w:rPr>
      </w:pPr>
    </w:p>
    <w:p>
      <w:pPr>
        <w:ind w:left="1240" w:hanging="463"/>
        <w:spacing w:after="0" w:line="324" w:lineRule="auto"/>
        <w:tabs>
          <w:tab w:leader="none" w:pos="123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7"/>
          <w:szCs w:val="17"/>
          <w:color w:val="auto"/>
        </w:rPr>
      </w:pPr>
    </w:p>
    <w:p>
      <w:pPr>
        <w:ind w:left="1240" w:hanging="463"/>
        <w:spacing w:after="0" w:line="264" w:lineRule="auto"/>
        <w:tabs>
          <w:tab w:leader="none" w:pos="1228" w:val="left"/>
        </w:tabs>
        <w:numPr>
          <w:ilvl w:val="1"/>
          <w:numId w:val="82"/>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660"/>
        <w:spacing w:after="0"/>
        <w:tabs>
          <w:tab w:leader="none" w:pos="1220" w:val="left"/>
          <w:tab w:leader="none" w:pos="4980" w:val="left"/>
        </w:tabs>
        <w:rPr>
          <w:sz w:val="20"/>
          <w:szCs w:val="20"/>
          <w:color w:val="auto"/>
        </w:rPr>
      </w:pPr>
      <w:r>
        <w:rPr>
          <w:rFonts w:ascii="Arial" w:cs="Arial" w:eastAsia="Arial" w:hAnsi="Arial"/>
          <w:sz w:val="19"/>
          <w:szCs w:val="19"/>
          <w:color w:val="auto"/>
        </w:rPr>
        <w:t>Date:</w:t>
        <w:tab/>
        <w:t>August 5, 2021</w:t>
      </w:r>
      <w:r>
        <w:rPr>
          <w:sz w:val="20"/>
          <w:szCs w:val="20"/>
          <w:color w:val="auto"/>
        </w:rPr>
        <w:tab/>
      </w:r>
      <w:r>
        <w:rPr>
          <w:rFonts w:ascii="Arial" w:cs="Arial" w:eastAsia="Arial" w:hAnsi="Arial"/>
          <w:sz w:val="17"/>
          <w:szCs w:val="17"/>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10795</wp:posOffset>
            </wp:positionV>
            <wp:extent cx="357759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577590" cy="16510"/>
                    </a:xfrm>
                    <a:prstGeom prst="rect">
                      <a:avLst/>
                    </a:prstGeom>
                    <a:noFill/>
                  </pic:spPr>
                </pic:pic>
              </a:graphicData>
            </a:graphic>
          </wp:anchor>
        </w:drawing>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Christopher Meyer</w:t>
      </w:r>
    </w:p>
    <w:p>
      <w:pPr>
        <w:ind w:left="5000"/>
        <w:spacing w:after="0" w:line="230" w:lineRule="auto"/>
        <w:rPr>
          <w:sz w:val="20"/>
          <w:szCs w:val="20"/>
          <w:color w:val="auto"/>
        </w:rPr>
      </w:pPr>
      <w:r>
        <w:rPr>
          <w:rFonts w:ascii="Arial" w:cs="Arial" w:eastAsia="Arial" w:hAnsi="Arial"/>
          <w:sz w:val="19"/>
          <w:szCs w:val="19"/>
          <w:color w:val="auto"/>
        </w:rPr>
        <w:t>Executive Vice President and Chief Financial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(Principal Financial and Accounting Officer)</w:t>
      </w:r>
    </w:p>
    <w:p>
      <w:pPr>
        <w:sectPr>
          <w:pgSz w:w="11900" w:h="16838" w:orient="portrait"/>
          <w:cols w:equalWidth="0" w:num="1">
            <w:col w:w="11240"/>
          </w:cols>
          <w:pgMar w:left="320" w:top="349"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71" w:lineRule="auto"/>
        <w:rPr>
          <w:sz w:val="20"/>
          <w:szCs w:val="20"/>
          <w:color w:val="auto"/>
        </w:rPr>
      </w:pPr>
      <w:r>
        <w:rPr>
          <w:rFonts w:ascii="Arial" w:cs="Arial" w:eastAsia="Arial" w:hAnsi="Arial"/>
          <w:sz w:val="19"/>
          <w:szCs w:val="19"/>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connection with the Quarterly Report of Bloomin’ Brands, Inc. (the “Company”) on Form 10-Q for the quarter ended June 27, 2021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06" w:lineRule="exact"/>
        <w:rPr>
          <w:sz w:val="20"/>
          <w:szCs w:val="20"/>
          <w:color w:val="auto"/>
        </w:rPr>
      </w:pPr>
    </w:p>
    <w:p>
      <w:pPr>
        <w:ind w:left="620" w:hanging="307"/>
        <w:spacing w:after="0"/>
        <w:tabs>
          <w:tab w:leader="none" w:pos="6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32" w:lineRule="exact"/>
        <w:rPr>
          <w:rFonts w:ascii="Arial" w:cs="Arial" w:eastAsia="Arial" w:hAnsi="Arial"/>
          <w:sz w:val="19"/>
          <w:szCs w:val="19"/>
          <w:color w:val="auto"/>
        </w:rPr>
      </w:pPr>
    </w:p>
    <w:p>
      <w:pPr>
        <w:ind w:left="620" w:hanging="307"/>
        <w:spacing w:after="0" w:line="264" w:lineRule="auto"/>
        <w:tabs>
          <w:tab w:leader="none" w:pos="608"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 for the dates and periods covered by the Report.</w:t>
      </w:r>
    </w:p>
    <w:p>
      <w:pPr>
        <w:spacing w:after="0" w:line="254"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19"/>
          <w:szCs w:val="19"/>
          <w:color w:val="auto"/>
        </w:rPr>
        <w:t>Date:</w:t>
        <w:tab/>
        <w:t>August 5, 2021</w:t>
      </w:r>
      <w:r>
        <w:rPr>
          <w:sz w:val="20"/>
          <w:szCs w:val="20"/>
          <w:color w:val="auto"/>
        </w:rPr>
        <w:tab/>
      </w:r>
      <w:r>
        <w:rPr>
          <w:rFonts w:ascii="Arial" w:cs="Arial" w:eastAsia="Arial" w:hAnsi="Arial"/>
          <w:sz w:val="17"/>
          <w:szCs w:val="17"/>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401955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4019550" cy="16510"/>
                    </a:xfrm>
                    <a:prstGeom prst="rect">
                      <a:avLst/>
                    </a:prstGeom>
                    <a:noFill/>
                  </pic:spPr>
                </pic:pic>
              </a:graphicData>
            </a:graphic>
          </wp:anchor>
        </w:drawing>
      </w:r>
    </w:p>
    <w:p>
      <w:pPr>
        <w:spacing w:after="0" w:line="19"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David J. Deno</w:t>
      </w:r>
    </w:p>
    <w:p>
      <w:pPr>
        <w:ind w:left="4920"/>
        <w:spacing w:after="0" w:line="230" w:lineRule="auto"/>
        <w:rPr>
          <w:sz w:val="20"/>
          <w:szCs w:val="20"/>
          <w:color w:val="auto"/>
        </w:rPr>
      </w:pPr>
      <w:r>
        <w:rPr>
          <w:rFonts w:ascii="Arial" w:cs="Arial" w:eastAsia="Arial" w:hAnsi="Arial"/>
          <w:sz w:val="19"/>
          <w:szCs w:val="19"/>
          <w:color w:val="auto"/>
        </w:rPr>
        <w:t>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(Principal Executive Officer)</w:t>
      </w:r>
    </w:p>
    <w:p>
      <w:pPr>
        <w:spacing w:after="0" w:line="30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852"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9"/>
          <w:szCs w:val="19"/>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71" w:lineRule="auto"/>
        <w:rPr>
          <w:sz w:val="20"/>
          <w:szCs w:val="20"/>
          <w:color w:val="auto"/>
        </w:rPr>
      </w:pPr>
      <w:r>
        <w:rPr>
          <w:rFonts w:ascii="Arial" w:cs="Arial" w:eastAsia="Arial" w:hAnsi="Arial"/>
          <w:sz w:val="19"/>
          <w:szCs w:val="19"/>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connection with the Quarterly Report of Bloomin’ Brands, Inc. (the “Company”) on Form 10-Q for the quarter ended June 27, 2021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06" w:lineRule="exact"/>
        <w:rPr>
          <w:sz w:val="20"/>
          <w:szCs w:val="20"/>
          <w:color w:val="auto"/>
        </w:rPr>
      </w:pPr>
    </w:p>
    <w:p>
      <w:pPr>
        <w:ind w:left="620" w:hanging="307"/>
        <w:spacing w:after="0"/>
        <w:tabs>
          <w:tab w:leader="none" w:pos="6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32" w:lineRule="exact"/>
        <w:rPr>
          <w:rFonts w:ascii="Arial" w:cs="Arial" w:eastAsia="Arial" w:hAnsi="Arial"/>
          <w:sz w:val="19"/>
          <w:szCs w:val="19"/>
          <w:color w:val="auto"/>
        </w:rPr>
      </w:pPr>
    </w:p>
    <w:p>
      <w:pPr>
        <w:ind w:left="620" w:hanging="307"/>
        <w:spacing w:after="0" w:line="264" w:lineRule="auto"/>
        <w:tabs>
          <w:tab w:leader="none" w:pos="608"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 for the dates and periods covered by the Report.</w:t>
      </w:r>
    </w:p>
    <w:p>
      <w:pPr>
        <w:spacing w:after="0" w:line="254"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19"/>
          <w:szCs w:val="19"/>
          <w:color w:val="auto"/>
        </w:rPr>
        <w:t>Date:</w:t>
        <w:tab/>
        <w:t>August 5, 2021</w:t>
      </w:r>
      <w:r>
        <w:rPr>
          <w:sz w:val="20"/>
          <w:szCs w:val="20"/>
          <w:color w:val="auto"/>
        </w:rPr>
        <w:tab/>
      </w:r>
      <w:r>
        <w:rPr>
          <w:rFonts w:ascii="Arial" w:cs="Arial" w:eastAsia="Arial" w:hAnsi="Arial"/>
          <w:sz w:val="17"/>
          <w:szCs w:val="17"/>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401955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4019550" cy="16510"/>
                    </a:xfrm>
                    <a:prstGeom prst="rect">
                      <a:avLst/>
                    </a:prstGeom>
                    <a:noFill/>
                  </pic:spPr>
                </pic:pic>
              </a:graphicData>
            </a:graphic>
          </wp:anchor>
        </w:drawing>
      </w:r>
    </w:p>
    <w:p>
      <w:pPr>
        <w:spacing w:after="0" w:line="19"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Christopher Meyer</w:t>
      </w:r>
    </w:p>
    <w:p>
      <w:pPr>
        <w:ind w:left="4920"/>
        <w:spacing w:after="0" w:line="230" w:lineRule="auto"/>
        <w:rPr>
          <w:sz w:val="20"/>
          <w:szCs w:val="20"/>
          <w:color w:val="auto"/>
        </w:rPr>
      </w:pPr>
      <w:r>
        <w:rPr>
          <w:rFonts w:ascii="Arial" w:cs="Arial" w:eastAsia="Arial" w:hAnsi="Arial"/>
          <w:sz w:val="19"/>
          <w:szCs w:val="19"/>
          <w:color w:val="auto"/>
        </w:rPr>
        <w:t>Executive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(Principal Financial and Accounting Officer)</w:t>
      </w:r>
    </w:p>
    <w:p>
      <w:pPr>
        <w:spacing w:after="0" w:line="30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8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2"/>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decimal"/>
      <w:start w:val="3"/>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4"/>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5"/>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1."/>
      <w:numFmt w:val="decimal"/>
      <w:start w:val="6"/>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9"/>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lowerRoman"/>
      <w:start w:val="3"/>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lowerRoman"/>
      <w:start w:val="1"/>
    </w:lvl>
  </w:abstractNum>
  <w:abstractNum w:abstractNumId="34">
    <w:nsid w:val="15B5AF5C"/>
    <w:multiLevelType w:val="hybridMultilevel"/>
    <w:lvl w:ilvl="0">
      <w:lvlJc w:val="left"/>
      <w:lvlText w:val="(%1)"/>
      <w:numFmt w:val="lowerRoman"/>
      <w:start w:val="7"/>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lowerRoman"/>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9"/>
    </w:lvl>
  </w:abstractNum>
  <w:abstractNum w:abstractNumId="51">
    <w:nsid w:val="5DB70AE5"/>
    <w:multiLevelType w:val="hybridMultilevel"/>
    <w:lvl w:ilvl="0">
      <w:lvlJc w:val="left"/>
      <w:lvlText w:val="(%1)"/>
      <w:numFmt w:val="lowerRoman"/>
      <w:start w:val="3"/>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1."/>
      <w:numFmt w:val="decimal"/>
      <w:start w:val="1"/>
    </w:lvl>
    <w:lvl w:ilvl="1">
      <w:lvlJc w:val="left"/>
      <w:lvlText w:val="%2)"/>
      <w:numFmt w:val="lowerLetter"/>
      <w:start w:val="1"/>
    </w:lvl>
  </w:abstractNum>
  <w:abstractNum w:abstractNumId="54">
    <w:nsid w:val="15014ACB"/>
    <w:multiLevelType w:val="hybridMultilevel"/>
    <w:lvl w:ilvl="0">
      <w:lvlJc w:val="left"/>
      <w:lvlText w:val="%1"/>
      <w:numFmt w:val="decimal"/>
      <w:start w:val="1"/>
    </w:lvl>
    <w:lvl w:ilvl="1">
      <w:lvlJc w:val="left"/>
      <w:lvlText w:val="%2)"/>
      <w:numFmt w:val="lowerLetter"/>
      <w:start w:val="8"/>
    </w:lvl>
  </w:abstractNum>
  <w:abstractNum w:abstractNumId="55">
    <w:nsid w:val="5F5E7FD0"/>
    <w:multiLevelType w:val="hybridMultilevel"/>
    <w:lvl w:ilvl="0">
      <w:lvlJc w:val="left"/>
      <w:lvlText w:val="%1."/>
      <w:numFmt w:val="decimal"/>
      <w:start w:val="2"/>
    </w:lvl>
    <w:lvl w:ilvl="1">
      <w:lvlJc w:val="left"/>
      <w:lvlText w:val="%2"/>
      <w:numFmt w:val="lowerLetter"/>
      <w:start w:val="1"/>
    </w:lvl>
  </w:abstractNum>
  <w:abstractNum w:abstractNumId="56">
    <w:nsid w:val="98A3148"/>
    <w:multiLevelType w:val="hybridMultilevel"/>
    <w:lvl w:ilvl="0">
      <w:lvlJc w:val="left"/>
      <w:lvlText w:val="%1."/>
      <w:numFmt w:val="decimal"/>
      <w:start w:val="5"/>
    </w:lvl>
    <w:lvl w:ilvl="1">
      <w:lvlJc w:val="left"/>
      <w:lvlText w:val="%2)"/>
      <w:numFmt w:val="lowerLetter"/>
      <w:start w:val="1"/>
    </w:lvl>
  </w:abstractNum>
  <w:abstractNum w:abstractNumId="57">
    <w:nsid w:val="799D0247"/>
    <w:multiLevelType w:val="hybridMultilevel"/>
    <w:lvl w:ilvl="0">
      <w:lvlJc w:val="left"/>
      <w:lvlText w:val="%1"/>
      <w:numFmt w:val="decimal"/>
      <w:start w:val="1"/>
    </w:lvl>
    <w:lvl w:ilvl="1">
      <w:lvlJc w:val="left"/>
      <w:lvlText w:val="%2)"/>
      <w:numFmt w:val="lowerLetter"/>
      <w:start w:val="3"/>
    </w:lvl>
  </w:abstractNum>
  <w:abstractNum w:abstractNumId="58">
    <w:nsid w:val="6B94764"/>
    <w:multiLevelType w:val="hybridMultilevel"/>
    <w:lvl w:ilvl="0">
      <w:lvlJc w:val="left"/>
      <w:lvlText w:val="%1."/>
      <w:numFmt w:val="decimal"/>
      <w:start w:val="7"/>
    </w:lvl>
    <w:lvl w:ilvl="1">
      <w:lvlJc w:val="left"/>
      <w:lvlText w:val="%2)"/>
      <w:numFmt w:val="lowerLetter"/>
      <w:start w:val="1"/>
    </w:lvl>
  </w:abstractNum>
  <w:abstractNum w:abstractNumId="59">
    <w:nsid w:val="42C296BD"/>
    <w:multiLevelType w:val="hybridMultilevel"/>
    <w:lvl w:ilvl="0">
      <w:lvlJc w:val="left"/>
      <w:lvlText w:val="%1)"/>
      <w:numFmt w:val="lowerLetter"/>
      <w:start w:val="3"/>
    </w:lvl>
    <w:lvl w:ilvl="1">
      <w:lvlJc w:val="left"/>
      <w:lvlText w:val="%2."/>
      <w:numFmt w:val="upperLetter"/>
      <w:start w:val="1"/>
    </w:lvl>
  </w:abstractNum>
  <w:abstractNum w:abstractNumId="60">
    <w:nsid w:val="168E121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61">
    <w:nsid w:val="1EBA5D23"/>
    <w:multiLevelType w:val="hybridMultilevel"/>
    <w:lvl w:ilvl="0">
      <w:lvlJc w:val="left"/>
      <w:lvlText w:val="%1"/>
      <w:numFmt w:val="lowerLetter"/>
      <w:start w:val="1"/>
    </w:lvl>
    <w:lvl w:ilvl="1">
      <w:lvlJc w:val="left"/>
      <w:lvlText w:val="%2)"/>
      <w:numFmt w:val="lowerLetter"/>
      <w:start w:val="6"/>
    </w:lvl>
    <w:lvl w:ilvl="2">
      <w:lvlJc w:val="left"/>
      <w:lvlText w:val="%3"/>
      <w:numFmt w:val="upperLetter"/>
      <w:start w:val="1"/>
    </w:lvl>
  </w:abstractNum>
  <w:abstractNum w:abstractNumId="62">
    <w:nsid w:val="661E3F1E"/>
    <w:multiLevelType w:val="hybridMultilevel"/>
    <w:lvl w:ilvl="0">
      <w:lvlJc w:val="left"/>
      <w:lvlText w:val="%1)"/>
      <w:numFmt w:val="lowerLetter"/>
      <w:start w:val="10"/>
    </w:lvl>
    <w:lvl w:ilvl="1">
      <w:lvlJc w:val="left"/>
      <w:lvlText w:val="%2"/>
      <w:numFmt w:val="lowerLetter"/>
      <w:start w:val="1"/>
    </w:lvl>
    <w:lvl w:ilvl="2">
      <w:lvlJc w:val="left"/>
      <w:lvlText w:val="%3"/>
      <w:numFmt w:val="upperLetter"/>
      <w:start w:val="1"/>
    </w:lvl>
  </w:abstractNum>
  <w:abstractNum w:abstractNumId="63">
    <w:nsid w:val="5DC79EA8"/>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2"/>
    </w:lvl>
  </w:abstractNum>
  <w:abstractNum w:abstractNumId="64">
    <w:nsid w:val="540A471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5">
    <w:nsid w:val="7BD3EE7B"/>
    <w:multiLevelType w:val="hybridMultilevel"/>
    <w:lvl w:ilvl="0">
      <w:lvlJc w:val="left"/>
      <w:lvlText w:val="%1"/>
      <w:numFmt w:val="decimal"/>
      <w:start w:val="1"/>
    </w:lvl>
    <w:lvl w:ilvl="1">
      <w:lvlJc w:val="left"/>
      <w:lvlText w:val="%2)"/>
      <w:numFmt w:val="lowerLetter"/>
      <w:start w:val="2"/>
    </w:lvl>
  </w:abstractNum>
  <w:abstractNum w:abstractNumId="66">
    <w:nsid w:val="51D9C564"/>
    <w:multiLevelType w:val="hybridMultilevel"/>
    <w:lvl w:ilvl="0">
      <w:lvlJc w:val="left"/>
      <w:lvlText w:val="(%1)"/>
      <w:numFmt w:val="decimal"/>
      <w:start w:val="2"/>
    </w:lvl>
    <w:lvl w:ilvl="1">
      <w:lvlJc w:val="left"/>
      <w:lvlText w:val="%2)"/>
      <w:numFmt w:val="lowerLetter"/>
      <w:start w:val="3"/>
    </w:lvl>
  </w:abstractNum>
  <w:abstractNum w:abstractNumId="67">
    <w:nsid w:val="613EFDC5"/>
    <w:multiLevelType w:val="hybridMultilevel"/>
    <w:lvl w:ilvl="0">
      <w:lvlJc w:val="left"/>
      <w:lvlText w:val="%1)"/>
      <w:numFmt w:val="lowerLetter"/>
      <w:start w:val="5"/>
    </w:lvl>
    <w:lvl w:ilvl="1">
      <w:lvlJc w:val="left"/>
      <w:lvlText w:val="%2)"/>
      <w:numFmt w:val="lowerRoman"/>
      <w:start w:val="1"/>
    </w:lvl>
  </w:abstractNum>
  <w:abstractNum w:abstractNumId="68">
    <w:nsid w:val="BF72B14"/>
    <w:multiLevelType w:val="hybridMultilevel"/>
    <w:lvl w:ilvl="0">
      <w:lvlJc w:val="left"/>
      <w:lvlText w:val="%1"/>
      <w:numFmt w:val="decimal"/>
      <w:start w:val="1"/>
    </w:lvl>
    <w:lvl w:ilvl="1">
      <w:lvlJc w:val="left"/>
      <w:lvlText w:val="%2)"/>
      <w:numFmt w:val="lowerLetter"/>
      <w:start w:val="7"/>
    </w:lvl>
  </w:abstractNum>
  <w:abstractNum w:abstractNumId="69">
    <w:nsid w:val="11447B73"/>
    <w:multiLevelType w:val="hybridMultilevel"/>
    <w:lvl w:ilvl="0">
      <w:lvlJc w:val="left"/>
      <w:lvlText w:val="%1."/>
      <w:numFmt w:val="decimal"/>
      <w:start w:val="9"/>
    </w:lvl>
    <w:lvl w:ilvl="1">
      <w:lvlJc w:val="left"/>
      <w:lvlText w:val="%2)"/>
      <w:numFmt w:val="lowerLetter"/>
      <w:start w:val="1"/>
    </w:lvl>
  </w:abstractNum>
  <w:abstractNum w:abstractNumId="70">
    <w:nsid w:val="42963E5A"/>
    <w:multiLevelType w:val="hybridMultilevel"/>
    <w:lvl w:ilvl="0">
      <w:lvlJc w:val="left"/>
      <w:lvlText w:val="%1"/>
      <w:numFmt w:val="decimal"/>
      <w:start w:val="1"/>
    </w:lvl>
    <w:lvl w:ilvl="1">
      <w:lvlJc w:val="left"/>
      <w:lvlText w:val="%2)"/>
      <w:numFmt w:val="lowerLetter"/>
      <w:start w:val="2"/>
    </w:lvl>
  </w:abstractNum>
  <w:abstractNum w:abstractNumId="71">
    <w:nsid w:val="A0382C5"/>
    <w:multiLevelType w:val="hybridMultilevel"/>
    <w:lvl w:ilvl="0">
      <w:lvlJc w:val="left"/>
      <w:lvlText w:val="%1."/>
      <w:numFmt w:val="decimal"/>
      <w:start w:val="11"/>
    </w:lvl>
    <w:lvl w:ilvl="1">
      <w:lvlJc w:val="left"/>
      <w:lvlText w:val="%2)"/>
      <w:numFmt w:val="lowerLetter"/>
      <w:start w:val="1"/>
    </w:lvl>
  </w:abstractNum>
  <w:abstractNum w:abstractNumId="72">
    <w:nsid w:val="8F2B15E"/>
    <w:multiLevelType w:val="hybridMultilevel"/>
    <w:lvl w:ilvl="0">
      <w:lvlJc w:val="left"/>
      <w:lvlText w:val="%1"/>
      <w:numFmt w:val="decimal"/>
      <w:start w:val="1"/>
    </w:lvl>
    <w:lvl w:ilvl="1">
      <w:lvlJc w:val="left"/>
      <w:lvlText w:val="%2)"/>
      <w:numFmt w:val="lowerLetter"/>
      <w:start w:val="3"/>
    </w:lvl>
  </w:abstractNum>
  <w:abstractNum w:abstractNumId="73">
    <w:nsid w:val="1A32234B"/>
    <w:multiLevelType w:val="hybridMultilevel"/>
    <w:lvl w:ilvl="0">
      <w:lvlJc w:val="left"/>
      <w:lvlText w:val="%1."/>
      <w:numFmt w:val="decimal"/>
      <w:start w:val="12"/>
    </w:lvl>
    <w:lvl w:ilvl="1">
      <w:lvlJc w:val="left"/>
      <w:lvlText w:val="%2"/>
      <w:numFmt w:val="lowerLetter"/>
      <w:start w:val="1"/>
    </w:lvl>
  </w:abstractNum>
  <w:abstractNum w:abstractNumId="74">
    <w:nsid w:val="3B0FD379"/>
    <w:multiLevelType w:val="hybridMultilevel"/>
    <w:lvl w:ilvl="0">
      <w:lvlJc w:val="left"/>
      <w:lvlText w:val="%1."/>
      <w:numFmt w:val="decimal"/>
      <w:start w:val="13"/>
    </w:lvl>
  </w:abstractNum>
  <w:abstractNum w:abstractNumId="75">
    <w:nsid w:val="68EB2F63"/>
    <w:multiLevelType w:val="hybridMultilevel"/>
    <w:lvl w:ilvl="0">
      <w:lvlJc w:val="left"/>
      <w:lvlText w:val="%1."/>
      <w:numFmt w:val="decimal"/>
      <w:start w:val="15"/>
    </w:lvl>
    <w:lvl w:ilvl="1">
      <w:lvlJc w:val="left"/>
      <w:lvlText w:val="%2)"/>
      <w:numFmt w:val="lowerLetter"/>
      <w:start w:val="1"/>
    </w:lvl>
  </w:abstractNum>
  <w:abstractNum w:abstractNumId="76">
    <w:nsid w:val="4962813B"/>
    <w:multiLevelType w:val="hybridMultilevel"/>
    <w:lvl w:ilvl="0">
      <w:lvlJc w:val="left"/>
      <w:lvlText w:val="%1."/>
      <w:numFmt w:val="decimal"/>
      <w:start w:val="17"/>
    </w:lvl>
  </w:abstractNum>
  <w:abstractNum w:abstractNumId="77">
    <w:nsid w:val="60B6DF70"/>
    <w:multiLevelType w:val="hybridMultilevel"/>
    <w:lvl w:ilvl="0">
      <w:lvlJc w:val="left"/>
      <w:lvlText w:val="%1."/>
      <w:numFmt w:val="decimal"/>
      <w:start w:val="18"/>
    </w:lvl>
  </w:abstractNum>
  <w:abstractNum w:abstractNumId="78">
    <w:nsid w:val="6A5EE64"/>
    <w:multiLevelType w:val="hybridMultilevel"/>
    <w:lvl w:ilvl="0">
      <w:lvlJc w:val="left"/>
      <w:lvlText w:val="%1."/>
      <w:numFmt w:val="decimal"/>
      <w:start w:val="29"/>
    </w:lvl>
  </w:abstractNum>
  <w:abstractNum w:abstractNumId="79">
    <w:nsid w:val="14330624"/>
    <w:multiLevelType w:val="hybridMultilevel"/>
    <w:lvl w:ilvl="0">
      <w:lvlJc w:val="left"/>
      <w:lvlText w:val="•"/>
      <w:numFmt w:val="bullet"/>
      <w:start w:val="1"/>
    </w:lvl>
    <w:lvl w:ilvl="1">
      <w:lvlJc w:val="left"/>
      <w:lvlText w:val="•"/>
      <w:numFmt w:val="bullet"/>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84" Type="http://schemas.openxmlformats.org/officeDocument/2006/relationships/hyperlink" Target="http://www.sec.gov/Archives/edgar/data/1546417/000154641721000063/blmn-051821_ex31.htm" TargetMode="External"/><Relationship Id="rId85" Type="http://schemas.openxmlformats.org/officeDocument/2006/relationships/hyperlink" Target="http://www.sec.gov/Archives/edgar/data/1546417/000119312521122784/d138233dex41.htm" TargetMode="External"/><Relationship Id="rId86" Type="http://schemas.openxmlformats.org/officeDocument/2006/relationships/hyperlink" Target="http://www.sec.gov/Archives/edgar/data/1546417/000119312521122784/d138233dex41.htm#tx138233_100" TargetMode="External"/><Relationship Id="rId87" Type="http://schemas.openxmlformats.org/officeDocument/2006/relationships/hyperlink" Target="http://www.sec.gov/Archives/edgar/data/1546417/000119312521122784/d13823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2021-08-05T15:55:59Z</dcterms:created>
  <dcterms:modified xsi:type="dcterms:W3CDTF">2021-08-05T15:55:59Z</dcterms:modified>
</cp:coreProperties>
</file>