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688975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179705</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tbl>
      <w:tblPr>
        <w:tblLayout w:type="fixed"/>
        <w:tblInd w:w="1200" w:type="dxa"/>
        <w:tblCellMar>
          <w:top w:w="0" w:type="dxa"/>
          <w:left w:w="0" w:type="dxa"/>
          <w:bottom w:w="0" w:type="dxa"/>
          <w:right w:w="0" w:type="dxa"/>
        </w:tblCellMar>
      </w:tblPr>
      <w:tr>
        <w:trPr>
          <w:trHeight w:val="244"/>
        </w:trPr>
        <w:tc>
          <w:tcPr>
            <w:tcW w:w="2340" w:type="dxa"/>
            <w:vAlign w:val="bottom"/>
          </w:tcPr>
          <w:p>
            <w:pPr>
              <w:spacing w:after="0"/>
              <w:rPr>
                <w:sz w:val="21"/>
                <w:szCs w:val="21"/>
                <w:color w:val="auto"/>
              </w:rPr>
            </w:pPr>
          </w:p>
        </w:tc>
        <w:tc>
          <w:tcPr>
            <w:tcW w:w="438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(Exact name of registrant as specified in its charter)</w:t>
            </w:r>
          </w:p>
        </w:tc>
        <w:tc>
          <w:tcPr>
            <w:tcW w:w="1720" w:type="dxa"/>
            <w:vAlign w:val="bottom"/>
          </w:tcPr>
          <w:p>
            <w:pPr>
              <w:spacing w:after="0"/>
              <w:rPr>
                <w:sz w:val="21"/>
                <w:szCs w:val="21"/>
                <w:color w:val="auto"/>
              </w:rPr>
            </w:pPr>
          </w:p>
        </w:tc>
      </w:tr>
      <w:tr>
        <w:trPr>
          <w:trHeight w:val="260"/>
        </w:trPr>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8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001-35625</w:t>
            </w:r>
          </w:p>
        </w:tc>
        <w:tc>
          <w:tcPr>
            <w:tcW w:w="1720" w:type="dxa"/>
            <w:vAlign w:val="bottom"/>
          </w:tcPr>
          <w:p>
            <w:pPr>
              <w:jc w:val="center"/>
              <w:ind w:left="14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202"/>
        </w:trPr>
        <w:tc>
          <w:tcPr>
            <w:tcW w:w="23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438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1720" w:type="dxa"/>
            <w:vAlign w:val="bottom"/>
          </w:tcPr>
          <w:p>
            <w:pPr>
              <w:jc w:val="center"/>
              <w:ind w:left="141"/>
              <w:spacing w:after="0" w:line="203"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incorporation)</w:t>
            </w:r>
          </w:p>
        </w:tc>
        <w:tc>
          <w:tcPr>
            <w:tcW w:w="4380" w:type="dxa"/>
            <w:vAlign w:val="bottom"/>
          </w:tcPr>
          <w:p>
            <w:pPr>
              <w:spacing w:after="0"/>
              <w:rPr>
                <w:sz w:val="22"/>
                <w:szCs w:val="22"/>
                <w:color w:val="auto"/>
              </w:rPr>
            </w:pPr>
          </w:p>
        </w:tc>
        <w:tc>
          <w:tcPr>
            <w:tcW w:w="17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5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67" w:gutter="0" w:footer="0" w:header="0"/>
        </w:sectPr>
      </w:pPr>
    </w:p>
    <w:p>
      <w:pPr>
        <w:spacing w:after="0" w:line="15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67"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6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May 6, 2026, Bloomin’ Brands, Inc. issued a press release reporting its financial results for the thirteen weeks ended March 29, 2026. A copy of the release is attached as Exhibit 99.1. In addition, the slide presentation accompanying the Company’s conference call will be posted on the Company’s website.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2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2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Exhibit</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750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60" w:type="dxa"/>
            <w:vAlign w:val="bottom"/>
            <w:tcBorders>
              <w:bottom w:val="single" w:sz="8" w:color="auto"/>
            </w:tcBorders>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16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7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54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20" w:type="dxa"/>
            <w:vAlign w:val="bottom"/>
          </w:tcPr>
          <w:p>
            <w:pPr>
              <w:spacing w:after="0"/>
              <w:rPr>
                <w:sz w:val="19"/>
                <w:szCs w:val="19"/>
                <w:color w:val="auto"/>
              </w:rPr>
            </w:pPr>
          </w:p>
        </w:tc>
        <w:tc>
          <w:tcPr>
            <w:tcW w:w="842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000FF"/>
              </w:rPr>
              <w:t>Press Release of Bloomin’ Brands, Inc. dated May 6, 2026</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104</w:t>
            </w:r>
          </w:p>
        </w:tc>
        <w:tc>
          <w:tcPr>
            <w:tcW w:w="16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270"/>
        </w:trPr>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60" w:val="left"/>
          <w:tab w:leader="none" w:pos="5640" w:val="left"/>
        </w:tabs>
        <w:rPr>
          <w:sz w:val="20"/>
          <w:szCs w:val="20"/>
          <w:color w:val="auto"/>
        </w:rPr>
      </w:pPr>
      <w:r>
        <w:rPr>
          <w:rFonts w:ascii="Times New Roman" w:cs="Times New Roman" w:eastAsia="Times New Roman" w:hAnsi="Times New Roman"/>
          <w:sz w:val="20"/>
          <w:szCs w:val="20"/>
          <w:color w:val="auto"/>
        </w:rPr>
        <w:t>Date: May 6, 2026</w:t>
      </w:r>
      <w:r>
        <w:rPr>
          <w:sz w:val="20"/>
          <w:szCs w:val="20"/>
          <w:color w:val="auto"/>
        </w:rPr>
        <w:tab/>
      </w:r>
      <w:r>
        <w:rPr>
          <w:rFonts w:ascii="Times New Roman" w:cs="Times New Roman" w:eastAsia="Times New Roman" w:hAnsi="Times New Roman"/>
          <w:sz w:val="20"/>
          <w:szCs w:val="20"/>
          <w:color w:val="auto"/>
        </w:rPr>
        <w:t>By:</w:t>
        <w:tab/>
        <w:t>/s/ Eric Christel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22860</wp:posOffset>
            </wp:positionV>
            <wp:extent cx="3463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Eric Christel</w:t>
      </w:r>
    </w:p>
    <w:p>
      <w:pPr>
        <w:spacing w:after="0" w:line="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66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080"/>
          </w:cols>
          <w:pgMar w:left="320" w:top="923" w:right="499" w:bottom="1440" w:gutter="0" w:footer="0" w:header="0"/>
        </w:sectPr>
      </w:pPr>
    </w:p>
    <w:bookmarkStart w:id="4" w:name="page5"/>
    <w:bookmarkEnd w:id="4"/>
    <w:p>
      <w:pPr>
        <w:ind w:left="1560"/>
        <w:spacing w:after="0"/>
        <w:rPr>
          <w:sz w:val="20"/>
          <w:szCs w:val="20"/>
          <w:color w:val="auto"/>
        </w:rPr>
      </w:pPr>
      <w:r>
        <w:rPr>
          <w:rFonts w:ascii="Times New Roman" w:cs="Times New Roman" w:eastAsia="Times New Roman" w:hAnsi="Times New Roman"/>
          <w:sz w:val="75"/>
          <w:szCs w:val="75"/>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-467360</wp:posOffset>
            </wp:positionV>
            <wp:extent cx="617220" cy="994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994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703" w:lineRule="exact"/>
        <w:rPr>
          <w:sz w:val="20"/>
          <w:szCs w:val="20"/>
          <w:color w:val="auto"/>
        </w:rPr>
      </w:pPr>
    </w:p>
    <w:p>
      <w:pPr>
        <w:sectPr>
          <w:pgSz w:w="11900" w:h="16838" w:orient="portrait"/>
          <w:cols w:equalWidth="0" w:num="2">
            <w:col w:w="9420" w:space="720"/>
            <w:col w:w="1120"/>
          </w:cols>
          <w:pgMar w:left="320" w:top="838" w:right="319" w:bottom="1440" w:gutter="0" w:footer="0" w:header="0"/>
        </w:sectPr>
      </w:pPr>
    </w:p>
    <w:p>
      <w:pPr>
        <w:ind w:left="1560"/>
        <w:spacing w:after="0"/>
        <w:rPr>
          <w:sz w:val="20"/>
          <w:szCs w:val="20"/>
          <w:color w:val="auto"/>
        </w:rPr>
      </w:pPr>
      <w:r>
        <w:rPr>
          <w:rFonts w:ascii="Times New Roman" w:cs="Times New Roman" w:eastAsia="Times New Roman" w:hAnsi="Times New Roman"/>
          <w:sz w:val="20"/>
          <w:szCs w:val="20"/>
          <w:color w:val="auto"/>
        </w:rPr>
        <w:t>Tara Kurian</w:t>
      </w:r>
    </w:p>
    <w:p>
      <w:pPr>
        <w:spacing w:after="0" w:line="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SVP, IR, FP&amp;A, and International</w:t>
      </w:r>
    </w:p>
    <w:p>
      <w:pPr>
        <w:spacing w:after="0" w:line="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(813) 830-5311</w:t>
      </w:r>
    </w:p>
    <w:p>
      <w:pPr>
        <w:spacing w:after="0" w:line="3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Bloomin’ Brands Announces 2026 Q1 Financial Results</w:t>
      </w:r>
    </w:p>
    <w:p>
      <w:pPr>
        <w:spacing w:after="0" w:line="2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Q1 Diluted EPS of $0.64 and Q1 Adjusted Diluted EPS of $0.67</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TAMPA, Fla., May 6, 2026 </w:t>
      </w:r>
      <w:r>
        <w:rPr>
          <w:rFonts w:ascii="Times New Roman" w:cs="Times New Roman" w:eastAsia="Times New Roman" w:hAnsi="Times New Roman"/>
          <w:sz w:val="20"/>
          <w:szCs w:val="20"/>
          <w:color w:val="auto"/>
        </w:rPr>
        <w:t>- Bloomin’ Brands, Inc. (Nasdaq: BLMN) today reported results for the first quarter 2026 (“Q1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the first quarter 2025 (“Q1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CEO Comments</w:t>
      </w:r>
    </w:p>
    <w:p>
      <w:pPr>
        <w:spacing w:after="0" w:line="7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“We are pleased with our results in the first quarter as they reflect our focus on consistency of execution and delivering a great guest experience,” said Mike Spanos, CEO. “Outback brand scores continue to improve, highlighting our craveable steaks and food quality. We are making progress on our turnaround and remain committed to driving long-term, sustainable, and profitable growth for Bloomin’ Brands.”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Diluted EPS and Adjusted Diluted EPS</w:t>
      </w:r>
    </w:p>
    <w:p>
      <w:pPr>
        <w:spacing w:after="0" w:line="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reconciles Diluted earnings per share from continuing operations to Adjusted diluted earnings per share from continuing operations for the periods indicated (unaudited):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900" w:type="dxa"/>
            <w:vAlign w:val="bottom"/>
            <w:tcBorders>
              <w:top w:val="single" w:sz="8" w:color="auto"/>
              <w:left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Q1</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196"/>
        </w:trPr>
        <w:tc>
          <w:tcPr>
            <w:tcW w:w="7900" w:type="dxa"/>
            <w:vAlign w:val="bottom"/>
            <w:tcBorders>
              <w:left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7900" w:type="dxa"/>
            <w:vAlign w:val="bottom"/>
            <w:tcBorders>
              <w:top w:val="single" w:sz="8" w:color="CCEEFF"/>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right w:val="single" w:sz="8" w:color="auto"/>
            </w:tcBorders>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color w:val="auto"/>
              </w:rPr>
              <w:t>0.14</w:t>
            </w:r>
          </w:p>
        </w:tc>
      </w:tr>
      <w:tr>
        <w:trPr>
          <w:trHeight w:val="223"/>
        </w:trPr>
        <w:tc>
          <w:tcPr>
            <w:tcW w:w="7900" w:type="dxa"/>
            <w:vAlign w:val="bottom"/>
            <w:tcBorders>
              <w:left w:val="single" w:sz="8" w:color="auto"/>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Adjustments (1)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0.03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color w:val="auto"/>
              </w:rPr>
              <w:t>(0.06)</w:t>
            </w:r>
          </w:p>
        </w:tc>
      </w:tr>
      <w:tr>
        <w:trPr>
          <w:trHeight w:val="214"/>
        </w:trPr>
        <w:tc>
          <w:tcPr>
            <w:tcW w:w="79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diluted earnings per share (1)</w:t>
            </w: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right w:val="single" w:sz="8" w:color="auto"/>
            </w:tcBorders>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color w:val="auto"/>
              </w:rPr>
              <w:t>0.08</w:t>
            </w:r>
          </w:p>
        </w:tc>
      </w:tr>
      <w:tr>
        <w:trPr>
          <w:trHeight w:val="82"/>
        </w:trPr>
        <w:tc>
          <w:tcPr>
            <w:tcW w:w="7900" w:type="dxa"/>
            <w:vAlign w:val="bottom"/>
            <w:tcBorders>
              <w:top w:val="single" w:sz="8" w:color="CCEEFF"/>
              <w:left w:val="single" w:sz="8" w:color="auto"/>
              <w:bottom w:val="single" w:sz="8" w:color="auto"/>
            </w:tcBorders>
          </w:tcPr>
          <w:p>
            <w:pPr>
              <w:spacing w:after="0"/>
              <w:rPr>
                <w:sz w:val="7"/>
                <w:szCs w:val="7"/>
                <w:color w:val="auto"/>
              </w:rPr>
            </w:pPr>
          </w:p>
        </w:tc>
        <w:tc>
          <w:tcPr>
            <w:tcW w:w="680" w:type="dxa"/>
            <w:vAlign w:val="bottom"/>
            <w:tcBorders>
              <w:top w:val="single" w:sz="8" w:color="CCEEFF"/>
              <w:bottom w:val="single" w:sz="8" w:color="auto"/>
            </w:tcBorders>
          </w:tcPr>
          <w:p>
            <w:pPr>
              <w:spacing w:after="0"/>
              <w:rPr>
                <w:sz w:val="7"/>
                <w:szCs w:val="7"/>
                <w:color w:val="auto"/>
              </w:rPr>
            </w:pPr>
          </w:p>
        </w:tc>
        <w:tc>
          <w:tcPr>
            <w:tcW w:w="300" w:type="dxa"/>
            <w:vAlign w:val="bottom"/>
            <w:tcBorders>
              <w:top w:val="single" w:sz="8" w:color="CCEEFF"/>
              <w:bottom w:val="single" w:sz="8" w:color="auto"/>
            </w:tcBorders>
          </w:tcPr>
          <w:p>
            <w:pPr>
              <w:spacing w:after="0"/>
              <w:rPr>
                <w:sz w:val="7"/>
                <w:szCs w:val="7"/>
                <w:color w:val="auto"/>
              </w:rPr>
            </w:pPr>
          </w:p>
        </w:tc>
        <w:tc>
          <w:tcPr>
            <w:tcW w:w="6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CCEEFF"/>
              <w:bottom w:val="single" w:sz="8" w:color="auto"/>
            </w:tcBorders>
          </w:tcPr>
          <w:p>
            <w:pPr>
              <w:spacing w:after="0"/>
              <w:rPr>
                <w:sz w:val="7"/>
                <w:szCs w:val="7"/>
                <w:color w:val="auto"/>
              </w:rPr>
            </w:pPr>
          </w:p>
        </w:tc>
        <w:tc>
          <w:tcPr>
            <w:tcW w:w="680" w:type="dxa"/>
            <w:vAlign w:val="bottom"/>
            <w:tcBorders>
              <w:top w:val="single" w:sz="8" w:color="CCEEFF"/>
              <w:bottom w:val="single" w:sz="8" w:color="auto"/>
            </w:tcBorders>
          </w:tcPr>
          <w:p>
            <w:pPr>
              <w:spacing w:after="0"/>
              <w:rPr>
                <w:sz w:val="7"/>
                <w:szCs w:val="7"/>
                <w:color w:val="auto"/>
              </w:rPr>
            </w:pPr>
          </w:p>
        </w:tc>
        <w:tc>
          <w:tcPr>
            <w:tcW w:w="380" w:type="dxa"/>
            <w:vAlign w:val="bottom"/>
            <w:tcBorders>
              <w:top w:val="single" w:sz="8" w:color="CCEEFF"/>
              <w:bottom w:val="single" w:sz="8" w:color="auto"/>
            </w:tcBorders>
          </w:tcPr>
          <w:p>
            <w:pPr>
              <w:spacing w:after="0"/>
              <w:rPr>
                <w:sz w:val="7"/>
                <w:szCs w:val="7"/>
                <w:color w:val="auto"/>
              </w:rPr>
            </w:pPr>
          </w:p>
        </w:tc>
        <w:tc>
          <w:tcPr>
            <w:tcW w:w="80" w:type="dxa"/>
            <w:vAlign w:val="bottom"/>
            <w:tcBorders>
              <w:top w:val="single" w:sz="8" w:color="CCEEFF"/>
              <w:bottom w:val="single" w:sz="8" w:color="auto"/>
            </w:tcBorders>
          </w:tcPr>
          <w:p>
            <w:pPr>
              <w:spacing w:after="0"/>
              <w:rPr>
                <w:sz w:val="7"/>
                <w:szCs w:val="7"/>
                <w:color w:val="auto"/>
              </w:rPr>
            </w:pPr>
          </w:p>
        </w:tc>
        <w:tc>
          <w:tcPr>
            <w:tcW w:w="160" w:type="dxa"/>
            <w:vAlign w:val="bottom"/>
            <w:tcBorders>
              <w:top w:val="single" w:sz="8" w:color="CCEEFF"/>
              <w:bottom w:val="single" w:sz="8" w:color="auto"/>
            </w:tcBorders>
          </w:tcPr>
          <w:p>
            <w:pPr>
              <w:spacing w:after="0"/>
              <w:rPr>
                <w:sz w:val="7"/>
                <w:szCs w:val="7"/>
                <w:color w:val="auto"/>
              </w:rPr>
            </w:pPr>
          </w:p>
        </w:tc>
        <w:tc>
          <w:tcPr>
            <w:tcW w:w="920" w:type="dxa"/>
            <w:vAlign w:val="bottom"/>
            <w:tcBorders>
              <w:top w:val="single" w:sz="8" w:color="CCEEFF"/>
              <w:bottom w:val="single" w:sz="8" w:color="auto"/>
            </w:tcBorders>
          </w:tcPr>
          <w:p>
            <w:pPr>
              <w:spacing w:after="0"/>
              <w:rPr>
                <w:sz w:val="7"/>
                <w:szCs w:val="7"/>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4" w:lineRule="exact"/>
        <w:rPr>
          <w:sz w:val="20"/>
          <w:szCs w:val="20"/>
          <w:color w:val="auto"/>
        </w:rPr>
      </w:pPr>
    </w:p>
    <w:p>
      <w:pPr>
        <w:ind w:left="660" w:right="40" w:hanging="652"/>
        <w:spacing w:after="0" w:line="273"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Q1 2026 and Q1 2025 primarily relate to costs in connection with transformational and restructuring initiatives. See non-GAAP Measures later in this release. Also see Tables Five and Six for further details regarding the nature of diluted earnings per share adjustments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Financial Results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unaudited)</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 2026</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1,059.7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1,049.6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57"/>
        </w:trPr>
        <w:tc>
          <w:tcPr>
            <w:tcW w:w="7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income margin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margin (1)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73"/>
        </w:trPr>
        <w:tc>
          <w:tcPr>
            <w:tcW w:w="7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 (1)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27"/>
        </w:trPr>
        <w:tc>
          <w:tcPr>
            <w:tcW w:w="71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ind w:left="660" w:right="40" w:hanging="652"/>
        <w:spacing w:after="0" w:line="273"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non-GAAP Measures later in this release. Also see Tables Four and Five for details regarding the nature of restaurant-level operating margin and operating income margin adjustments, respectively.</w:t>
      </w:r>
    </w:p>
    <w:p>
      <w:pPr>
        <w:spacing w:after="0" w:line="18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Total revenues was primarily due to higher comparable restaurant sales.</w:t>
      </w:r>
    </w:p>
    <w:p>
      <w:pPr>
        <w:spacing w:after="0" w:line="242" w:lineRule="exact"/>
        <w:rPr>
          <w:rFonts w:ascii="Times New Roman" w:cs="Times New Roman" w:eastAsia="Times New Roman" w:hAnsi="Times New Roman"/>
          <w:sz w:val="20"/>
          <w:szCs w:val="20"/>
          <w:color w:val="auto"/>
        </w:rPr>
      </w:pPr>
    </w:p>
    <w:p>
      <w:pPr>
        <w:jc w:val="both"/>
        <w:ind w:left="340" w:right="20" w:hanging="332"/>
        <w:spacing w:after="0" w:line="23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margin increased from Q1 2025 primarily due to lower costs in connection with transformational and restructuring initiatives and an increase in restaurant-level operating margin, as detailed below, partially offset by higher impairment and closing costs.</w:t>
      </w:r>
    </w:p>
    <w:p>
      <w:pPr>
        <w:sectPr>
          <w:pgSz w:w="11900" w:h="16838" w:orient="portrait"/>
          <w:cols w:equalWidth="0" w:num="1">
            <w:col w:w="11260"/>
          </w:cols>
          <w:pgMar w:left="320" w:top="8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838" w:right="319" w:bottom="1440" w:gutter="0" w:footer="0" w:header="0"/>
          <w:type w:val="continuous"/>
        </w:sectPr>
      </w:pPr>
    </w:p>
    <w:bookmarkStart w:id="5" w:name="page6"/>
    <w:bookmarkEnd w:id="5"/>
    <w:p>
      <w:pPr>
        <w:ind w:left="320" w:hanging="312"/>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Restaurant-level operating margin increased from Q1 2025 primarily due to (i) higher average check per person, primarily due to pricing,</w:t>
      </w:r>
    </w:p>
    <w:p>
      <w:pPr>
        <w:spacing w:after="0" w:line="19" w:lineRule="exact"/>
        <w:rPr>
          <w:rFonts w:ascii="Times New Roman" w:cs="Times New Roman" w:eastAsia="Times New Roman" w:hAnsi="Times New Roman"/>
          <w:sz w:val="19"/>
          <w:szCs w:val="19"/>
          <w:color w:val="auto"/>
        </w:rPr>
      </w:pPr>
    </w:p>
    <w:p>
      <w:pPr>
        <w:ind w:left="340" w:hanging="8"/>
        <w:spacing w:after="0" w:line="228" w:lineRule="auto"/>
        <w:tabs>
          <w:tab w:leader="none" w:pos="6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cost-saving and productivity initiatives and (iii) lower advertising expense. These increases were partially offset by higher commodity, operating and labor costs, mainly due to inflation.</w:t>
      </w:r>
    </w:p>
    <w:p>
      <w:pPr>
        <w:spacing w:after="0" w:line="202" w:lineRule="exact"/>
        <w:rPr>
          <w:rFonts w:ascii="Times New Roman" w:cs="Times New Roman" w:eastAsia="Times New Roman" w:hAnsi="Times New Roman"/>
          <w:sz w:val="20"/>
          <w:szCs w:val="20"/>
          <w:color w:val="auto"/>
        </w:rPr>
      </w:pPr>
    </w:p>
    <w:p>
      <w:pPr>
        <w:jc w:val="both"/>
        <w:ind w:left="340" w:hanging="332"/>
        <w:spacing w:after="0" w:line="235"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operating income margin primarily excludes severance and other costs incurred as a result of transformational and restructuring initiatives in Q1 2025 and accelerated depreciation in Q1 2026 associated with equipment upgrades in connection with the turnaround strategy.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Comparable Restaurant Sales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 ENDED MARCH 29, 2026</w:t>
            </w:r>
          </w:p>
        </w:tc>
        <w:tc>
          <w:tcPr>
            <w:tcW w:w="24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30"/>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Comparable restaurant sales (stores open 18 months or more):</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8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w:t>
            </w:r>
          </w:p>
        </w:tc>
        <w:tc>
          <w:tcPr>
            <w:tcW w:w="24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0" w:type="dxa"/>
            <w:vAlign w:val="bottom"/>
          </w:tcPr>
          <w:p>
            <w:pPr>
              <w:spacing w:after="0"/>
              <w:rPr>
                <w:sz w:val="18"/>
                <w:szCs w:val="18"/>
                <w:color w:val="auto"/>
              </w:rPr>
            </w:pP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Carrabba’s Italian Grill</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20" w:type="dxa"/>
            <w:vAlign w:val="bottom"/>
            <w:shd w:val="clear" w:color="auto" w:fill="CCEEFF"/>
          </w:tcPr>
          <w:p>
            <w:pPr>
              <w:spacing w:after="0"/>
              <w:rPr>
                <w:sz w:val="19"/>
                <w:szCs w:val="19"/>
                <w:color w:val="auto"/>
              </w:rPr>
            </w:pPr>
          </w:p>
        </w:tc>
        <w:tc>
          <w:tcPr>
            <w:tcW w:w="8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13"/>
        </w:trPr>
        <w:tc>
          <w:tcPr>
            <w:tcW w:w="20" w:type="dxa"/>
            <w:vAlign w:val="bottom"/>
          </w:tcPr>
          <w:p>
            <w:pPr>
              <w:spacing w:after="0"/>
              <w:rPr>
                <w:sz w:val="18"/>
                <w:szCs w:val="18"/>
                <w:color w:val="auto"/>
              </w:rPr>
            </w:pP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9"/>
        </w:trPr>
        <w:tc>
          <w:tcPr>
            <w:tcW w:w="20" w:type="dxa"/>
            <w:vAlign w:val="bottom"/>
            <w:shd w:val="clear" w:color="auto" w:fill="CCEEFF"/>
          </w:tcPr>
          <w:p>
            <w:pPr>
              <w:spacing w:after="0"/>
              <w:rPr>
                <w:sz w:val="19"/>
                <w:szCs w:val="19"/>
                <w:color w:val="auto"/>
              </w:rPr>
            </w:pPr>
          </w:p>
        </w:tc>
        <w:tc>
          <w:tcPr>
            <w:tcW w:w="8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Combined U.S.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2026 Financial Outlook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reaffirming our full-year financial guidance as previously communicated in our February 25, 2026 earnings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Q2 2026 Financial Outlook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our expectations for selected fiscal Q2 2026 financial operating results.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Results: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Q2 2026 Outlook</w:t>
            </w:r>
          </w:p>
        </w:tc>
      </w:tr>
      <w:tr>
        <w:trPr>
          <w:trHeight w:val="216"/>
        </w:trPr>
        <w:tc>
          <w:tcPr>
            <w:tcW w:w="8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comparable restaurant sales</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 to 2%</w:t>
            </w:r>
          </w:p>
        </w:tc>
      </w:tr>
      <w:tr>
        <w:trPr>
          <w:trHeight w:val="54"/>
        </w:trPr>
        <w:tc>
          <w:tcPr>
            <w:tcW w:w="8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6"/>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$0.24 to $0.29</w:t>
            </w:r>
          </w:p>
        </w:tc>
      </w:tr>
      <w:tr>
        <w:trPr>
          <w:trHeight w:val="54"/>
        </w:trPr>
        <w:tc>
          <w:tcPr>
            <w:tcW w:w="8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6"/>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$0.27 to $0.32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Assumes diluted weighted average shares of approximately 86 million.</w:t>
            </w:r>
          </w:p>
        </w:tc>
        <w:tc>
          <w:tcPr>
            <w:tcW w:w="2180" w:type="dxa"/>
            <w:vAlign w:val="bottom"/>
          </w:tcPr>
          <w:p>
            <w:pPr>
              <w:spacing w:after="0"/>
              <w:rPr>
                <w:sz w:val="18"/>
                <w:szCs w:val="18"/>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host a conference call today, May 6, 2026 at 8:00 AM EDT. The conference call will be webcast live from the Company’s website at </w:t>
      </w:r>
      <w:r>
        <w:rPr>
          <w:rFonts w:ascii="Times New Roman" w:cs="Times New Roman" w:eastAsia="Times New Roman" w:hAnsi="Times New Roman"/>
          <w:sz w:val="20"/>
          <w:szCs w:val="20"/>
          <w:u w:val="single" w:color="auto"/>
          <w:color w:val="0000FF"/>
        </w:rPr>
        <w:t>http://www.bloominbrands.com</w:t>
      </w:r>
      <w:r>
        <w:rPr>
          <w:rFonts w:ascii="Times New Roman" w:cs="Times New Roman" w:eastAsia="Times New Roman" w:hAnsi="Times New Roman"/>
          <w:sz w:val="20"/>
          <w:szCs w:val="20"/>
          <w:color w:val="auto"/>
        </w:rPr>
        <w:t xml:space="preserve"> under the Investors section. A replay of this webcast will be available on the Company’s website after the call.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Bloomin’ Brands, Inc.</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Bloomin’ Brands, Inc. is one of the largest casual dining restaurant companies in the world with a portfolio of leading, differentiated restaurant concepts. The Company’s restaurant portfolio includes Outback Steakhouse, Carrabba’s Italian Grill, Bonefish Grill and Fleming’s Prime Steakhouse &amp; Wine Bar. The Company owns, operates and franchises more than 1,450 restaurants in 46 states, Guam and 12 countries. For more information, please visit www.bloominbrands.com.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results provided in accordance with GAAP, this press release and related tables include certain non-GAAP measures, which present operating results on an adjusted basis. These are supplemental measures of performance that are not required by or presented in accordance with GAAP and include: (i) Restaurant-level operating income and the corresponding margin, (ii) Adjusted income from operations and the corresponding margin, (iii) Adjusted segment income from operations and the corresponding margin, (iv) Adjusted net income and (v) Adjusted diluted earnings per share.</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both"/>
        <w:spacing w:after="0" w:line="283" w:lineRule="auto"/>
        <w:rPr>
          <w:sz w:val="20"/>
          <w:szCs w:val="20"/>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are not intended to replace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You should refer to the reconciliations of non-GAAP measures in Tables Four, Five and Six included later in this release for descriptions of the actual adjustments made in the current period and the corresponding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Certain statements contained herein, including statements under the headings “CEO Comments”, “Fiscal 2026 Financial Outlook” and “Q2 2026 Financial Outlook” are not based on historical fact and are “forward-looking statements” within the meaning of applicable securities laws. Generally, these statements can be identified by the use of words such as “guidance,” “believes,” “estimates,” “anticipates,” “expects,” “on track,” “feels,” “forecasts,” “seeks,” “projects,” “intends,” “plans,” “may,” “will,” “should,” “could,” “would” and similar expressions intended to identify forward-looking statements, although not all forward-looking statements contain these identifying words. These forward-looking statements include all matters that are not historical facts. By their nature, forward-looking statements involve risks and uncertainties that could cause actual results to differ materially from the Company’s forward-looking statements. These risks and uncertainties include, but are not limited to: our ability to execute and achieve the expected benefits of our actions to focus on operational priorities, including our turnaround plans and cost-saving initiatives to fund such plans; consumer reaction to public health and food safety issues; increases in labor costs and fluctuations in the availability of employees and our ability to attract, train, and retain key personnel; increases in unemployment rates and taxes; competition; interruption or breach of our systems or loss of consumer or employee information; price and availability of commodities and other impacts of inflation and tariffs; our dependence on a limited number of suppliers and distributors; political, social and legal conditions in international markets and their effects on foreign operations and foreign currency exchange rates; the impacts of our operations in Brazil as a minority investor and franchisor; our ability to address corporate citizenship and sustainability matters and investor expectations; local, regional, national and international economic conditions; changes in patterns of consumer traffic, consumer tastes and dietary habits; the effects of changes in tax laws; costs, diversion of management attention and reputational damage from any claims or litigation; government actions and policies, including the impact of U.S. government shutdowns; challenges associated with our remodeling, relocation and expansion plans; our ability to preserve the value of and grow our brands, including due to our limited control with respect to and the challenges facing the operations of our franchisees; consumer confidence and spending patterns; the effects of a health pandemic, weather, acts of God and other disasters and the ability or success in executing related business continuity plans; the Company’s ability to make debt payments and planned investments and the Company’s compliance with debt covenants; the cost and availability of credit; interest rate changes; and any impairments in the carrying value of goodwill and other assets. Further information on potential factors that could affect the financial results of the Company and its forward-looking statements is included in its most recent Form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6"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20"/>
          <w:szCs w:val="20"/>
          <w:color w:val="auto"/>
        </w:rPr>
        <w:t>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Numerical figures included in this release have been subject to rounding adjustments.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ONE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Pr>
          <w:p>
            <w:pPr>
              <w:spacing w:after="0"/>
              <w:rPr>
                <w:sz w:val="17"/>
                <w:szCs w:val="17"/>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1,041,826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1,029,517</w:t>
            </w:r>
          </w:p>
        </w:tc>
      </w:tr>
      <w:tr>
        <w:trPr>
          <w:trHeight w:val="22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20,077</w:t>
            </w:r>
          </w:p>
        </w:tc>
      </w:tr>
      <w:tr>
        <w:trPr>
          <w:trHeight w:val="223"/>
        </w:trPr>
        <w:tc>
          <w:tcPr>
            <w:tcW w:w="81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1,059,673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1,049,594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313,304</w:t>
            </w: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315,250</w:t>
            </w: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258,135</w:t>
            </w: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43,947</w:t>
            </w: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61,377</w:t>
            </w:r>
          </w:p>
        </w:tc>
      </w:tr>
      <w:tr>
        <w:trPr>
          <w:trHeight w:val="22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23"/>
        </w:trPr>
        <w:tc>
          <w:tcPr>
            <w:tcW w:w="81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992,363</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57,231</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(11,187)</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(benefit) provision for income taxes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43,850</w:t>
            </w: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43,596</w:t>
            </w:r>
          </w:p>
        </w:tc>
      </w:tr>
      <w:tr>
        <w:trPr>
          <w:trHeight w:val="23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Net income attributable to Bloomin</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 xml:space="preserve"> Brands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 (1):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2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diluted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4"/>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85,751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85,130</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may not add due to rounding.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TABLE TWO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SEGMENT RESULTS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8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U.S. Segment</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Pr>
          <w:p>
            <w:pPr>
              <w:spacing w:after="0"/>
              <w:rPr>
                <w:sz w:val="18"/>
                <w:szCs w:val="18"/>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1,020,130</w:t>
            </w:r>
          </w:p>
        </w:tc>
      </w:tr>
      <w:tr>
        <w:trPr>
          <w:trHeight w:val="22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U.S. segment revenues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1,042,453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1,030,903</w:t>
            </w:r>
          </w:p>
        </w:tc>
      </w:tr>
      <w:tr>
        <w:trPr>
          <w:trHeight w:val="203"/>
        </w:trPr>
        <w:tc>
          <w:tcPr>
            <w:tcW w:w="8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Franchise Segment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revenues (1)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9,283</w:t>
            </w:r>
          </w:p>
        </w:tc>
      </w:t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revenues (2)</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9,408</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1,049,594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Segment Operating Income to Total Operating Income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 from operations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87,670</w:t>
            </w:r>
          </w:p>
        </w:tc>
      </w:tr>
      <w:tr>
        <w:trPr>
          <w:trHeight w:val="22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96,674</w:t>
            </w:r>
          </w:p>
        </w:tc>
      </w:tr>
      <w:tr>
        <w:trPr>
          <w:trHeight w:val="213"/>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(39,768)</w:t>
            </w:r>
          </w:p>
        </w:tc>
      </w:tr>
      <w:tr>
        <w:trPr>
          <w:trHeight w:val="22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income from operations (1)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57,231</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weeks ended March 30, 2025 includes one additional month of pre-Brazil Sale Transaction intercompany royalties.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revenues and income from operations related to its Hong Kong subsidiary.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THREE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22"/>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59,461</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working capital (deficit) (1)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(591,075)</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(609,008)</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3,114,432</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3,171,907</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752,605</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787,425</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398,767</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337,165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6" w:lineRule="exact"/>
        <w:rPr>
          <w:sz w:val="20"/>
          <w:szCs w:val="20"/>
          <w:color w:val="auto"/>
        </w:rPr>
      </w:pPr>
    </w:p>
    <w:p>
      <w:pPr>
        <w:jc w:val="both"/>
        <w:ind w:left="660" w:hanging="652"/>
        <w:spacing w:after="0" w:line="26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3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TABLE FOUR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RESTAURANT-LEVEL OPERATING INCOME AND MARGIN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16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8"/>
                <w:szCs w:val="18"/>
                <w:color w:val="auto"/>
              </w:rPr>
            </w:pPr>
          </w:p>
        </w:tc>
        <w:tc>
          <w:tcPr>
            <w:tcW w:w="14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6"/>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57,231</w:t>
            </w:r>
          </w:p>
        </w:tc>
      </w:tr>
      <w:tr>
        <w:trPr>
          <w:trHeight w:val="214"/>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8"/>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20,077</w:t>
            </w:r>
          </w:p>
        </w:tc>
      </w:tr>
      <w:tr>
        <w:trPr>
          <w:trHeight w:val="219"/>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43,947</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61,377</w:t>
            </w:r>
          </w:p>
        </w:tc>
      </w:tr>
      <w:tr>
        <w:trPr>
          <w:trHeight w:val="20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142,828</w:t>
            </w:r>
          </w:p>
        </w:tc>
      </w:tr>
      <w:tr>
        <w:trPr>
          <w:trHeight w:val="197"/>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8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ind w:left="500" w:hanging="492"/>
        <w:spacing w:after="0" w:line="25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categories of revenue and operating expenses are not included in restaurant-level operating income and the corresponding margin because we do not consider them reflective of operating performance at the restaurant-level within a period:</w:t>
      </w:r>
    </w:p>
    <w:p>
      <w:pPr>
        <w:ind w:left="820" w:hanging="326"/>
        <w:spacing w:after="0" w:line="255" w:lineRule="auto"/>
        <w:tabs>
          <w:tab w:leader="none" w:pos="81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and other revenues, which are earned primarily from franchise royalties and other non-food and beverage revenue streams, such as rental and sublease income.</w:t>
      </w:r>
    </w:p>
    <w:p>
      <w:pPr>
        <w:ind w:left="820" w:right="20" w:hanging="326"/>
        <w:spacing w:after="0" w:line="255" w:lineRule="auto"/>
        <w:tabs>
          <w:tab w:leader="none" w:pos="8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which, although substantially all of which is related to restaurant-level assets, represent historical sunk costs rather than cash outlays for the restaurants.</w:t>
      </w:r>
    </w:p>
    <w:p>
      <w:pPr>
        <w:ind w:left="820" w:hanging="326"/>
        <w:spacing w:after="0" w:line="248" w:lineRule="auto"/>
        <w:tabs>
          <w:tab w:leader="none" w:pos="81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which includes primarily non-restaurant-level costs associated with support of the restaurants and other activities at our corporate office.</w:t>
      </w:r>
    </w:p>
    <w:p>
      <w:pPr>
        <w:spacing w:after="0" w:line="1" w:lineRule="exact"/>
        <w:rPr>
          <w:rFonts w:ascii="Times New Roman" w:cs="Times New Roman" w:eastAsia="Times New Roman" w:hAnsi="Times New Roman"/>
          <w:sz w:val="16"/>
          <w:szCs w:val="16"/>
          <w:color w:val="auto"/>
        </w:rPr>
      </w:pPr>
    </w:p>
    <w:p>
      <w:pPr>
        <w:ind w:left="820" w:hanging="326"/>
        <w:spacing w:after="0"/>
        <w:tabs>
          <w:tab w:leader="none" w:pos="8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impairment charges and restaurant closing costs.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2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TABLE FIVE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INCOME FROM OPERATIONS AND MARGIN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8"/>
                <w:szCs w:val="18"/>
                <w:color w:val="auto"/>
              </w:rPr>
            </w:pPr>
          </w:p>
        </w:tc>
        <w:tc>
          <w:tcPr>
            <w:tcW w:w="14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16"/>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57,231</w:t>
            </w:r>
          </w:p>
        </w:tc>
        <w:tc>
          <w:tcPr>
            <w:tcW w:w="0" w:type="dxa"/>
            <w:vAlign w:val="bottom"/>
          </w:tcPr>
          <w:p>
            <w:pPr>
              <w:spacing w:after="0"/>
              <w:rPr>
                <w:sz w:val="1"/>
                <w:szCs w:val="1"/>
                <w:color w:val="auto"/>
              </w:rPr>
            </w:pPr>
          </w:p>
        </w:tc>
      </w:tr>
      <w:tr>
        <w:trPr>
          <w:trHeight w:val="214"/>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and other transformational costs (1)</w:t>
            </w:r>
          </w:p>
        </w:tc>
        <w:tc>
          <w:tcPr>
            <w:tcW w:w="16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6,058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 costs (2)</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(3)</w:t>
            </w:r>
          </w:p>
        </w:tc>
        <w:tc>
          <w:tcPr>
            <w:tcW w:w="1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62,484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63,688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392"/>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Segment</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87,670</w:t>
            </w:r>
          </w:p>
        </w:tc>
        <w:tc>
          <w:tcPr>
            <w:tcW w:w="0" w:type="dxa"/>
            <w:vAlign w:val="bottom"/>
          </w:tcPr>
          <w:p>
            <w:pPr>
              <w:spacing w:after="0"/>
              <w:rPr>
                <w:sz w:val="1"/>
                <w:szCs w:val="1"/>
                <w:color w:val="auto"/>
              </w:rPr>
            </w:pPr>
          </w:p>
        </w:tc>
      </w:tr>
      <w:tr>
        <w:trPr>
          <w:trHeight w:val="214"/>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and other transformational costs (1)</w:t>
            </w:r>
          </w:p>
        </w:tc>
        <w:tc>
          <w:tcPr>
            <w:tcW w:w="16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(3)</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91,397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85,960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39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Segment</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9,004</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jc w:val="both"/>
        <w:ind w:left="660" w:hanging="652"/>
        <w:spacing w:after="0" w:line="252"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for the thirteen weeks ended March 29, 2026 relate to accelerated depreciation associated with equipment upgrades in connection with the turnaround strategy. Costs for the thirteen weeks ended March 30, 2025 include severance, professional fees and other costs incurred as a result of transformational and restructuring activities.</w:t>
      </w:r>
    </w:p>
    <w:p>
      <w:pPr>
        <w:ind w:left="660" w:right="20" w:hanging="652"/>
        <w:spacing w:after="0" w:line="255"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 connection with the foreign currency forward contracts that mostly offset foreign currency exchange risk associated with installment payments from the Brazil Sale Transaction.</w:t>
      </w: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gains from certain lease terminations for the thirteen weeks ended March 30,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3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TABLE SIX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NET INCOME AND ADJUSTED DILUTED EARNINGS PER SHARE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Pr>
          <w:p>
            <w:pPr>
              <w:spacing w:after="0"/>
              <w:rPr>
                <w:sz w:val="18"/>
                <w:szCs w:val="18"/>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 from continuing operations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42,406</w:t>
            </w:r>
          </w:p>
        </w:tc>
        <w:tc>
          <w:tcPr>
            <w:tcW w:w="0" w:type="dxa"/>
            <w:vAlign w:val="bottom"/>
          </w:tcPr>
          <w:p>
            <w:pPr>
              <w:spacing w:after="0"/>
              <w:rPr>
                <w:sz w:val="1"/>
                <w:szCs w:val="1"/>
                <w:color w:val="auto"/>
              </w:rPr>
            </w:pP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adjustments (2)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adjustments, continuing operations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net income,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 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vMerge w:val="continue"/>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85,751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85,130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Table Five </w:t>
      </w:r>
      <w:r>
        <w:rPr>
          <w:rFonts w:ascii="Times New Roman" w:cs="Times New Roman" w:eastAsia="Times New Roman" w:hAnsi="Times New Roman"/>
          <w:sz w:val="16"/>
          <w:szCs w:val="16"/>
          <w:i w:val="1"/>
          <w:iCs w:val="1"/>
          <w:color w:val="auto"/>
        </w:rPr>
        <w:t>Adjusted Income from Operations and Margin Non-GAAP Reconciliations</w:t>
      </w:r>
      <w:r>
        <w:rPr>
          <w:rFonts w:ascii="Times New Roman" w:cs="Times New Roman" w:eastAsia="Times New Roman" w:hAnsi="Times New Roman"/>
          <w:sz w:val="16"/>
          <w:szCs w:val="16"/>
          <w:color w:val="auto"/>
        </w:rPr>
        <w:t xml:space="preserve"> above for details regarding income from operations adjustments.</w:t>
      </w:r>
    </w:p>
    <w:p>
      <w:pPr>
        <w:spacing w:after="0" w:line="5" w:lineRule="exact"/>
        <w:rPr>
          <w:rFonts w:ascii="Times New Roman" w:cs="Times New Roman" w:eastAsia="Times New Roman" w:hAnsi="Times New Roman"/>
          <w:sz w:val="16"/>
          <w:szCs w:val="16"/>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non-GAAP adjustments is determined by recomputing the (benefit) provision for income taxes on an adjusted basis. The difference between the recomputed (benefit) provision for income taxes and the GAAP (benefit) provision for income taxes represents the tax effect of non-GAAP adjustments. The thirteen weeks ended March 30, 2025 also includes an adjustment to (benefit) provision for income taxes related to foreign currency gains on the Brazil Sale Transaction installment receivable.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financial statement line item classification of the net income adjustments from continuing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Pr>
          <w:p>
            <w:pPr>
              <w:spacing w:after="0"/>
              <w:rPr>
                <w:sz w:val="17"/>
                <w:szCs w:val="17"/>
                <w:color w:val="auto"/>
              </w:rPr>
            </w:pP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adjustments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3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TABLE SEVEN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COMPARATIVE RESTAURANT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w:t>
            </w:r>
          </w:p>
        </w:tc>
        <w:tc>
          <w:tcPr>
            <w:tcW w:w="21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1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OPENINGS</w:t>
            </w:r>
          </w:p>
        </w:tc>
        <w:tc>
          <w:tcPr>
            <w:tcW w:w="1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CLOSURES</w:t>
            </w:r>
          </w:p>
        </w:tc>
        <w:tc>
          <w:tcPr>
            <w:tcW w:w="20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29, 2026</w:t>
            </w:r>
          </w:p>
        </w:tc>
      </w:tr>
      <w:tr>
        <w:trPr>
          <w:trHeight w:val="20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r>
      <w:tr>
        <w:trPr>
          <w:trHeight w:val="213"/>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6"/>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187"/>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187"/>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187"/>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3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87"/>
        </w:trPr>
        <w:tc>
          <w:tcPr>
            <w:tcW w:w="470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r>
      <w:tr>
        <w:trPr>
          <w:trHeight w:val="23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0"/>
        </w:trPr>
        <w:tc>
          <w:tcPr>
            <w:tcW w:w="470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U.S. total</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tcPr>
          <w:p>
            <w:pPr>
              <w:spacing w:after="0"/>
              <w:rPr>
                <w:sz w:val="17"/>
                <w:szCs w:val="17"/>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Franchise</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2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3"/>
        </w:trPr>
        <w:tc>
          <w:tcPr>
            <w:tcW w:w="4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International Franchise 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 Company-owned</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Outback Steakhouse - Hong Kong</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4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1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0"/>
        </w:trPr>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3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TABLE EIGHT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COMPARABLE RESTAURANT SALES, TRAFFIC AND AVERAGE CHECK PER PERSON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98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5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7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7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check per person (2):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0"/>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Bloomin’ Brands, Inc.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lowerRoman"/>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2026-05-06T05:32:26Z</dcterms:created>
  <dcterms:modified xsi:type="dcterms:W3CDTF">2026-05-06T05:32:26Z</dcterms:modified>
</cp:coreProperties>
</file>