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4"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10-Q</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0"/>
          <w:szCs w:val="20"/>
          <w:b w:val="1"/>
          <w:bCs w:val="1"/>
          <w:color w:val="auto"/>
        </w:rPr>
        <w:t>(Mark One)</w:t>
      </w:r>
    </w:p>
    <w:p>
      <w:pPr>
        <w:spacing w:after="0" w:line="54" w:lineRule="exact"/>
        <w:rPr>
          <w:sz w:val="24"/>
          <w:szCs w:val="24"/>
          <w:color w:val="auto"/>
        </w:rPr>
      </w:pPr>
    </w:p>
    <w:p>
      <w:pPr>
        <w:ind w:left="1700" w:right="560" w:hanging="808"/>
        <w:spacing w:after="0" w:line="237" w:lineRule="auto"/>
        <w:tabs>
          <w:tab w:leader="none" w:pos="1700" w:val="left"/>
        </w:tabs>
        <w:numPr>
          <w:ilvl w:val="0"/>
          <w:numId w:val="1"/>
        </w:numPr>
        <w:rPr>
          <w:rFonts w:ascii="MS PGothic" w:cs="MS PGothic" w:eastAsia="MS PGothic" w:hAnsi="MS PGothic"/>
          <w:sz w:val="49"/>
          <w:szCs w:val="49"/>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35" w:lineRule="exact"/>
        <w:rPr>
          <w:rFonts w:ascii="MS PGothic" w:cs="MS PGothic" w:eastAsia="MS PGothic" w:hAnsi="MS PGothic"/>
          <w:sz w:val="49"/>
          <w:szCs w:val="49"/>
          <w:color w:val="auto"/>
          <w:vertAlign w:val="subscript"/>
        </w:rPr>
      </w:pPr>
    </w:p>
    <w:p>
      <w:pPr>
        <w:ind w:left="2040"/>
        <w:spacing w:after="0"/>
        <w:rPr>
          <w:rFonts w:ascii="MS PGothic" w:cs="MS PGothic" w:eastAsia="MS PGothic" w:hAnsi="MS PGothic"/>
          <w:sz w:val="49"/>
          <w:szCs w:val="49"/>
          <w:color w:val="auto"/>
          <w:vertAlign w:val="subscript"/>
        </w:rPr>
      </w:pPr>
      <w:r>
        <w:rPr>
          <w:rFonts w:ascii="Arial" w:cs="Arial" w:eastAsia="Arial" w:hAnsi="Arial"/>
          <w:sz w:val="20"/>
          <w:szCs w:val="20"/>
          <w:color w:val="auto"/>
        </w:rPr>
        <w:t>For the quarterly period ended March 29, 2020</w:t>
      </w:r>
    </w:p>
    <w:p>
      <w:pPr>
        <w:spacing w:after="0" w:line="54" w:lineRule="exact"/>
        <w:rPr>
          <w:sz w:val="24"/>
          <w:szCs w:val="24"/>
          <w:color w:val="auto"/>
        </w:rPr>
      </w:pPr>
    </w:p>
    <w:p>
      <w:pPr>
        <w:ind w:left="6140"/>
        <w:spacing w:after="0"/>
        <w:rPr>
          <w:sz w:val="20"/>
          <w:szCs w:val="20"/>
          <w:color w:val="auto"/>
        </w:rPr>
      </w:pPr>
      <w:r>
        <w:rPr>
          <w:rFonts w:ascii="Arial" w:cs="Arial" w:eastAsia="Arial" w:hAnsi="Arial"/>
          <w:sz w:val="20"/>
          <w:szCs w:val="20"/>
          <w:color w:val="auto"/>
        </w:rPr>
        <w:t>or</w:t>
      </w:r>
    </w:p>
    <w:p>
      <w:pPr>
        <w:spacing w:after="0" w:line="48" w:lineRule="exact"/>
        <w:rPr>
          <w:sz w:val="24"/>
          <w:szCs w:val="24"/>
          <w:color w:val="auto"/>
        </w:rPr>
      </w:pPr>
    </w:p>
    <w:p>
      <w:pPr>
        <w:ind w:left="1700" w:right="560" w:hanging="808"/>
        <w:spacing w:after="0" w:line="237" w:lineRule="auto"/>
        <w:tabs>
          <w:tab w:leader="none" w:pos="1700" w:val="left"/>
        </w:tabs>
        <w:numPr>
          <w:ilvl w:val="0"/>
          <w:numId w:val="2"/>
        </w:numPr>
        <w:rPr>
          <w:rFonts w:ascii="MS PGothic" w:cs="MS PGothic" w:eastAsia="MS PGothic" w:hAnsi="MS PGothic"/>
          <w:sz w:val="49"/>
          <w:szCs w:val="49"/>
          <w:color w:val="auto"/>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35" w:lineRule="exact"/>
        <w:rPr>
          <w:sz w:val="24"/>
          <w:szCs w:val="24"/>
          <w:color w:val="auto"/>
        </w:rPr>
      </w:pPr>
    </w:p>
    <w:p>
      <w:pPr>
        <w:ind w:left="1700"/>
        <w:spacing w:after="0"/>
        <w:rPr>
          <w:sz w:val="20"/>
          <w:szCs w:val="20"/>
          <w:color w:val="auto"/>
        </w:rPr>
      </w:pPr>
      <w:r>
        <w:rPr>
          <w:rFonts w:ascii="Arial" w:cs="Arial" w:eastAsia="Arial" w:hAnsi="Arial"/>
          <w:sz w:val="20"/>
          <w:szCs w:val="20"/>
          <w:color w:val="auto"/>
        </w:rPr>
        <w:t>For the transition period from ______ to ______</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Commission File Number: 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156210</wp:posOffset>
            </wp:positionV>
            <wp:extent cx="865505" cy="1379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5505" cy="13798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BLOOMIN’ BRANDS, INC.</w:t>
      </w:r>
    </w:p>
    <w:p>
      <w:pPr>
        <w:spacing w:after="0" w:line="53"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080"/>
          </w:cols>
          <w:pgMar w:left="320" w:top="724" w:right="499" w:bottom="0" w:gutter="0" w:footer="0" w:header="0"/>
        </w:sectPr>
      </w:pPr>
    </w:p>
    <w:p>
      <w:pPr>
        <w:spacing w:after="0" w:line="14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20-8023465</w:t>
      </w:r>
    </w:p>
    <w:p>
      <w:pPr>
        <w:spacing w:after="0" w:line="113" w:lineRule="exact"/>
        <w:rPr>
          <w:sz w:val="24"/>
          <w:szCs w:val="24"/>
          <w:color w:val="auto"/>
        </w:rPr>
      </w:pPr>
    </w:p>
    <w:p>
      <w:pPr>
        <w:sectPr>
          <w:pgSz w:w="11900" w:h="16838" w:orient="portrait"/>
          <w:cols w:equalWidth="0" w:num="2">
            <w:col w:w="7280" w:space="720"/>
            <w:col w:w="3080"/>
          </w:cols>
          <w:pgMar w:left="320" w:top="724" w:right="499" w:bottom="0" w:gutter="0" w:footer="0" w:header="0"/>
          <w:type w:val="continuous"/>
        </w:sectPr>
      </w:pPr>
    </w:p>
    <w:p>
      <w:pPr>
        <w:ind w:left="9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58" w:lineRule="exact"/>
        <w:rPr>
          <w:sz w:val="24"/>
          <w:szCs w:val="24"/>
          <w:color w:val="auto"/>
        </w:rPr>
      </w:pPr>
    </w:p>
    <w:p>
      <w:pPr>
        <w:sectPr>
          <w:pgSz w:w="11900" w:h="16838" w:orient="portrait"/>
          <w:cols w:equalWidth="0" w:num="2">
            <w:col w:w="6560" w:space="720"/>
            <w:col w:w="3800"/>
          </w:cols>
          <w:pgMar w:left="320" w:top="724" w:right="499" w:bottom="0" w:gutter="0" w:footer="0" w:header="0"/>
          <w:type w:val="continuous"/>
        </w:sectPr>
      </w:pPr>
    </w:p>
    <w:p>
      <w:pPr>
        <w:jc w:val="center"/>
        <w:ind w:right="-159"/>
        <w:spacing w:after="0"/>
        <w:rPr>
          <w:sz w:val="20"/>
          <w:szCs w:val="20"/>
          <w:color w:val="auto"/>
        </w:rPr>
      </w:pPr>
      <w:r>
        <w:rPr>
          <w:rFonts w:ascii="Arial" w:cs="Arial" w:eastAsia="Arial" w:hAnsi="Arial"/>
          <w:sz w:val="16"/>
          <w:szCs w:val="16"/>
          <w:b w:val="1"/>
          <w:bCs w:val="1"/>
          <w:color w:val="auto"/>
        </w:rPr>
        <w:t>2202 North West Shore Boulevard, Suite 500, Tampa, Florida 33607</w:t>
      </w:r>
    </w:p>
    <w:p>
      <w:pPr>
        <w:spacing w:after="0" w:line="72"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(Address of principal executive offices) (Zip Code)</w:t>
      </w:r>
    </w:p>
    <w:p>
      <w:pPr>
        <w:spacing w:after="0" w:line="194"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(813) 282-1225</w:t>
      </w:r>
    </w:p>
    <w:p>
      <w:pPr>
        <w:spacing w:after="0" w:line="26"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(Registrant’s telephone number, including area code)</w:t>
      </w:r>
    </w:p>
    <w:p>
      <w:pPr>
        <w:spacing w:after="0" w:line="194"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N/A</w:t>
      </w:r>
    </w:p>
    <w:p>
      <w:pPr>
        <w:spacing w:after="0" w:line="26" w:lineRule="exact"/>
        <w:rPr>
          <w:sz w:val="24"/>
          <w:szCs w:val="24"/>
          <w:color w:val="auto"/>
        </w:rPr>
      </w:pPr>
    </w:p>
    <w:p>
      <w:pPr>
        <w:jc w:val="center"/>
        <w:ind w:right="-159"/>
        <w:spacing w:after="0"/>
        <w:rPr>
          <w:sz w:val="20"/>
          <w:szCs w:val="20"/>
          <w:color w:val="auto"/>
        </w:rPr>
      </w:pPr>
      <w:r>
        <w:rPr>
          <w:rFonts w:ascii="Arial" w:cs="Arial" w:eastAsia="Arial" w:hAnsi="Arial"/>
          <w:sz w:val="15"/>
          <w:szCs w:val="15"/>
          <w:color w:val="auto"/>
        </w:rPr>
        <w:t>(Former name, former address and former fiscal year, if changed since last report)</w:t>
      </w:r>
    </w:p>
    <w:p>
      <w:pPr>
        <w:sectPr>
          <w:pgSz w:w="11900" w:h="16838" w:orient="portrait"/>
          <w:cols w:equalWidth="0" w:num="1">
            <w:col w:w="11080"/>
          </w:cols>
          <w:pgMar w:left="320" w:top="724" w:right="499" w:bottom="0" w:gutter="0" w:footer="0" w:header="0"/>
          <w:type w:val="continuous"/>
        </w:sectPr>
      </w:pPr>
    </w:p>
    <w:p>
      <w:pPr>
        <w:spacing w:after="0" w:line="200" w:lineRule="exact"/>
        <w:rPr>
          <w:sz w:val="24"/>
          <w:szCs w:val="24"/>
          <w:color w:val="auto"/>
        </w:rPr>
      </w:pPr>
    </w:p>
    <w:p>
      <w:pPr>
        <w:spacing w:after="0" w:line="343" w:lineRule="exact"/>
        <w:rPr>
          <w:sz w:val="24"/>
          <w:szCs w:val="24"/>
          <w:color w:val="auto"/>
        </w:rPr>
      </w:pPr>
    </w:p>
    <w:p>
      <w:pPr>
        <w:ind w:left="16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90" w:lineRule="exact"/>
        <w:rPr>
          <w:sz w:val="24"/>
          <w:szCs w:val="24"/>
          <w:color w:val="auto"/>
        </w:rPr>
      </w:pPr>
    </w:p>
    <w:p>
      <w:pPr>
        <w:ind w:left="1420"/>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104" w:lineRule="exact"/>
        <w:rPr>
          <w:sz w:val="24"/>
          <w:szCs w:val="24"/>
          <w:color w:val="auto"/>
        </w:rPr>
      </w:pPr>
    </w:p>
    <w:p>
      <w:pPr>
        <w:sectPr>
          <w:pgSz w:w="11900" w:h="16838" w:orient="portrait"/>
          <w:cols w:equalWidth="0" w:num="3">
            <w:col w:w="3040" w:space="720"/>
            <w:col w:w="3740" w:space="280"/>
            <w:col w:w="3300"/>
          </w:cols>
          <w:pgMar w:left="320" w:top="724" w:right="499" w:bottom="0" w:gutter="0" w:footer="0" w:header="0"/>
          <w:type w:val="continuous"/>
        </w:sectPr>
      </w:pPr>
    </w:p>
    <w:p>
      <w:pPr>
        <w:ind w:left="1100"/>
        <w:spacing w:after="0"/>
        <w:rPr>
          <w:sz w:val="20"/>
          <w:szCs w:val="20"/>
          <w:color w:val="auto"/>
        </w:rPr>
      </w:pPr>
      <w:r>
        <w:rPr>
          <w:rFonts w:ascii="Arial" w:cs="Arial" w:eastAsia="Arial" w:hAnsi="Arial"/>
          <w:sz w:val="14"/>
          <w:szCs w:val="14"/>
          <w:b w:val="1"/>
          <w:bCs w:val="1"/>
          <w:color w:val="auto"/>
        </w:rPr>
        <w:t>Common Stock $0.01 par value</w:t>
      </w:r>
    </w:p>
    <w:p>
      <w:pPr>
        <w:spacing w:after="0" w:line="20" w:lineRule="exact"/>
        <w:rPr>
          <w:sz w:val="24"/>
          <w:szCs w:val="24"/>
          <w:color w:val="auto"/>
        </w:rPr>
      </w:pPr>
      <w:r>
        <w:rPr>
          <w:sz w:val="24"/>
          <w:szCs w:val="24"/>
          <w:color w:val="auto"/>
        </w:rPr>
        <w:br w:type="column"/>
      </w:r>
    </w:p>
    <w:p>
      <w:pPr>
        <w:jc w:val="center"/>
        <w:ind w:right="1340"/>
        <w:spacing w:after="0"/>
        <w:rPr>
          <w:sz w:val="20"/>
          <w:szCs w:val="20"/>
          <w:color w:val="auto"/>
        </w:rPr>
      </w:pPr>
      <w:r>
        <w:rPr>
          <w:rFonts w:ascii="Arial" w:cs="Arial" w:eastAsia="Arial" w:hAnsi="Arial"/>
          <w:sz w:val="16"/>
          <w:szCs w:val="16"/>
          <w:b w:val="1"/>
          <w:bCs w:val="1"/>
          <w:color w:val="auto"/>
        </w:rPr>
        <w:t>BLMN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The Nasdaq Stock Market LLC</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(Nasdaq Global Select Market)</w:t>
      </w:r>
    </w:p>
    <w:p>
      <w:pPr>
        <w:spacing w:after="0" w:line="200" w:lineRule="exact"/>
        <w:rPr>
          <w:sz w:val="24"/>
          <w:szCs w:val="24"/>
          <w:color w:val="auto"/>
        </w:rPr>
      </w:pPr>
    </w:p>
    <w:p>
      <w:pPr>
        <w:sectPr>
          <w:pgSz w:w="11900" w:h="16838" w:orient="portrait"/>
          <w:cols w:equalWidth="0" w:num="3">
            <w:col w:w="4840" w:space="720"/>
            <w:col w:w="1820" w:space="720"/>
            <w:col w:w="2980"/>
          </w:cols>
          <w:pgMar w:left="320" w:top="724" w:right="499" w:bottom="0" w:gutter="0" w:footer="0" w:header="0"/>
          <w:type w:val="continuous"/>
        </w:sectPr>
      </w:pPr>
    </w:p>
    <w:p>
      <w:pPr>
        <w:spacing w:after="0" w:line="105" w:lineRule="exact"/>
        <w:rPr>
          <w:sz w:val="24"/>
          <w:szCs w:val="24"/>
          <w:color w:val="auto"/>
        </w:rPr>
      </w:pPr>
    </w:p>
    <w:p>
      <w:pPr>
        <w:ind w:right="140"/>
        <w:spacing w:after="0" w:line="3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25"/>
          <w:szCs w:val="25"/>
          <w:color w:val="auto"/>
        </w:rPr>
        <w:t>Yes</w:t>
      </w:r>
      <w:r>
        <w:rPr>
          <w:rFonts w:ascii="Arial" w:cs="Arial" w:eastAsia="Arial" w:hAnsi="Arial"/>
          <w:sz w:val="18"/>
          <w:szCs w:val="18"/>
          <w:color w:val="auto"/>
        </w:rPr>
        <w:t xml:space="preserve">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234" w:lineRule="exact"/>
        <w:rPr>
          <w:sz w:val="24"/>
          <w:szCs w:val="24"/>
          <w:color w:val="auto"/>
        </w:rPr>
      </w:pPr>
    </w:p>
    <w:p>
      <w:pPr>
        <w:ind w:right="200"/>
        <w:spacing w:after="0" w:line="30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25"/>
          <w:szCs w:val="25"/>
          <w:color w:val="auto"/>
        </w:rPr>
        <w:t>Yes</w:t>
      </w:r>
      <w:r>
        <w:rPr>
          <w:rFonts w:ascii="Arial" w:cs="Arial" w:eastAsia="Arial" w:hAnsi="Arial"/>
          <w:sz w:val="18"/>
          <w:szCs w:val="18"/>
          <w:color w:val="auto"/>
        </w:rPr>
        <w:t xml:space="preserve">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4" w:lineRule="exact"/>
        <w:rPr>
          <w:sz w:val="24"/>
          <w:szCs w:val="24"/>
          <w:color w:val="auto"/>
        </w:rPr>
      </w:pPr>
    </w:p>
    <w:p>
      <w:pPr>
        <w:ind w:left="3360" w:right="1520" w:firstLine="263"/>
        <w:spacing w:after="0" w:line="361" w:lineRule="exact"/>
        <w:rPr>
          <w:sz w:val="20"/>
          <w:szCs w:val="20"/>
          <w:color w:val="auto"/>
        </w:rPr>
      </w:pPr>
      <w:r>
        <w:rPr>
          <w:rFonts w:ascii="Arial" w:cs="Arial" w:eastAsia="Arial" w:hAnsi="Arial"/>
          <w:sz w:val="25"/>
          <w:szCs w:val="25"/>
          <w:color w:val="auto"/>
        </w:rPr>
        <w:t xml:space="preserve">Large accelerated filer </w:t>
      </w:r>
      <w:r>
        <w:rPr>
          <w:rFonts w:ascii="MS PGothic" w:cs="MS PGothic" w:eastAsia="MS PGothic" w:hAnsi="MS PGothic"/>
          <w:sz w:val="25"/>
          <w:szCs w:val="25"/>
          <w:color w:val="auto"/>
        </w:rPr>
        <w:t>☒</w:t>
      </w:r>
      <w:r>
        <w:rPr>
          <w:rFonts w:ascii="Arial" w:cs="Arial" w:eastAsia="Arial" w:hAnsi="Arial"/>
          <w:sz w:val="25"/>
          <w:szCs w:val="25"/>
          <w:color w:val="auto"/>
        </w:rPr>
        <w:t xml:space="preserve"> </w:t>
      </w:r>
      <w:r>
        <w:rPr>
          <w:rFonts w:ascii="Arial" w:cs="Arial" w:eastAsia="Arial" w:hAnsi="Arial"/>
          <w:sz w:val="17"/>
          <w:szCs w:val="17"/>
          <w:color w:val="auto"/>
        </w:rPr>
        <w:t>Accelerated filer</w:t>
      </w:r>
      <w:r>
        <w:rPr>
          <w:rFonts w:ascii="Arial" w:cs="Arial" w:eastAsia="Arial" w:hAnsi="Arial"/>
          <w:sz w:val="25"/>
          <w:szCs w:val="25"/>
          <w:color w:val="auto"/>
        </w:rPr>
        <w:t xml:space="preserve"> </w:t>
      </w:r>
      <w:r>
        <w:rPr>
          <w:rFonts w:ascii="MS PGothic" w:cs="MS PGothic" w:eastAsia="MS PGothic" w:hAnsi="MS PGothic"/>
          <w:sz w:val="25"/>
          <w:szCs w:val="25"/>
          <w:color w:val="auto"/>
        </w:rPr>
        <w:t>☐</w:t>
      </w:r>
      <w:r>
        <w:rPr>
          <w:rFonts w:ascii="Arial" w:cs="Arial" w:eastAsia="Arial" w:hAnsi="Arial"/>
          <w:sz w:val="25"/>
          <w:szCs w:val="25"/>
          <w:color w:val="auto"/>
        </w:rPr>
        <w:t xml:space="preserve"> </w:t>
      </w:r>
      <w:r>
        <w:rPr>
          <w:rFonts w:ascii="Arial" w:cs="Arial" w:eastAsia="Arial" w:hAnsi="Arial"/>
          <w:sz w:val="17"/>
          <w:szCs w:val="17"/>
          <w:color w:val="auto"/>
        </w:rPr>
        <w:t>Non-accelerated filer</w:t>
      </w:r>
      <w:r>
        <w:rPr>
          <w:rFonts w:ascii="Arial" w:cs="Arial" w:eastAsia="Arial" w:hAnsi="Arial"/>
          <w:sz w:val="25"/>
          <w:szCs w:val="25"/>
          <w:color w:val="auto"/>
        </w:rPr>
        <w:t xml:space="preserve"> </w:t>
      </w:r>
      <w:r>
        <w:rPr>
          <w:rFonts w:ascii="MS PGothic" w:cs="MS PGothic" w:eastAsia="MS PGothic" w:hAnsi="MS PGothic"/>
          <w:sz w:val="25"/>
          <w:szCs w:val="25"/>
          <w:color w:val="auto"/>
        </w:rPr>
        <w:t>☐</w:t>
      </w:r>
      <w:r>
        <w:rPr>
          <w:rFonts w:ascii="Arial" w:cs="Arial" w:eastAsia="Arial" w:hAnsi="Arial"/>
          <w:sz w:val="25"/>
          <w:szCs w:val="25"/>
          <w:color w:val="auto"/>
        </w:rPr>
        <w:t xml:space="preserve"> </w:t>
      </w:r>
      <w:r>
        <w:rPr>
          <w:rFonts w:ascii="Arial" w:cs="Arial" w:eastAsia="Arial" w:hAnsi="Arial"/>
          <w:sz w:val="17"/>
          <w:szCs w:val="17"/>
          <w:color w:val="auto"/>
        </w:rPr>
        <w:t xml:space="preserve">Smaller reporting company </w:t>
      </w:r>
      <w:r>
        <w:rPr>
          <w:rFonts w:ascii="MS PGothic" w:cs="MS PGothic" w:eastAsia="MS PGothic" w:hAnsi="MS PGothic"/>
          <w:sz w:val="25"/>
          <w:szCs w:val="25"/>
          <w:color w:val="auto"/>
        </w:rPr>
        <w:t>☐</w:t>
      </w:r>
      <w:r>
        <w:rPr>
          <w:rFonts w:ascii="Arial" w:cs="Arial" w:eastAsia="Arial" w:hAnsi="Arial"/>
          <w:sz w:val="17"/>
          <w:szCs w:val="17"/>
          <w:color w:val="auto"/>
        </w:rPr>
        <w:t xml:space="preserve"> Emerging growth company </w:t>
      </w:r>
      <w:r>
        <w:rPr>
          <w:rFonts w:ascii="MS PGothic" w:cs="MS PGothic" w:eastAsia="MS PGothic" w:hAnsi="MS PGothic"/>
          <w:sz w:val="25"/>
          <w:szCs w:val="25"/>
          <w:color w:val="auto"/>
        </w:rPr>
        <w:t>☐</w:t>
      </w:r>
    </w:p>
    <w:p>
      <w:pPr>
        <w:spacing w:after="0" w:line="233" w:lineRule="exact"/>
        <w:rPr>
          <w:sz w:val="24"/>
          <w:szCs w:val="24"/>
          <w:color w:val="auto"/>
        </w:rPr>
      </w:pPr>
    </w:p>
    <w:p>
      <w:pPr>
        <w:spacing w:after="0" w:line="30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5"/>
          <w:szCs w:val="25"/>
          <w:color w:val="auto"/>
        </w:rPr>
        <w:t>☐</w:t>
      </w:r>
    </w:p>
    <w:p>
      <w:pPr>
        <w:sectPr>
          <w:pgSz w:w="11900" w:h="16838" w:orient="portrait"/>
          <w:cols w:equalWidth="0" w:num="1">
            <w:col w:w="11080"/>
          </w:cols>
          <w:pgMar w:left="320" w:top="724" w:right="499" w:bottom="0" w:gutter="0" w:footer="0" w:header="0"/>
          <w:type w:val="continuous"/>
        </w:sectPr>
      </w:pPr>
    </w:p>
    <w:bookmarkStart w:id="1" w:name="page2"/>
    <w:bookmarkEnd w:id="1"/>
    <w:p>
      <w:pPr>
        <w:spacing w:after="0" w:line="25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22"/>
          <w:szCs w:val="22"/>
          <w:color w:val="auto"/>
        </w:rPr>
        <w:t>☐</w:t>
      </w:r>
      <w:r>
        <w:rPr>
          <w:rFonts w:ascii="Arial" w:cs="Arial" w:eastAsia="Arial" w:hAnsi="Arial"/>
          <w:sz w:val="16"/>
          <w:szCs w:val="16"/>
          <w:color w:val="auto"/>
        </w:rPr>
        <w:t xml:space="preserve"> No </w:t>
      </w:r>
      <w:r>
        <w:rPr>
          <w:rFonts w:ascii="MS PGothic" w:cs="MS PGothic" w:eastAsia="MS PGothic" w:hAnsi="MS PGothic"/>
          <w:sz w:val="22"/>
          <w:szCs w:val="22"/>
          <w:color w:val="auto"/>
        </w:rPr>
        <w: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As of May 18, 2020, 87,486,017 shares of common stock of the registrant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 w:right="1440"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160" w:type="dxa"/>
            <w:vAlign w:val="bottom"/>
            <w:gridSpan w:val="4"/>
          </w:tcPr>
          <w:p>
            <w:pPr>
              <w:jc w:val="center"/>
              <w:spacing w:after="0"/>
              <w:rPr>
                <w:sz w:val="20"/>
                <w:szCs w:val="20"/>
                <w:color w:val="auto"/>
              </w:rPr>
            </w:pPr>
            <w:r>
              <w:rPr>
                <w:rFonts w:ascii="Arial" w:cs="Arial" w:eastAsia="Arial" w:hAnsi="Arial"/>
                <w:sz w:val="20"/>
                <w:szCs w:val="20"/>
                <w:b w:val="1"/>
                <w:bCs w:val="1"/>
                <w:color w:val="auto"/>
                <w:w w:val="99"/>
              </w:rPr>
              <w:t>BLOOMIN’ BRANDS, INC.</w:t>
            </w:r>
          </w:p>
        </w:tc>
        <w:tc>
          <w:tcPr>
            <w:tcW w:w="1560" w:type="dxa"/>
            <w:vAlign w:val="bottom"/>
          </w:tcPr>
          <w:p>
            <w:pPr>
              <w:spacing w:after="0"/>
              <w:rPr>
                <w:sz w:val="22"/>
                <w:szCs w:val="22"/>
                <w:color w:val="auto"/>
              </w:rPr>
            </w:pPr>
          </w:p>
        </w:tc>
      </w:tr>
      <w:tr>
        <w:trPr>
          <w:trHeight w:val="848"/>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60" w:type="dxa"/>
            <w:vAlign w:val="bottom"/>
            <w:gridSpan w:val="4"/>
          </w:tcPr>
          <w:p>
            <w:pPr>
              <w:jc w:val="center"/>
              <w:spacing w:after="0"/>
              <w:rPr>
                <w:sz w:val="20"/>
                <w:szCs w:val="20"/>
                <w:color w:val="auto"/>
              </w:rPr>
            </w:pPr>
            <w:r>
              <w:rPr>
                <w:rFonts w:ascii="Arial" w:cs="Arial" w:eastAsia="Arial" w:hAnsi="Arial"/>
                <w:sz w:val="20"/>
                <w:szCs w:val="20"/>
                <w:color w:val="auto"/>
                <w:w w:val="94"/>
              </w:rPr>
              <w:t>INDEX TO QUARTERLY REPORT ON FORM 10-Q</w:t>
            </w:r>
          </w:p>
        </w:tc>
        <w:tc>
          <w:tcPr>
            <w:tcW w:w="1560" w:type="dxa"/>
            <w:vAlign w:val="bottom"/>
          </w:tcPr>
          <w:p>
            <w:pPr>
              <w:spacing w:after="0"/>
              <w:rPr>
                <w:sz w:val="24"/>
                <w:szCs w:val="24"/>
                <w:color w:val="auto"/>
              </w:rPr>
            </w:pPr>
          </w:p>
        </w:tc>
      </w:tr>
      <w:tr>
        <w:trPr>
          <w:trHeight w:val="229"/>
        </w:trPr>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160" w:type="dxa"/>
            <w:vAlign w:val="bottom"/>
            <w:gridSpan w:val="4"/>
          </w:tcPr>
          <w:p>
            <w:pPr>
              <w:jc w:val="center"/>
              <w:spacing w:after="0"/>
              <w:rPr>
                <w:sz w:val="20"/>
                <w:szCs w:val="20"/>
                <w:color w:val="auto"/>
              </w:rPr>
            </w:pPr>
            <w:r>
              <w:rPr>
                <w:rFonts w:ascii="Arial" w:cs="Arial" w:eastAsia="Arial" w:hAnsi="Arial"/>
                <w:sz w:val="20"/>
                <w:szCs w:val="20"/>
                <w:color w:val="auto"/>
                <w:w w:val="89"/>
              </w:rPr>
              <w:t>For the Quarterly Period Ended March 29, 2020</w:t>
            </w:r>
          </w:p>
        </w:tc>
        <w:tc>
          <w:tcPr>
            <w:tcW w:w="1560" w:type="dxa"/>
            <w:vAlign w:val="bottom"/>
          </w:tcPr>
          <w:p>
            <w:pPr>
              <w:spacing w:after="0"/>
              <w:rPr>
                <w:sz w:val="19"/>
                <w:szCs w:val="19"/>
                <w:color w:val="auto"/>
              </w:rPr>
            </w:pPr>
          </w:p>
        </w:tc>
      </w:tr>
      <w:tr>
        <w:trPr>
          <w:trHeight w:val="250"/>
        </w:trPr>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160" w:type="dxa"/>
            <w:vAlign w:val="bottom"/>
            <w:gridSpan w:val="4"/>
          </w:tcPr>
          <w:p>
            <w:pPr>
              <w:jc w:val="center"/>
              <w:spacing w:after="0"/>
              <w:rPr>
                <w:sz w:val="20"/>
                <w:szCs w:val="20"/>
                <w:color w:val="auto"/>
              </w:rPr>
            </w:pPr>
            <w:r>
              <w:rPr>
                <w:rFonts w:ascii="Arial" w:cs="Arial" w:eastAsia="Arial" w:hAnsi="Arial"/>
                <w:sz w:val="20"/>
                <w:szCs w:val="20"/>
                <w:color w:val="auto"/>
                <w:w w:val="91"/>
              </w:rPr>
              <w:t>(Unaudited)</w:t>
            </w:r>
          </w:p>
        </w:tc>
        <w:tc>
          <w:tcPr>
            <w:tcW w:w="1560" w:type="dxa"/>
            <w:vAlign w:val="bottom"/>
          </w:tcPr>
          <w:p>
            <w:pPr>
              <w:spacing w:after="0"/>
              <w:rPr>
                <w:sz w:val="21"/>
                <w:szCs w:val="21"/>
                <w:color w:val="auto"/>
              </w:rPr>
            </w:pPr>
          </w:p>
        </w:tc>
      </w:tr>
      <w:tr>
        <w:trPr>
          <w:trHeight w:val="446"/>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60" w:type="dxa"/>
            <w:vAlign w:val="bottom"/>
            <w:gridSpan w:val="4"/>
          </w:tcPr>
          <w:p>
            <w:pPr>
              <w:jc w:val="center"/>
              <w:spacing w:after="0"/>
              <w:rPr>
                <w:sz w:val="20"/>
                <w:szCs w:val="20"/>
                <w:color w:val="auto"/>
              </w:rPr>
            </w:pPr>
            <w:r>
              <w:rPr>
                <w:rFonts w:ascii="Arial" w:cs="Arial" w:eastAsia="Arial" w:hAnsi="Arial"/>
                <w:sz w:val="20"/>
                <w:szCs w:val="20"/>
                <w:color w:val="auto"/>
                <w:w w:val="94"/>
              </w:rPr>
              <w:t>TABLE OF CONTENTS</w:t>
            </w:r>
          </w:p>
        </w:tc>
        <w:tc>
          <w:tcPr>
            <w:tcW w:w="1560" w:type="dxa"/>
            <w:vAlign w:val="bottom"/>
          </w:tcPr>
          <w:p>
            <w:pPr>
              <w:spacing w:after="0"/>
              <w:rPr>
                <w:sz w:val="24"/>
                <w:szCs w:val="24"/>
                <w:color w:val="auto"/>
              </w:rPr>
            </w:pPr>
          </w:p>
        </w:tc>
      </w:tr>
      <w:tr>
        <w:trPr>
          <w:trHeight w:val="608"/>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60" w:type="dxa"/>
            <w:vAlign w:val="bottom"/>
            <w:gridSpan w:val="4"/>
          </w:tcPr>
          <w:p>
            <w:pPr>
              <w:ind w:left="2200"/>
              <w:spacing w:after="0"/>
              <w:rPr>
                <w:rFonts w:ascii="Arial" w:cs="Arial" w:eastAsia="Arial" w:hAnsi="Arial"/>
                <w:sz w:val="20"/>
                <w:szCs w:val="20"/>
                <w:u w:val="single" w:color="auto"/>
                <w:color w:val="0000FF"/>
              </w:rPr>
            </w:pPr>
            <w:hyperlink w:anchor="page4">
              <w:r>
                <w:rPr>
                  <w:rFonts w:ascii="Arial" w:cs="Arial" w:eastAsia="Arial" w:hAnsi="Arial"/>
                  <w:sz w:val="20"/>
                  <w:szCs w:val="20"/>
                  <w:u w:val="single" w:color="auto"/>
                  <w:color w:val="0000FF"/>
                </w:rPr>
                <w:t>PART I — FINANCIAL INFORMATION</w:t>
              </w:r>
            </w:hyperlink>
          </w:p>
        </w:tc>
        <w:tc>
          <w:tcPr>
            <w:tcW w:w="1560" w:type="dxa"/>
            <w:vAlign w:val="bottom"/>
          </w:tcPr>
          <w:p>
            <w:pPr>
              <w:ind w:left="420"/>
              <w:spacing w:after="0"/>
              <w:rPr>
                <w:sz w:val="20"/>
                <w:szCs w:val="20"/>
                <w:color w:val="auto"/>
              </w:rPr>
            </w:pPr>
            <w:r>
              <w:rPr>
                <w:rFonts w:ascii="Arial" w:cs="Arial" w:eastAsia="Arial" w:hAnsi="Arial"/>
                <w:sz w:val="20"/>
                <w:szCs w:val="20"/>
                <w:color w:val="auto"/>
              </w:rPr>
              <w:t>Page No.</w:t>
            </w:r>
          </w:p>
        </w:tc>
      </w:tr>
      <w:tr>
        <w:trPr>
          <w:trHeight w:val="30"/>
        </w:trPr>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82"/>
        </w:trPr>
        <w:tc>
          <w:tcPr>
            <w:tcW w:w="920" w:type="dxa"/>
            <w:vAlign w:val="bottom"/>
          </w:tcPr>
          <w:p>
            <w:pPr>
              <w:spacing w:after="0"/>
              <w:rPr>
                <w:sz w:val="20"/>
                <w:szCs w:val="20"/>
                <w:color w:val="auto"/>
              </w:rPr>
            </w:pPr>
            <w:r>
              <w:rPr>
                <w:rFonts w:ascii="Arial" w:cs="Arial" w:eastAsia="Arial" w:hAnsi="Arial"/>
                <w:sz w:val="20"/>
                <w:szCs w:val="20"/>
                <w:color w:val="auto"/>
              </w:rPr>
              <w:t>Item 1.</w:t>
            </w:r>
          </w:p>
        </w:tc>
        <w:tc>
          <w:tcPr>
            <w:tcW w:w="8720" w:type="dxa"/>
            <w:vAlign w:val="bottom"/>
            <w:gridSpan w:val="5"/>
          </w:tcPr>
          <w:p>
            <w:pPr>
              <w:ind w:left="200"/>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Financial Statements (Unaudited)</w:t>
              </w:r>
            </w:hyperlink>
          </w:p>
        </w:tc>
        <w:tc>
          <w:tcPr>
            <w:tcW w:w="1560" w:type="dxa"/>
            <w:vAlign w:val="bottom"/>
          </w:tcPr>
          <w:p>
            <w:pPr>
              <w:jc w:val="center"/>
              <w:spacing w:after="0"/>
              <w:rPr>
                <w:rFonts w:ascii="Arial" w:cs="Arial" w:eastAsia="Arial" w:hAnsi="Arial"/>
                <w:sz w:val="20"/>
                <w:szCs w:val="20"/>
                <w:u w:val="single" w:color="auto"/>
                <w:color w:val="0000EE"/>
                <w:w w:val="89"/>
              </w:rPr>
            </w:pPr>
            <w:hyperlink w:anchor="page4">
              <w:r>
                <w:rPr>
                  <w:rFonts w:ascii="Arial" w:cs="Arial" w:eastAsia="Arial" w:hAnsi="Arial"/>
                  <w:sz w:val="20"/>
                  <w:szCs w:val="20"/>
                  <w:u w:val="single" w:color="auto"/>
                  <w:color w:val="0000EE"/>
                  <w:w w:val="89"/>
                </w:rPr>
                <w:t>3</w:t>
              </w:r>
            </w:hyperlink>
          </w:p>
        </w:tc>
      </w:tr>
      <w:tr>
        <w:trPr>
          <w:trHeight w:val="621"/>
        </w:trPr>
        <w:tc>
          <w:tcPr>
            <w:tcW w:w="920" w:type="dxa"/>
            <w:vAlign w:val="bottom"/>
          </w:tcPr>
          <w:p>
            <w:pPr>
              <w:spacing w:after="0"/>
              <w:rPr>
                <w:sz w:val="24"/>
                <w:szCs w:val="24"/>
                <w:color w:val="auto"/>
              </w:rPr>
            </w:pPr>
          </w:p>
        </w:tc>
        <w:tc>
          <w:tcPr>
            <w:tcW w:w="8720" w:type="dxa"/>
            <w:vAlign w:val="bottom"/>
            <w:gridSpan w:val="5"/>
          </w:tcPr>
          <w:p>
            <w:pPr>
              <w:ind w:left="340"/>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Consolidated Financial Statements:</w:t>
              </w:r>
            </w:hyperlink>
          </w:p>
        </w:tc>
        <w:tc>
          <w:tcPr>
            <w:tcW w:w="1560" w:type="dxa"/>
            <w:vAlign w:val="bottom"/>
          </w:tcPr>
          <w:p>
            <w:pPr>
              <w:spacing w:after="0"/>
              <w:rPr>
                <w:sz w:val="24"/>
                <w:szCs w:val="24"/>
                <w:color w:val="auto"/>
              </w:rPr>
            </w:pPr>
          </w:p>
        </w:tc>
      </w:tr>
      <w:tr>
        <w:trPr>
          <w:trHeight w:val="621"/>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60" w:type="dxa"/>
            <w:vAlign w:val="bottom"/>
            <w:gridSpan w:val="4"/>
          </w:tcPr>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Consolidated Balance Sheets — March 29, 2020 and December 29, 2019</w:t>
              </w:r>
            </w:hyperlink>
          </w:p>
        </w:tc>
        <w:tc>
          <w:tcPr>
            <w:tcW w:w="1560" w:type="dxa"/>
            <w:vAlign w:val="bottom"/>
          </w:tcPr>
          <w:p>
            <w:pPr>
              <w:jc w:val="center"/>
              <w:spacing w:after="0"/>
              <w:rPr>
                <w:rFonts w:ascii="Arial" w:cs="Arial" w:eastAsia="Arial" w:hAnsi="Arial"/>
                <w:sz w:val="20"/>
                <w:szCs w:val="20"/>
                <w:u w:val="single" w:color="auto"/>
                <w:color w:val="0000EE"/>
                <w:w w:val="89"/>
              </w:rPr>
            </w:pPr>
            <w:hyperlink w:anchor="page4">
              <w:r>
                <w:rPr>
                  <w:rFonts w:ascii="Arial" w:cs="Arial" w:eastAsia="Arial" w:hAnsi="Arial"/>
                  <w:sz w:val="20"/>
                  <w:szCs w:val="20"/>
                  <w:u w:val="single" w:color="auto"/>
                  <w:color w:val="0000EE"/>
                  <w:w w:val="89"/>
                </w:rPr>
                <w:t>3</w:t>
              </w:r>
            </w:hyperlink>
          </w:p>
        </w:tc>
      </w:tr>
      <w:tr>
        <w:trPr>
          <w:trHeight w:val="577"/>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60" w:type="dxa"/>
            <w:vAlign w:val="bottom"/>
            <w:gridSpan w:val="4"/>
          </w:tcPr>
          <w:p>
            <w:pPr>
              <w:spacing w:after="0"/>
              <w:rPr>
                <w:rFonts w:ascii="Arial" w:cs="Arial" w:eastAsia="Arial" w:hAnsi="Arial"/>
                <w:sz w:val="20"/>
                <w:szCs w:val="20"/>
                <w:color w:val="0000EE"/>
              </w:rPr>
            </w:pPr>
            <w:hyperlink w:anchor="page5">
              <w:r>
                <w:rPr>
                  <w:rFonts w:ascii="Arial" w:cs="Arial" w:eastAsia="Arial" w:hAnsi="Arial"/>
                  <w:sz w:val="20"/>
                  <w:szCs w:val="20"/>
                  <w:color w:val="0000EE"/>
                </w:rPr>
                <w:t>Consolidated Statements of Operations and Comprehensive (Loss) Income —</w:t>
              </w:r>
            </w:hyperlink>
          </w:p>
        </w:tc>
        <w:tc>
          <w:tcPr>
            <w:tcW w:w="1560" w:type="dxa"/>
            <w:vAlign w:val="bottom"/>
          </w:tcPr>
          <w:p>
            <w:pPr>
              <w:jc w:val="center"/>
              <w:spacing w:after="0"/>
              <w:rPr>
                <w:rFonts w:ascii="Arial" w:cs="Arial" w:eastAsia="Arial" w:hAnsi="Arial"/>
                <w:sz w:val="20"/>
                <w:szCs w:val="20"/>
                <w:u w:val="single" w:color="auto"/>
                <w:color w:val="0000EE"/>
                <w:w w:val="89"/>
              </w:rPr>
            </w:pPr>
            <w:hyperlink w:anchor="page5">
              <w:r>
                <w:rPr>
                  <w:rFonts w:ascii="Arial" w:cs="Arial" w:eastAsia="Arial" w:hAnsi="Arial"/>
                  <w:sz w:val="20"/>
                  <w:szCs w:val="20"/>
                  <w:u w:val="single" w:color="auto"/>
                  <w:color w:val="0000EE"/>
                  <w:w w:val="89"/>
                </w:rPr>
                <w:t>4</w:t>
              </w:r>
            </w:hyperlink>
          </w:p>
        </w:tc>
      </w:tr>
      <w:tr>
        <w:trPr>
          <w:trHeight w:val="254"/>
        </w:trPr>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160" w:type="dxa"/>
            <w:vAlign w:val="bottom"/>
            <w:tcBorders>
              <w:top w:val="single" w:sz="8" w:color="0000EE"/>
            </w:tcBorders>
            <w:gridSpan w:val="3"/>
          </w:tcPr>
          <w:p>
            <w:pPr>
              <w:spacing w:after="0"/>
              <w:rPr>
                <w:rFonts w:ascii="Arial" w:cs="Arial" w:eastAsia="Arial" w:hAnsi="Arial"/>
                <w:sz w:val="20"/>
                <w:szCs w:val="20"/>
                <w:u w:val="single" w:color="auto"/>
                <w:color w:val="0000EE"/>
              </w:rPr>
            </w:pPr>
            <w:hyperlink w:anchor="page5">
              <w:r>
                <w:rPr>
                  <w:rFonts w:ascii="Arial" w:cs="Arial" w:eastAsia="Arial" w:hAnsi="Arial"/>
                  <w:sz w:val="20"/>
                  <w:szCs w:val="20"/>
                  <w:u w:val="single" w:color="auto"/>
                  <w:color w:val="0000EE"/>
                </w:rPr>
                <w:t>For the Thirteen Weeks Ended March 29, 2020 and March 31, 2019</w:t>
              </w:r>
            </w:hyperlink>
          </w:p>
        </w:tc>
        <w:tc>
          <w:tcPr>
            <w:tcW w:w="20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522"/>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60" w:type="dxa"/>
            <w:vAlign w:val="bottom"/>
            <w:gridSpan w:val="4"/>
          </w:tcPr>
          <w:p>
            <w:pPr>
              <w:spacing w:after="0"/>
              <w:rPr>
                <w:rFonts w:ascii="Arial" w:cs="Arial" w:eastAsia="Arial" w:hAnsi="Arial"/>
                <w:sz w:val="20"/>
                <w:szCs w:val="20"/>
                <w:color w:val="0000EE"/>
              </w:rPr>
            </w:pPr>
            <w:hyperlink w:anchor="page6">
              <w:r>
                <w:rPr>
                  <w:rFonts w:ascii="Arial" w:cs="Arial" w:eastAsia="Arial" w:hAnsi="Arial"/>
                  <w:sz w:val="20"/>
                  <w:szCs w:val="20"/>
                  <w:color w:val="0000EE"/>
                </w:rPr>
                <w:t>Consolidated Statements of Changes in Stockholders’ Equity —</w:t>
              </w:r>
            </w:hyperlink>
          </w:p>
        </w:tc>
        <w:tc>
          <w:tcPr>
            <w:tcW w:w="1560" w:type="dxa"/>
            <w:vAlign w:val="bottom"/>
          </w:tcPr>
          <w:p>
            <w:pPr>
              <w:jc w:val="center"/>
              <w:spacing w:after="0"/>
              <w:rPr>
                <w:rFonts w:ascii="Arial" w:cs="Arial" w:eastAsia="Arial" w:hAnsi="Arial"/>
                <w:sz w:val="20"/>
                <w:szCs w:val="20"/>
                <w:u w:val="single" w:color="auto"/>
                <w:color w:val="0000EE"/>
                <w:w w:val="89"/>
              </w:rPr>
            </w:pPr>
            <w:hyperlink w:anchor="page6">
              <w:r>
                <w:rPr>
                  <w:rFonts w:ascii="Arial" w:cs="Arial" w:eastAsia="Arial" w:hAnsi="Arial"/>
                  <w:sz w:val="20"/>
                  <w:szCs w:val="20"/>
                  <w:u w:val="single" w:color="auto"/>
                  <w:color w:val="0000EE"/>
                  <w:w w:val="89"/>
                </w:rPr>
                <w:t>5</w:t>
              </w:r>
            </w:hyperlink>
          </w:p>
        </w:tc>
      </w:tr>
      <w:tr>
        <w:trPr>
          <w:trHeight w:val="20"/>
        </w:trPr>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54"/>
        </w:trPr>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160" w:type="dxa"/>
            <w:vAlign w:val="bottom"/>
            <w:gridSpan w:val="4"/>
          </w:tcPr>
          <w:p>
            <w:pPr>
              <w:spacing w:after="0"/>
              <w:rPr>
                <w:rFonts w:ascii="Arial" w:cs="Arial" w:eastAsia="Arial" w:hAnsi="Arial"/>
                <w:sz w:val="20"/>
                <w:szCs w:val="20"/>
                <w:u w:val="single" w:color="auto"/>
                <w:color w:val="0000EE"/>
              </w:rPr>
            </w:pPr>
            <w:hyperlink w:anchor="page6">
              <w:r>
                <w:rPr>
                  <w:rFonts w:ascii="Arial" w:cs="Arial" w:eastAsia="Arial" w:hAnsi="Arial"/>
                  <w:sz w:val="20"/>
                  <w:szCs w:val="20"/>
                  <w:u w:val="single" w:color="auto"/>
                  <w:color w:val="0000EE"/>
                </w:rPr>
                <w:t>For the Thirteen Weeks Ended March 29, 2020 and March 31, 2019</w:t>
              </w:r>
            </w:hyperlink>
          </w:p>
        </w:tc>
        <w:tc>
          <w:tcPr>
            <w:tcW w:w="1560" w:type="dxa"/>
            <w:vAlign w:val="bottom"/>
          </w:tcPr>
          <w:p>
            <w:pPr>
              <w:spacing w:after="0"/>
              <w:rPr>
                <w:sz w:val="22"/>
                <w:szCs w:val="22"/>
                <w:color w:val="auto"/>
              </w:rPr>
            </w:pPr>
          </w:p>
        </w:tc>
      </w:tr>
      <w:tr>
        <w:trPr>
          <w:trHeight w:val="576"/>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60" w:type="dxa"/>
            <w:vAlign w:val="bottom"/>
            <w:gridSpan w:val="4"/>
          </w:tcPr>
          <w:p>
            <w:pPr>
              <w:spacing w:after="0"/>
              <w:rPr>
                <w:rFonts w:ascii="Arial" w:cs="Arial" w:eastAsia="Arial" w:hAnsi="Arial"/>
                <w:sz w:val="20"/>
                <w:szCs w:val="20"/>
                <w:color w:val="0000EE"/>
              </w:rPr>
            </w:pPr>
            <w:hyperlink w:anchor="page7">
              <w:r>
                <w:rPr>
                  <w:rFonts w:ascii="Arial" w:cs="Arial" w:eastAsia="Arial" w:hAnsi="Arial"/>
                  <w:sz w:val="20"/>
                  <w:szCs w:val="20"/>
                  <w:color w:val="0000EE"/>
                </w:rPr>
                <w:t>Condensed Consolidated Statements of Cash Flows —</w:t>
              </w:r>
            </w:hyperlink>
          </w:p>
        </w:tc>
        <w:tc>
          <w:tcPr>
            <w:tcW w:w="1560" w:type="dxa"/>
            <w:vAlign w:val="bottom"/>
          </w:tcPr>
          <w:p>
            <w:pPr>
              <w:jc w:val="center"/>
              <w:spacing w:after="0"/>
              <w:rPr>
                <w:rFonts w:ascii="Arial" w:cs="Arial" w:eastAsia="Arial" w:hAnsi="Arial"/>
                <w:sz w:val="20"/>
                <w:szCs w:val="20"/>
                <w:u w:val="single" w:color="auto"/>
                <w:color w:val="0000EE"/>
                <w:w w:val="89"/>
              </w:rPr>
            </w:pPr>
            <w:hyperlink w:anchor="page7">
              <w:r>
                <w:rPr>
                  <w:rFonts w:ascii="Arial" w:cs="Arial" w:eastAsia="Arial" w:hAnsi="Arial"/>
                  <w:sz w:val="20"/>
                  <w:szCs w:val="20"/>
                  <w:u w:val="single" w:color="auto"/>
                  <w:color w:val="0000EE"/>
                  <w:w w:val="89"/>
                </w:rPr>
                <w:t>6</w:t>
              </w:r>
            </w:hyperlink>
          </w:p>
        </w:tc>
      </w:tr>
      <w:tr>
        <w:trPr>
          <w:trHeight w:val="20"/>
        </w:trPr>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54"/>
        </w:trPr>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160" w:type="dxa"/>
            <w:vAlign w:val="bottom"/>
            <w:gridSpan w:val="4"/>
          </w:tcPr>
          <w:p>
            <w:pPr>
              <w:spacing w:after="0"/>
              <w:rPr>
                <w:rFonts w:ascii="Arial" w:cs="Arial" w:eastAsia="Arial" w:hAnsi="Arial"/>
                <w:sz w:val="20"/>
                <w:szCs w:val="20"/>
                <w:u w:val="single" w:color="auto"/>
                <w:color w:val="0000EE"/>
              </w:rPr>
            </w:pPr>
            <w:hyperlink w:anchor="page7">
              <w:r>
                <w:rPr>
                  <w:rFonts w:ascii="Arial" w:cs="Arial" w:eastAsia="Arial" w:hAnsi="Arial"/>
                  <w:sz w:val="20"/>
                  <w:szCs w:val="20"/>
                  <w:u w:val="single" w:color="auto"/>
                  <w:color w:val="0000EE"/>
                </w:rPr>
                <w:t>For the Thirteen Weeks Ended March 29, 2020 and March 31, 2019</w:t>
              </w:r>
            </w:hyperlink>
          </w:p>
        </w:tc>
        <w:tc>
          <w:tcPr>
            <w:tcW w:w="1560" w:type="dxa"/>
            <w:vAlign w:val="bottom"/>
          </w:tcPr>
          <w:p>
            <w:pPr>
              <w:spacing w:after="0"/>
              <w:rPr>
                <w:sz w:val="22"/>
                <w:szCs w:val="22"/>
                <w:color w:val="auto"/>
              </w:rPr>
            </w:pPr>
          </w:p>
        </w:tc>
      </w:tr>
      <w:tr>
        <w:trPr>
          <w:trHeight w:val="567"/>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60" w:type="dxa"/>
            <w:vAlign w:val="bottom"/>
            <w:gridSpan w:val="4"/>
          </w:tcPr>
          <w:p>
            <w:pPr>
              <w:spacing w:after="0"/>
              <w:rPr>
                <w:rFonts w:ascii="Arial" w:cs="Arial" w:eastAsia="Arial" w:hAnsi="Arial"/>
                <w:sz w:val="20"/>
                <w:szCs w:val="20"/>
                <w:u w:val="single" w:color="auto"/>
                <w:color w:val="0000EE"/>
              </w:rPr>
            </w:pPr>
            <w:hyperlink w:anchor="page9">
              <w:r>
                <w:rPr>
                  <w:rFonts w:ascii="Arial" w:cs="Arial" w:eastAsia="Arial" w:hAnsi="Arial"/>
                  <w:sz w:val="20"/>
                  <w:szCs w:val="20"/>
                  <w:u w:val="single" w:color="auto"/>
                  <w:color w:val="0000EE"/>
                </w:rPr>
                <w:t>Notes to Consolidated Financial Statements</w:t>
              </w:r>
            </w:hyperlink>
          </w:p>
        </w:tc>
        <w:tc>
          <w:tcPr>
            <w:tcW w:w="1560" w:type="dxa"/>
            <w:vAlign w:val="bottom"/>
          </w:tcPr>
          <w:p>
            <w:pPr>
              <w:jc w:val="center"/>
              <w:spacing w:after="0"/>
              <w:rPr>
                <w:rFonts w:ascii="Arial" w:cs="Arial" w:eastAsia="Arial" w:hAnsi="Arial"/>
                <w:sz w:val="20"/>
                <w:szCs w:val="20"/>
                <w:u w:val="single" w:color="auto"/>
                <w:color w:val="0000EE"/>
                <w:w w:val="89"/>
              </w:rPr>
            </w:pPr>
            <w:hyperlink w:anchor="page9">
              <w:r>
                <w:rPr>
                  <w:rFonts w:ascii="Arial" w:cs="Arial" w:eastAsia="Arial" w:hAnsi="Arial"/>
                  <w:sz w:val="20"/>
                  <w:szCs w:val="20"/>
                  <w:u w:val="single" w:color="auto"/>
                  <w:color w:val="0000EE"/>
                  <w:w w:val="89"/>
                </w:rPr>
                <w:t>8</w:t>
              </w:r>
            </w:hyperlink>
          </w:p>
        </w:tc>
      </w:tr>
      <w:tr>
        <w:trPr>
          <w:trHeight w:val="621"/>
        </w:trPr>
        <w:tc>
          <w:tcPr>
            <w:tcW w:w="920" w:type="dxa"/>
            <w:vAlign w:val="bottom"/>
          </w:tcPr>
          <w:p>
            <w:pPr>
              <w:spacing w:after="0"/>
              <w:rPr>
                <w:sz w:val="20"/>
                <w:szCs w:val="20"/>
                <w:color w:val="auto"/>
              </w:rPr>
            </w:pPr>
            <w:r>
              <w:rPr>
                <w:rFonts w:ascii="Arial" w:cs="Arial" w:eastAsia="Arial" w:hAnsi="Arial"/>
                <w:sz w:val="20"/>
                <w:szCs w:val="20"/>
                <w:color w:val="auto"/>
              </w:rPr>
              <w:t>Item 2.</w:t>
            </w:r>
          </w:p>
        </w:tc>
        <w:tc>
          <w:tcPr>
            <w:tcW w:w="8720" w:type="dxa"/>
            <w:vAlign w:val="bottom"/>
            <w:gridSpan w:val="5"/>
          </w:tcPr>
          <w:p>
            <w:pPr>
              <w:ind w:left="200"/>
              <w:spacing w:after="0"/>
              <w:rPr>
                <w:rFonts w:ascii="Arial" w:cs="Arial" w:eastAsia="Arial" w:hAnsi="Arial"/>
                <w:sz w:val="20"/>
                <w:szCs w:val="20"/>
                <w:u w:val="single" w:color="auto"/>
                <w:color w:val="0000EE"/>
              </w:rPr>
            </w:pPr>
            <w:hyperlink w:anchor="page29">
              <w:r>
                <w:rPr>
                  <w:rFonts w:ascii="Arial" w:cs="Arial" w:eastAsia="Arial" w:hAnsi="Arial"/>
                  <w:sz w:val="20"/>
                  <w:szCs w:val="20"/>
                  <w:u w:val="single" w:color="auto"/>
                  <w:color w:val="0000EE"/>
                </w:rPr>
                <w:t>Management’s Discussion and Analysis of Financial Condition and Results of Operations</w:t>
              </w:r>
            </w:hyperlink>
          </w:p>
        </w:tc>
        <w:tc>
          <w:tcPr>
            <w:tcW w:w="1560" w:type="dxa"/>
            <w:vAlign w:val="bottom"/>
          </w:tcPr>
          <w:p>
            <w:pPr>
              <w:jc w:val="center"/>
              <w:spacing w:after="0"/>
              <w:rPr>
                <w:rFonts w:ascii="Arial" w:cs="Arial" w:eastAsia="Arial" w:hAnsi="Arial"/>
                <w:sz w:val="20"/>
                <w:szCs w:val="20"/>
                <w:u w:val="single" w:color="auto"/>
                <w:color w:val="0000EE"/>
                <w:w w:val="89"/>
              </w:rPr>
            </w:pPr>
            <w:hyperlink w:anchor="page29">
              <w:r>
                <w:rPr>
                  <w:rFonts w:ascii="Arial" w:cs="Arial" w:eastAsia="Arial" w:hAnsi="Arial"/>
                  <w:sz w:val="20"/>
                  <w:szCs w:val="20"/>
                  <w:u w:val="single" w:color="auto"/>
                  <w:color w:val="0000EE"/>
                  <w:w w:val="89"/>
                </w:rPr>
                <w:t>28</w:t>
              </w:r>
            </w:hyperlink>
          </w:p>
        </w:tc>
      </w:tr>
      <w:tr>
        <w:trPr>
          <w:trHeight w:val="621"/>
        </w:trPr>
        <w:tc>
          <w:tcPr>
            <w:tcW w:w="920" w:type="dxa"/>
            <w:vAlign w:val="bottom"/>
          </w:tcPr>
          <w:p>
            <w:pPr>
              <w:spacing w:after="0"/>
              <w:rPr>
                <w:sz w:val="20"/>
                <w:szCs w:val="20"/>
                <w:color w:val="auto"/>
              </w:rPr>
            </w:pPr>
            <w:r>
              <w:rPr>
                <w:rFonts w:ascii="Arial" w:cs="Arial" w:eastAsia="Arial" w:hAnsi="Arial"/>
                <w:sz w:val="20"/>
                <w:szCs w:val="20"/>
                <w:color w:val="auto"/>
              </w:rPr>
              <w:t>Item 3.</w:t>
            </w:r>
          </w:p>
        </w:tc>
        <w:tc>
          <w:tcPr>
            <w:tcW w:w="8720" w:type="dxa"/>
            <w:vAlign w:val="bottom"/>
            <w:gridSpan w:val="5"/>
          </w:tcPr>
          <w:p>
            <w:pPr>
              <w:ind w:left="200"/>
              <w:spacing w:after="0"/>
              <w:rPr>
                <w:rFonts w:ascii="Arial" w:cs="Arial" w:eastAsia="Arial" w:hAnsi="Arial"/>
                <w:sz w:val="20"/>
                <w:szCs w:val="20"/>
                <w:u w:val="single" w:color="auto"/>
                <w:color w:val="0000EE"/>
              </w:rPr>
            </w:pPr>
            <w:hyperlink w:anchor="page50">
              <w:r>
                <w:rPr>
                  <w:rFonts w:ascii="Arial" w:cs="Arial" w:eastAsia="Arial" w:hAnsi="Arial"/>
                  <w:sz w:val="20"/>
                  <w:szCs w:val="20"/>
                  <w:u w:val="single" w:color="auto"/>
                  <w:color w:val="0000EE"/>
                </w:rPr>
                <w:t>Quantitative and Qualitative Disclosures About Market Risk</w:t>
              </w:r>
            </w:hyperlink>
          </w:p>
        </w:tc>
        <w:tc>
          <w:tcPr>
            <w:tcW w:w="1560" w:type="dxa"/>
            <w:vAlign w:val="bottom"/>
          </w:tcPr>
          <w:p>
            <w:pPr>
              <w:jc w:val="center"/>
              <w:spacing w:after="0"/>
              <w:rPr>
                <w:rFonts w:ascii="Arial" w:cs="Arial" w:eastAsia="Arial" w:hAnsi="Arial"/>
                <w:sz w:val="20"/>
                <w:szCs w:val="20"/>
                <w:u w:val="single" w:color="auto"/>
                <w:color w:val="0000EE"/>
                <w:w w:val="89"/>
              </w:rPr>
            </w:pPr>
            <w:hyperlink w:anchor="page50">
              <w:r>
                <w:rPr>
                  <w:rFonts w:ascii="Arial" w:cs="Arial" w:eastAsia="Arial" w:hAnsi="Arial"/>
                  <w:sz w:val="20"/>
                  <w:szCs w:val="20"/>
                  <w:u w:val="single" w:color="auto"/>
                  <w:color w:val="0000EE"/>
                  <w:w w:val="89"/>
                </w:rPr>
                <w:t>49</w:t>
              </w:r>
            </w:hyperlink>
          </w:p>
        </w:tc>
      </w:tr>
      <w:tr>
        <w:trPr>
          <w:trHeight w:val="621"/>
        </w:trPr>
        <w:tc>
          <w:tcPr>
            <w:tcW w:w="920" w:type="dxa"/>
            <w:vAlign w:val="bottom"/>
          </w:tcPr>
          <w:p>
            <w:pPr>
              <w:spacing w:after="0"/>
              <w:rPr>
                <w:sz w:val="20"/>
                <w:szCs w:val="20"/>
                <w:color w:val="auto"/>
              </w:rPr>
            </w:pPr>
            <w:r>
              <w:rPr>
                <w:rFonts w:ascii="Arial" w:cs="Arial" w:eastAsia="Arial" w:hAnsi="Arial"/>
                <w:sz w:val="20"/>
                <w:szCs w:val="20"/>
                <w:color w:val="auto"/>
              </w:rPr>
              <w:t>Item 4.</w:t>
            </w:r>
          </w:p>
        </w:tc>
        <w:tc>
          <w:tcPr>
            <w:tcW w:w="8720" w:type="dxa"/>
            <w:vAlign w:val="bottom"/>
            <w:gridSpan w:val="5"/>
          </w:tcPr>
          <w:p>
            <w:pPr>
              <w:ind w:left="200"/>
              <w:spacing w:after="0"/>
              <w:rPr>
                <w:rFonts w:ascii="Arial" w:cs="Arial" w:eastAsia="Arial" w:hAnsi="Arial"/>
                <w:sz w:val="20"/>
                <w:szCs w:val="20"/>
                <w:u w:val="single" w:color="auto"/>
                <w:color w:val="0000FF"/>
              </w:rPr>
            </w:pPr>
            <w:hyperlink w:anchor="page50">
              <w:r>
                <w:rPr>
                  <w:rFonts w:ascii="Arial" w:cs="Arial" w:eastAsia="Arial" w:hAnsi="Arial"/>
                  <w:sz w:val="20"/>
                  <w:szCs w:val="20"/>
                  <w:u w:val="single" w:color="auto"/>
                  <w:color w:val="0000FF"/>
                </w:rPr>
                <w:t>Controls and Procedures</w:t>
              </w:r>
            </w:hyperlink>
          </w:p>
        </w:tc>
        <w:tc>
          <w:tcPr>
            <w:tcW w:w="1560" w:type="dxa"/>
            <w:vAlign w:val="bottom"/>
          </w:tcPr>
          <w:p>
            <w:pPr>
              <w:jc w:val="center"/>
              <w:spacing w:after="0"/>
              <w:rPr>
                <w:rFonts w:ascii="Arial" w:cs="Arial" w:eastAsia="Arial" w:hAnsi="Arial"/>
                <w:sz w:val="20"/>
                <w:szCs w:val="20"/>
                <w:u w:val="single" w:color="auto"/>
                <w:color w:val="0000EE"/>
                <w:w w:val="89"/>
              </w:rPr>
            </w:pPr>
            <w:hyperlink w:anchor="page50">
              <w:r>
                <w:rPr>
                  <w:rFonts w:ascii="Arial" w:cs="Arial" w:eastAsia="Arial" w:hAnsi="Arial"/>
                  <w:sz w:val="20"/>
                  <w:szCs w:val="20"/>
                  <w:u w:val="single" w:color="auto"/>
                  <w:color w:val="0000EE"/>
                  <w:w w:val="89"/>
                </w:rPr>
                <w:t>49</w:t>
              </w:r>
            </w:hyperlink>
          </w:p>
        </w:tc>
      </w:tr>
      <w:tr>
        <w:trPr>
          <w:trHeight w:val="621"/>
        </w:trPr>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60" w:type="dxa"/>
            <w:vAlign w:val="bottom"/>
            <w:gridSpan w:val="4"/>
          </w:tcPr>
          <w:p>
            <w:pPr>
              <w:ind w:left="2380"/>
              <w:spacing w:after="0"/>
              <w:rPr>
                <w:rFonts w:ascii="Arial" w:cs="Arial" w:eastAsia="Arial" w:hAnsi="Arial"/>
                <w:sz w:val="20"/>
                <w:szCs w:val="20"/>
                <w:u w:val="single" w:color="auto"/>
                <w:color w:val="0000FF"/>
              </w:rPr>
            </w:pPr>
            <w:hyperlink w:anchor="page51">
              <w:r>
                <w:rPr>
                  <w:rFonts w:ascii="Arial" w:cs="Arial" w:eastAsia="Arial" w:hAnsi="Arial"/>
                  <w:sz w:val="20"/>
                  <w:szCs w:val="20"/>
                  <w:u w:val="single" w:color="auto"/>
                  <w:color w:val="0000FF"/>
                </w:rPr>
                <w:t>PART II — OTHER INFORMATION</w:t>
              </w:r>
            </w:hyperlink>
          </w:p>
        </w:tc>
        <w:tc>
          <w:tcPr>
            <w:tcW w:w="1560" w:type="dxa"/>
            <w:vAlign w:val="bottom"/>
          </w:tcPr>
          <w:p>
            <w:pPr>
              <w:spacing w:after="0"/>
              <w:rPr>
                <w:sz w:val="24"/>
                <w:szCs w:val="24"/>
                <w:color w:val="auto"/>
              </w:rPr>
            </w:pPr>
          </w:p>
        </w:tc>
      </w:tr>
      <w:tr>
        <w:trPr>
          <w:trHeight w:val="284"/>
        </w:trPr>
        <w:tc>
          <w:tcPr>
            <w:tcW w:w="920" w:type="dxa"/>
            <w:vAlign w:val="bottom"/>
          </w:tcPr>
          <w:p>
            <w:pPr>
              <w:spacing w:after="0"/>
              <w:rPr>
                <w:sz w:val="20"/>
                <w:szCs w:val="20"/>
                <w:color w:val="auto"/>
              </w:rPr>
            </w:pPr>
            <w:r>
              <w:rPr>
                <w:rFonts w:ascii="Arial" w:cs="Arial" w:eastAsia="Arial" w:hAnsi="Arial"/>
                <w:sz w:val="20"/>
                <w:szCs w:val="20"/>
                <w:color w:val="auto"/>
              </w:rPr>
              <w:t>Item 1.</w:t>
            </w:r>
          </w:p>
        </w:tc>
        <w:tc>
          <w:tcPr>
            <w:tcW w:w="8720" w:type="dxa"/>
            <w:vAlign w:val="bottom"/>
            <w:gridSpan w:val="5"/>
          </w:tcPr>
          <w:p>
            <w:pPr>
              <w:ind w:left="200"/>
              <w:spacing w:after="0"/>
              <w:rPr>
                <w:rFonts w:ascii="Arial" w:cs="Arial" w:eastAsia="Arial" w:hAnsi="Arial"/>
                <w:sz w:val="20"/>
                <w:szCs w:val="20"/>
                <w:u w:val="single" w:color="auto"/>
                <w:color w:val="0000FF"/>
              </w:rPr>
            </w:pPr>
            <w:hyperlink w:anchor="page51">
              <w:r>
                <w:rPr>
                  <w:rFonts w:ascii="Arial" w:cs="Arial" w:eastAsia="Arial" w:hAnsi="Arial"/>
                  <w:sz w:val="20"/>
                  <w:szCs w:val="20"/>
                  <w:u w:val="single" w:color="auto"/>
                  <w:color w:val="0000FF"/>
                </w:rPr>
                <w:t>Legal Proceedings</w:t>
              </w:r>
            </w:hyperlink>
          </w:p>
        </w:tc>
        <w:tc>
          <w:tcPr>
            <w:tcW w:w="1560" w:type="dxa"/>
            <w:vAlign w:val="bottom"/>
          </w:tcPr>
          <w:p>
            <w:pPr>
              <w:jc w:val="center"/>
              <w:spacing w:after="0"/>
              <w:rPr>
                <w:rFonts w:ascii="Arial" w:cs="Arial" w:eastAsia="Arial" w:hAnsi="Arial"/>
                <w:sz w:val="20"/>
                <w:szCs w:val="20"/>
                <w:u w:val="single" w:color="auto"/>
                <w:color w:val="0000EE"/>
                <w:w w:val="89"/>
              </w:rPr>
            </w:pPr>
            <w:hyperlink w:anchor="page51">
              <w:r>
                <w:rPr>
                  <w:rFonts w:ascii="Arial" w:cs="Arial" w:eastAsia="Arial" w:hAnsi="Arial"/>
                  <w:sz w:val="20"/>
                  <w:szCs w:val="20"/>
                  <w:u w:val="single" w:color="auto"/>
                  <w:color w:val="0000EE"/>
                  <w:w w:val="89"/>
                </w:rPr>
                <w:t>50</w:t>
              </w:r>
            </w:hyperlink>
          </w:p>
        </w:tc>
      </w:tr>
      <w:tr>
        <w:trPr>
          <w:trHeight w:val="621"/>
        </w:trPr>
        <w:tc>
          <w:tcPr>
            <w:tcW w:w="920" w:type="dxa"/>
            <w:vAlign w:val="bottom"/>
          </w:tcPr>
          <w:p>
            <w:pPr>
              <w:spacing w:after="0"/>
              <w:rPr>
                <w:sz w:val="20"/>
                <w:szCs w:val="20"/>
                <w:color w:val="auto"/>
              </w:rPr>
            </w:pPr>
            <w:r>
              <w:rPr>
                <w:rFonts w:ascii="Arial" w:cs="Arial" w:eastAsia="Arial" w:hAnsi="Arial"/>
                <w:sz w:val="20"/>
                <w:szCs w:val="20"/>
                <w:color w:val="auto"/>
              </w:rPr>
              <w:t>Item 1A.</w:t>
            </w:r>
          </w:p>
        </w:tc>
        <w:tc>
          <w:tcPr>
            <w:tcW w:w="8720" w:type="dxa"/>
            <w:vAlign w:val="bottom"/>
            <w:gridSpan w:val="5"/>
          </w:tcPr>
          <w:p>
            <w:pPr>
              <w:ind w:left="200"/>
              <w:spacing w:after="0"/>
              <w:rPr>
                <w:rFonts w:ascii="Arial" w:cs="Arial" w:eastAsia="Arial" w:hAnsi="Arial"/>
                <w:sz w:val="20"/>
                <w:szCs w:val="20"/>
                <w:u w:val="single" w:color="auto"/>
                <w:color w:val="0000FF"/>
              </w:rPr>
            </w:pPr>
            <w:hyperlink w:anchor="page51">
              <w:r>
                <w:rPr>
                  <w:rFonts w:ascii="Arial" w:cs="Arial" w:eastAsia="Arial" w:hAnsi="Arial"/>
                  <w:sz w:val="20"/>
                  <w:szCs w:val="20"/>
                  <w:u w:val="single" w:color="auto"/>
                  <w:color w:val="0000FF"/>
                </w:rPr>
                <w:t>Risk Factors</w:t>
              </w:r>
            </w:hyperlink>
          </w:p>
        </w:tc>
        <w:tc>
          <w:tcPr>
            <w:tcW w:w="1560" w:type="dxa"/>
            <w:vAlign w:val="bottom"/>
          </w:tcPr>
          <w:p>
            <w:pPr>
              <w:jc w:val="center"/>
              <w:spacing w:after="0"/>
              <w:rPr>
                <w:rFonts w:ascii="Arial" w:cs="Arial" w:eastAsia="Arial" w:hAnsi="Arial"/>
                <w:sz w:val="20"/>
                <w:szCs w:val="20"/>
                <w:u w:val="single" w:color="auto"/>
                <w:color w:val="0000EE"/>
                <w:w w:val="89"/>
              </w:rPr>
            </w:pPr>
            <w:hyperlink w:anchor="page51">
              <w:r>
                <w:rPr>
                  <w:rFonts w:ascii="Arial" w:cs="Arial" w:eastAsia="Arial" w:hAnsi="Arial"/>
                  <w:sz w:val="20"/>
                  <w:szCs w:val="20"/>
                  <w:u w:val="single" w:color="auto"/>
                  <w:color w:val="0000EE"/>
                  <w:w w:val="89"/>
                </w:rPr>
                <w:t>50</w:t>
              </w:r>
            </w:hyperlink>
          </w:p>
        </w:tc>
      </w:tr>
      <w:tr>
        <w:trPr>
          <w:trHeight w:val="621"/>
        </w:trPr>
        <w:tc>
          <w:tcPr>
            <w:tcW w:w="920" w:type="dxa"/>
            <w:vAlign w:val="bottom"/>
          </w:tcPr>
          <w:p>
            <w:pPr>
              <w:spacing w:after="0"/>
              <w:rPr>
                <w:sz w:val="20"/>
                <w:szCs w:val="20"/>
                <w:color w:val="auto"/>
              </w:rPr>
            </w:pPr>
            <w:r>
              <w:rPr>
                <w:rFonts w:ascii="Arial" w:cs="Arial" w:eastAsia="Arial" w:hAnsi="Arial"/>
                <w:sz w:val="20"/>
                <w:szCs w:val="20"/>
                <w:color w:val="auto"/>
              </w:rPr>
              <w:t>Item 2.</w:t>
            </w:r>
          </w:p>
        </w:tc>
        <w:tc>
          <w:tcPr>
            <w:tcW w:w="8720" w:type="dxa"/>
            <w:vAlign w:val="bottom"/>
            <w:gridSpan w:val="5"/>
          </w:tcPr>
          <w:p>
            <w:pPr>
              <w:ind w:left="200"/>
              <w:spacing w:after="0"/>
              <w:rPr>
                <w:rFonts w:ascii="Arial" w:cs="Arial" w:eastAsia="Arial" w:hAnsi="Arial"/>
                <w:sz w:val="20"/>
                <w:szCs w:val="20"/>
                <w:u w:val="single" w:color="auto"/>
                <w:color w:val="0000FF"/>
              </w:rPr>
            </w:pPr>
            <w:hyperlink w:anchor="page53">
              <w:r>
                <w:rPr>
                  <w:rFonts w:ascii="Arial" w:cs="Arial" w:eastAsia="Arial" w:hAnsi="Arial"/>
                  <w:sz w:val="20"/>
                  <w:szCs w:val="20"/>
                  <w:u w:val="single" w:color="auto"/>
                  <w:color w:val="0000FF"/>
                </w:rPr>
                <w:t>Unregistered Sales of Equity Securities and Use of Proceeds</w:t>
              </w:r>
            </w:hyperlink>
          </w:p>
        </w:tc>
        <w:tc>
          <w:tcPr>
            <w:tcW w:w="1560" w:type="dxa"/>
            <w:vAlign w:val="bottom"/>
          </w:tcPr>
          <w:p>
            <w:pPr>
              <w:jc w:val="center"/>
              <w:spacing w:after="0"/>
              <w:rPr>
                <w:rFonts w:ascii="Arial" w:cs="Arial" w:eastAsia="Arial" w:hAnsi="Arial"/>
                <w:sz w:val="20"/>
                <w:szCs w:val="20"/>
                <w:u w:val="single" w:color="auto"/>
                <w:color w:val="0000EE"/>
                <w:w w:val="89"/>
              </w:rPr>
            </w:pPr>
            <w:hyperlink w:anchor="page53">
              <w:r>
                <w:rPr>
                  <w:rFonts w:ascii="Arial" w:cs="Arial" w:eastAsia="Arial" w:hAnsi="Arial"/>
                  <w:sz w:val="20"/>
                  <w:szCs w:val="20"/>
                  <w:u w:val="single" w:color="auto"/>
                  <w:color w:val="0000EE"/>
                  <w:w w:val="89"/>
                </w:rPr>
                <w:t>52</w:t>
              </w:r>
            </w:hyperlink>
          </w:p>
        </w:tc>
      </w:tr>
      <w:tr>
        <w:trPr>
          <w:trHeight w:val="621"/>
        </w:trPr>
        <w:tc>
          <w:tcPr>
            <w:tcW w:w="920" w:type="dxa"/>
            <w:vAlign w:val="bottom"/>
          </w:tcPr>
          <w:p>
            <w:pPr>
              <w:spacing w:after="0"/>
              <w:rPr>
                <w:sz w:val="20"/>
                <w:szCs w:val="20"/>
                <w:color w:val="auto"/>
              </w:rPr>
            </w:pPr>
            <w:r>
              <w:rPr>
                <w:rFonts w:ascii="Arial" w:cs="Arial" w:eastAsia="Arial" w:hAnsi="Arial"/>
                <w:sz w:val="20"/>
                <w:szCs w:val="20"/>
                <w:color w:val="auto"/>
              </w:rPr>
              <w:t>Item 5.</w:t>
            </w:r>
          </w:p>
        </w:tc>
        <w:tc>
          <w:tcPr>
            <w:tcW w:w="8720" w:type="dxa"/>
            <w:vAlign w:val="bottom"/>
            <w:gridSpan w:val="5"/>
          </w:tcPr>
          <w:p>
            <w:pPr>
              <w:ind w:left="200"/>
              <w:spacing w:after="0"/>
              <w:rPr>
                <w:rFonts w:ascii="Arial" w:cs="Arial" w:eastAsia="Arial" w:hAnsi="Arial"/>
                <w:sz w:val="20"/>
                <w:szCs w:val="20"/>
                <w:u w:val="single" w:color="auto"/>
                <w:color w:val="0000EE"/>
              </w:rPr>
            </w:pPr>
            <w:hyperlink w:anchor="page53">
              <w:r>
                <w:rPr>
                  <w:rFonts w:ascii="Arial" w:cs="Arial" w:eastAsia="Arial" w:hAnsi="Arial"/>
                  <w:sz w:val="20"/>
                  <w:szCs w:val="20"/>
                  <w:u w:val="single" w:color="auto"/>
                  <w:color w:val="0000EE"/>
                </w:rPr>
                <w:t>Other Information</w:t>
              </w:r>
            </w:hyperlink>
          </w:p>
        </w:tc>
        <w:tc>
          <w:tcPr>
            <w:tcW w:w="1560" w:type="dxa"/>
            <w:vAlign w:val="bottom"/>
          </w:tcPr>
          <w:p>
            <w:pPr>
              <w:jc w:val="center"/>
              <w:spacing w:after="0"/>
              <w:rPr>
                <w:rFonts w:ascii="Arial" w:cs="Arial" w:eastAsia="Arial" w:hAnsi="Arial"/>
                <w:sz w:val="20"/>
                <w:szCs w:val="20"/>
                <w:u w:val="single" w:color="auto"/>
                <w:color w:val="0000EE"/>
                <w:w w:val="89"/>
              </w:rPr>
            </w:pPr>
            <w:hyperlink w:anchor="page53">
              <w:r>
                <w:rPr>
                  <w:rFonts w:ascii="Arial" w:cs="Arial" w:eastAsia="Arial" w:hAnsi="Arial"/>
                  <w:sz w:val="20"/>
                  <w:szCs w:val="20"/>
                  <w:u w:val="single" w:color="auto"/>
                  <w:color w:val="0000EE"/>
                  <w:w w:val="89"/>
                </w:rPr>
                <w:t>52</w:t>
              </w:r>
            </w:hyperlink>
          </w:p>
        </w:tc>
      </w:tr>
      <w:tr>
        <w:trPr>
          <w:trHeight w:val="621"/>
        </w:trPr>
        <w:tc>
          <w:tcPr>
            <w:tcW w:w="920" w:type="dxa"/>
            <w:vAlign w:val="bottom"/>
          </w:tcPr>
          <w:p>
            <w:pPr>
              <w:spacing w:after="0"/>
              <w:rPr>
                <w:sz w:val="20"/>
                <w:szCs w:val="20"/>
                <w:color w:val="auto"/>
              </w:rPr>
            </w:pPr>
            <w:r>
              <w:rPr>
                <w:rFonts w:ascii="Arial" w:cs="Arial" w:eastAsia="Arial" w:hAnsi="Arial"/>
                <w:sz w:val="20"/>
                <w:szCs w:val="20"/>
                <w:color w:val="auto"/>
              </w:rPr>
              <w:t>Item 6.</w:t>
            </w:r>
          </w:p>
        </w:tc>
        <w:tc>
          <w:tcPr>
            <w:tcW w:w="8720" w:type="dxa"/>
            <w:vAlign w:val="bottom"/>
            <w:gridSpan w:val="5"/>
          </w:tcPr>
          <w:p>
            <w:pPr>
              <w:ind w:left="200"/>
              <w:spacing w:after="0"/>
              <w:rPr>
                <w:rFonts w:ascii="Arial" w:cs="Arial" w:eastAsia="Arial" w:hAnsi="Arial"/>
                <w:sz w:val="20"/>
                <w:szCs w:val="20"/>
                <w:u w:val="single" w:color="auto"/>
                <w:color w:val="0000FF"/>
              </w:rPr>
            </w:pPr>
            <w:hyperlink w:anchor="page54">
              <w:r>
                <w:rPr>
                  <w:rFonts w:ascii="Arial" w:cs="Arial" w:eastAsia="Arial" w:hAnsi="Arial"/>
                  <w:sz w:val="20"/>
                  <w:szCs w:val="20"/>
                  <w:u w:val="single" w:color="auto"/>
                  <w:color w:val="0000FF"/>
                </w:rPr>
                <w:t>Exhibits</w:t>
              </w:r>
            </w:hyperlink>
          </w:p>
        </w:tc>
        <w:tc>
          <w:tcPr>
            <w:tcW w:w="1560" w:type="dxa"/>
            <w:vAlign w:val="bottom"/>
          </w:tcPr>
          <w:p>
            <w:pPr>
              <w:jc w:val="center"/>
              <w:spacing w:after="0"/>
              <w:rPr>
                <w:rFonts w:ascii="Arial" w:cs="Arial" w:eastAsia="Arial" w:hAnsi="Arial"/>
                <w:sz w:val="20"/>
                <w:szCs w:val="20"/>
                <w:u w:val="single" w:color="auto"/>
                <w:color w:val="0000EE"/>
                <w:w w:val="89"/>
              </w:rPr>
            </w:pPr>
            <w:hyperlink w:anchor="page54">
              <w:r>
                <w:rPr>
                  <w:rFonts w:ascii="Arial" w:cs="Arial" w:eastAsia="Arial" w:hAnsi="Arial"/>
                  <w:sz w:val="20"/>
                  <w:szCs w:val="20"/>
                  <w:u w:val="single" w:color="auto"/>
                  <w:color w:val="0000EE"/>
                  <w:w w:val="89"/>
                </w:rPr>
                <w:t>53</w:t>
              </w:r>
            </w:hyperlink>
          </w:p>
        </w:tc>
      </w:tr>
      <w:tr>
        <w:trPr>
          <w:trHeight w:val="567"/>
        </w:trPr>
        <w:tc>
          <w:tcPr>
            <w:tcW w:w="920" w:type="dxa"/>
            <w:vAlign w:val="bottom"/>
          </w:tcPr>
          <w:p>
            <w:pPr>
              <w:spacing w:after="0"/>
              <w:rPr>
                <w:sz w:val="24"/>
                <w:szCs w:val="24"/>
                <w:color w:val="auto"/>
              </w:rPr>
            </w:pPr>
          </w:p>
        </w:tc>
        <w:tc>
          <w:tcPr>
            <w:tcW w:w="8720" w:type="dxa"/>
            <w:vAlign w:val="bottom"/>
            <w:gridSpan w:val="5"/>
          </w:tcPr>
          <w:p>
            <w:pPr>
              <w:ind w:left="200"/>
              <w:spacing w:after="0"/>
              <w:rPr>
                <w:rFonts w:ascii="Arial" w:cs="Arial" w:eastAsia="Arial" w:hAnsi="Arial"/>
                <w:sz w:val="20"/>
                <w:szCs w:val="20"/>
                <w:u w:val="single" w:color="auto"/>
                <w:color w:val="0000FF"/>
              </w:rPr>
            </w:pPr>
            <w:hyperlink w:anchor="page55">
              <w:r>
                <w:rPr>
                  <w:rFonts w:ascii="Arial" w:cs="Arial" w:eastAsia="Arial" w:hAnsi="Arial"/>
                  <w:sz w:val="20"/>
                  <w:szCs w:val="20"/>
                  <w:u w:val="single" w:color="auto"/>
                  <w:color w:val="0000FF"/>
                </w:rPr>
                <w:t>Signature</w:t>
              </w:r>
            </w:hyperlink>
          </w:p>
        </w:tc>
        <w:tc>
          <w:tcPr>
            <w:tcW w:w="1560" w:type="dxa"/>
            <w:vAlign w:val="bottom"/>
          </w:tcPr>
          <w:p>
            <w:pPr>
              <w:jc w:val="center"/>
              <w:spacing w:after="0"/>
              <w:rPr>
                <w:rFonts w:ascii="Arial" w:cs="Arial" w:eastAsia="Arial" w:hAnsi="Arial"/>
                <w:sz w:val="20"/>
                <w:szCs w:val="20"/>
                <w:u w:val="single" w:color="auto"/>
                <w:color w:val="0000EE"/>
                <w:w w:val="89"/>
              </w:rPr>
            </w:pPr>
            <w:hyperlink w:anchor="page55">
              <w:r>
                <w:rPr>
                  <w:rFonts w:ascii="Arial" w:cs="Arial" w:eastAsia="Arial" w:hAnsi="Arial"/>
                  <w:sz w:val="20"/>
                  <w:szCs w:val="20"/>
                  <w:u w:val="single" w:color="auto"/>
                  <w:color w:val="0000EE"/>
                  <w:w w:val="89"/>
                </w:rPr>
                <w:t>54</w:t>
              </w:r>
            </w:hyperlink>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29, 2020</w:t>
            </w:r>
          </w:p>
        </w:tc>
        <w:tc>
          <w:tcPr>
            <w:tcW w:w="200" w:type="dxa"/>
            <w:vAlign w:val="bottom"/>
          </w:tcPr>
          <w:p>
            <w:pPr>
              <w:spacing w:after="0"/>
              <w:rPr>
                <w:sz w:val="17"/>
                <w:szCs w:val="17"/>
                <w:color w:val="auto"/>
              </w:rPr>
            </w:pPr>
          </w:p>
        </w:tc>
        <w:tc>
          <w:tcPr>
            <w:tcW w:w="1700" w:type="dxa"/>
            <w:vAlign w:val="bottom"/>
          </w:tcPr>
          <w:p>
            <w:pPr>
              <w:jc w:val="right"/>
              <w:ind w:right="179"/>
              <w:spacing w:after="0"/>
              <w:rPr>
                <w:sz w:val="20"/>
                <w:szCs w:val="20"/>
                <w:color w:val="auto"/>
              </w:rPr>
            </w:pPr>
            <w:r>
              <w:rPr>
                <w:rFonts w:ascii="Arial" w:cs="Arial" w:eastAsia="Arial" w:hAnsi="Arial"/>
                <w:sz w:val="14"/>
                <w:szCs w:val="14"/>
                <w:b w:val="1"/>
                <w:bCs w:val="1"/>
                <w:color w:val="auto"/>
              </w:rPr>
              <w:t>DECEMBER 29, 2019</w:t>
            </w:r>
          </w:p>
        </w:tc>
        <w:tc>
          <w:tcPr>
            <w:tcW w:w="0" w:type="dxa"/>
            <w:vAlign w:val="bottom"/>
          </w:tcPr>
          <w:p>
            <w:pPr>
              <w:spacing w:after="0"/>
              <w:rPr>
                <w:sz w:val="1"/>
                <w:szCs w:val="1"/>
                <w:color w:val="auto"/>
              </w:rPr>
            </w:pPr>
          </w:p>
        </w:tc>
      </w:tr>
      <w:tr>
        <w:trPr>
          <w:trHeight w:val="237"/>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67,145</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68,087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86,861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 net</w:t>
            </w:r>
          </w:p>
        </w:tc>
        <w:tc>
          <w:tcPr>
            <w:tcW w:w="30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100,964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186,462</w:t>
            </w:r>
          </w:p>
        </w:tc>
        <w:tc>
          <w:tcPr>
            <w:tcW w:w="0" w:type="dxa"/>
            <w:vAlign w:val="bottom"/>
          </w:tcPr>
          <w:p>
            <w:pPr>
              <w:spacing w:after="0"/>
              <w:rPr>
                <w:sz w:val="1"/>
                <w:szCs w:val="1"/>
                <w:color w:val="auto"/>
              </w:rPr>
            </w:pPr>
          </w:p>
        </w:tc>
      </w:tr>
      <w:tr>
        <w:trPr>
          <w:trHeight w:val="223"/>
        </w:trPr>
        <w:tc>
          <w:tcPr>
            <w:tcW w:w="720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572,446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340,468</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fixtures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996,091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1,036,077</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1,249,750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1,266,548</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288,439</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3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468,082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470,615</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73,426</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 net</w:t>
            </w:r>
          </w:p>
        </w:tc>
        <w:tc>
          <w:tcPr>
            <w:tcW w:w="3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101,734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117,110</w:t>
            </w: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3,766,601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3,592,683</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0"/>
              <w:spacing w:after="0"/>
              <w:rPr>
                <w:sz w:val="20"/>
                <w:szCs w:val="20"/>
                <w:color w:val="auto"/>
              </w:rPr>
            </w:pPr>
            <w:r>
              <w:rPr>
                <w:rFonts w:ascii="Arial" w:cs="Arial" w:eastAsia="Arial" w:hAnsi="Arial"/>
                <w:sz w:val="16"/>
                <w:szCs w:val="16"/>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141,221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174,877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and 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378,357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391,451</w:t>
            </w:r>
          </w:p>
        </w:tc>
        <w:tc>
          <w:tcPr>
            <w:tcW w:w="0" w:type="dxa"/>
            <w:vAlign w:val="bottom"/>
          </w:tcPr>
          <w:p>
            <w:pPr>
              <w:spacing w:after="0"/>
              <w:rPr>
                <w:sz w:val="1"/>
                <w:szCs w:val="1"/>
                <w:color w:val="auto"/>
              </w:rPr>
            </w:pPr>
          </w:p>
        </w:tc>
      </w:tr>
      <w:tr>
        <w:trPr>
          <w:trHeight w:val="223"/>
        </w:trPr>
        <w:tc>
          <w:tcPr>
            <w:tcW w:w="7200" w:type="dxa"/>
            <w:vAlign w:val="bottom"/>
          </w:tcPr>
          <w:p>
            <w:pPr>
              <w:ind w:left="180"/>
              <w:spacing w:after="0"/>
              <w:rPr>
                <w:sz w:val="20"/>
                <w:szCs w:val="20"/>
                <w:color w:val="auto"/>
              </w:rPr>
            </w:pPr>
            <w:r>
              <w:rPr>
                <w:rFonts w:ascii="Arial" w:cs="Arial" w:eastAsia="Arial" w:hAnsi="Arial"/>
                <w:sz w:val="16"/>
                <w:szCs w:val="16"/>
                <w:color w:val="auto"/>
              </w:rPr>
              <w:t>Unearned revenue</w:t>
            </w:r>
          </w:p>
        </w:tc>
        <w:tc>
          <w:tcPr>
            <w:tcW w:w="30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289,085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369,282</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29,367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26,411</w:t>
            </w:r>
          </w:p>
        </w:tc>
        <w:tc>
          <w:tcPr>
            <w:tcW w:w="0" w:type="dxa"/>
            <w:vAlign w:val="bottom"/>
          </w:tcPr>
          <w:p>
            <w:pPr>
              <w:spacing w:after="0"/>
              <w:rPr>
                <w:sz w:val="1"/>
                <w:szCs w:val="1"/>
                <w:color w:val="auto"/>
              </w:rPr>
            </w:pPr>
          </w:p>
        </w:tc>
      </w:tr>
      <w:tr>
        <w:trPr>
          <w:trHeight w:val="223"/>
        </w:trPr>
        <w:tc>
          <w:tcPr>
            <w:tcW w:w="720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838,030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962,021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1,281,372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1,279,051</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Deferred income tax liabilities</w:t>
            </w:r>
          </w:p>
        </w:tc>
        <w:tc>
          <w:tcPr>
            <w:tcW w:w="3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9,151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13,777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1,389,273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1,022,293</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long-term liabilities, net</w:t>
            </w:r>
          </w:p>
        </w:tc>
        <w:tc>
          <w:tcPr>
            <w:tcW w:w="3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148,632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138,060</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3,666,458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3,415,202</w:t>
            </w:r>
          </w:p>
        </w:tc>
        <w:tc>
          <w:tcPr>
            <w:tcW w:w="0" w:type="dxa"/>
            <w:vAlign w:val="bottom"/>
          </w:tcPr>
          <w:p>
            <w:pPr>
              <w:spacing w:after="0"/>
              <w:rPr>
                <w:sz w:val="1"/>
                <w:szCs w:val="1"/>
                <w:color w:val="auto"/>
              </w:rPr>
            </w:pPr>
          </w:p>
        </w:tc>
      </w:tr>
      <w:tr>
        <w:trPr>
          <w:trHeight w:val="217"/>
        </w:trPr>
        <w:tc>
          <w:tcPr>
            <w:tcW w:w="7200" w:type="dxa"/>
            <w:vAlign w:val="bottom"/>
          </w:tcPr>
          <w:p>
            <w:pPr>
              <w:ind w:left="40"/>
              <w:spacing w:after="0"/>
              <w:rPr>
                <w:sz w:val="20"/>
                <w:szCs w:val="20"/>
                <w:color w:val="auto"/>
              </w:rPr>
            </w:pPr>
            <w:r>
              <w:rPr>
                <w:rFonts w:ascii="Arial" w:cs="Arial" w:eastAsia="Arial" w:hAnsi="Arial"/>
                <w:sz w:val="16"/>
                <w:szCs w:val="16"/>
                <w:color w:val="auto"/>
              </w:rPr>
              <w:t>Commitments and contingencies (Note 18)</w:t>
            </w: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Bloomin’ Brands stockholders’ equity</w:t>
            </w: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2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Preferred stock, $0.01 par value, 25,000,000 shares authorized; no shares issued and outstanding as of</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March 29, 2020 and December 29, 2019</w:t>
            </w:r>
          </w:p>
        </w:tc>
        <w:tc>
          <w:tcPr>
            <w:tcW w:w="3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200" w:type="dxa"/>
            <w:vAlign w:val="bottom"/>
          </w:tcPr>
          <w:p>
            <w:pPr>
              <w:ind w:left="380"/>
              <w:spacing w:after="0"/>
              <w:rPr>
                <w:sz w:val="20"/>
                <w:szCs w:val="20"/>
                <w:color w:val="auto"/>
              </w:rPr>
            </w:pPr>
            <w:r>
              <w:rPr>
                <w:rFonts w:ascii="Arial" w:cs="Arial" w:eastAsia="Arial" w:hAnsi="Arial"/>
                <w:sz w:val="16"/>
                <w:szCs w:val="16"/>
                <w:color w:val="auto"/>
                <w:w w:val="95"/>
              </w:rPr>
              <w:t>Common stock, $0.01 par value, 475,000,000 shares authorized; 87,416,867 and 86,945,869 shares</w:t>
            </w: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380"/>
              <w:spacing w:after="0"/>
              <w:rPr>
                <w:sz w:val="20"/>
                <w:szCs w:val="20"/>
                <w:color w:val="auto"/>
              </w:rPr>
            </w:pPr>
            <w:r>
              <w:rPr>
                <w:rFonts w:ascii="Arial" w:cs="Arial" w:eastAsia="Arial" w:hAnsi="Arial"/>
                <w:sz w:val="16"/>
                <w:szCs w:val="16"/>
                <w:color w:val="auto"/>
              </w:rPr>
              <w:t>issued and outstanding as of March 29, 2020 and December 29, 2019, respectively</w:t>
            </w:r>
          </w:p>
        </w:tc>
        <w:tc>
          <w:tcPr>
            <w:tcW w:w="300" w:type="dxa"/>
            <w:vAlign w:val="bottom"/>
          </w:tcPr>
          <w:p>
            <w:pPr>
              <w:spacing w:after="0"/>
              <w:rPr>
                <w:sz w:val="17"/>
                <w:szCs w:val="17"/>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1,074,081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1,094,338</w:t>
            </w: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Accumulated deficit</w:t>
            </w: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(793,992)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(755,089)</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(169,776)</w:t>
            </w:r>
          </w:p>
        </w:tc>
        <w:tc>
          <w:tcPr>
            <w:tcW w:w="0" w:type="dxa"/>
            <w:vAlign w:val="bottom"/>
          </w:tcPr>
          <w:p>
            <w:pPr>
              <w:spacing w:after="0"/>
              <w:rPr>
                <w:sz w:val="1"/>
                <w:szCs w:val="1"/>
                <w:color w:val="auto"/>
              </w:rPr>
            </w:pPr>
          </w:p>
        </w:tc>
      </w:tr>
      <w:tr>
        <w:trPr>
          <w:trHeight w:val="223"/>
        </w:trPr>
        <w:tc>
          <w:tcPr>
            <w:tcW w:w="7200" w:type="dxa"/>
            <w:vAlign w:val="bottom"/>
          </w:tcPr>
          <w:p>
            <w:pPr>
              <w:ind w:left="720"/>
              <w:spacing w:after="0"/>
              <w:rPr>
                <w:sz w:val="20"/>
                <w:szCs w:val="20"/>
                <w:color w:val="auto"/>
              </w:rPr>
            </w:pPr>
            <w:r>
              <w:rPr>
                <w:rFonts w:ascii="Arial" w:cs="Arial" w:eastAsia="Arial" w:hAnsi="Arial"/>
                <w:sz w:val="16"/>
                <w:szCs w:val="16"/>
                <w:color w:val="auto"/>
              </w:rPr>
              <w:t>Total Bloomin’ Brands stockholders’ equity</w:t>
            </w:r>
          </w:p>
        </w:tc>
        <w:tc>
          <w:tcPr>
            <w:tcW w:w="30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91,950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170,342</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7,139</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100,143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177,481</w:t>
            </w: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3,766,601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3,592,683</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900" w:h="16838" w:orient="portrait"/>
          <w:cols w:equalWidth="0" w:num="1">
            <w:col w:w="11240"/>
          </w:cols>
          <w:pgMar w:left="320" w:top="122" w:right="3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(LOSS) INCOME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64"/>
        </w:trPr>
        <w:tc>
          <w:tcPr>
            <w:tcW w:w="8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MARCH 29, 2020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9"/>
              </w:rPr>
              <w:t>MARCH 31, 2019</w:t>
            </w:r>
          </w:p>
        </w:tc>
        <w:tc>
          <w:tcPr>
            <w:tcW w:w="0" w:type="dxa"/>
            <w:vAlign w:val="bottom"/>
          </w:tcPr>
          <w:p>
            <w:pPr>
              <w:spacing w:after="0"/>
              <w:rPr>
                <w:sz w:val="1"/>
                <w:szCs w:val="1"/>
                <w:color w:val="auto"/>
              </w:rPr>
            </w:pPr>
          </w:p>
        </w:tc>
      </w:tr>
      <w:tr>
        <w:trPr>
          <w:trHeight w:val="23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996,237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1,111,642</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12,100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16,489</w:t>
            </w:r>
          </w:p>
        </w:tc>
        <w:tc>
          <w:tcPr>
            <w:tcW w:w="0" w:type="dxa"/>
            <w:vAlign w:val="bottom"/>
          </w:tcPr>
          <w:p>
            <w:pPr>
              <w:spacing w:after="0"/>
              <w:rPr>
                <w:sz w:val="1"/>
                <w:szCs w:val="1"/>
                <w:color w:val="auto"/>
              </w:rPr>
            </w:pPr>
          </w:p>
        </w:tc>
      </w:tr>
      <w:tr>
        <w:trPr>
          <w:trHeight w:val="270"/>
        </w:trPr>
        <w:tc>
          <w:tcPr>
            <w:tcW w:w="822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1,008,337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1,128,131</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319,693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352,111</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Labor and other related</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309,269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319,015</w:t>
            </w:r>
          </w:p>
        </w:tc>
        <w:tc>
          <w:tcPr>
            <w:tcW w:w="0" w:type="dxa"/>
            <w:vAlign w:val="bottom"/>
          </w:tcPr>
          <w:p>
            <w:pPr>
              <w:spacing w:after="0"/>
              <w:rPr>
                <w:sz w:val="1"/>
                <w:szCs w:val="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Other restaurant operating</w:t>
            </w: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246,555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250,854</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48,268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49,482</w:t>
            </w:r>
          </w:p>
        </w:tc>
        <w:tc>
          <w:tcPr>
            <w:tcW w:w="0" w:type="dxa"/>
            <w:vAlign w:val="bottom"/>
          </w:tcPr>
          <w:p>
            <w:pPr>
              <w:spacing w:after="0"/>
              <w:rPr>
                <w:sz w:val="1"/>
                <w:szCs w:val="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84,802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70,589</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impaired assets and restaurant closings</w:t>
            </w: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41,318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3,586</w:t>
            </w:r>
          </w:p>
        </w:tc>
        <w:tc>
          <w:tcPr>
            <w:tcW w:w="0" w:type="dxa"/>
            <w:vAlign w:val="bottom"/>
          </w:tcPr>
          <w:p>
            <w:pPr>
              <w:spacing w:after="0"/>
              <w:rPr>
                <w:sz w:val="1"/>
                <w:szCs w:val="1"/>
                <w:color w:val="auto"/>
              </w:rPr>
            </w:pPr>
          </w:p>
        </w:tc>
      </w:tr>
      <w:tr>
        <w:trPr>
          <w:trHeight w:val="270"/>
        </w:trPr>
        <w:tc>
          <w:tcPr>
            <w:tcW w:w="822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1,049,905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1,045,637</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(41,568)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82,494</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Other expense, net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(11,181)</w:t>
            </w:r>
          </w:p>
        </w:tc>
        <w:tc>
          <w:tcPr>
            <w:tcW w:w="0" w:type="dxa"/>
            <w:vAlign w:val="bottom"/>
          </w:tcPr>
          <w:p>
            <w:pPr>
              <w:spacing w:after="0"/>
              <w:rPr>
                <w:sz w:val="1"/>
                <w:szCs w:val="1"/>
                <w:color w:val="auto"/>
              </w:rPr>
            </w:pPr>
          </w:p>
        </w:tc>
      </w:tr>
      <w:tr>
        <w:trPr>
          <w:trHeight w:val="223"/>
        </w:trPr>
        <w:tc>
          <w:tcPr>
            <w:tcW w:w="8220" w:type="dxa"/>
            <w:vAlign w:val="bottom"/>
          </w:tcPr>
          <w:p>
            <w:pPr>
              <w:ind w:left="40"/>
              <w:spacing w:after="0"/>
              <w:rPr>
                <w:sz w:val="20"/>
                <w:szCs w:val="20"/>
                <w:color w:val="auto"/>
              </w:rPr>
            </w:pPr>
            <w:r>
              <w:rPr>
                <w:rFonts w:ascii="Arial" w:cs="Arial" w:eastAsia="Arial" w:hAnsi="Arial"/>
                <w:sz w:val="16"/>
                <w:szCs w:val="16"/>
                <w:color w:val="auto"/>
              </w:rPr>
              <w:t>(Loss) income before (benefit) provision for income taxes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(54,069)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71,145</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(19,655)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5,496</w:t>
            </w:r>
          </w:p>
        </w:tc>
        <w:tc>
          <w:tcPr>
            <w:tcW w:w="0" w:type="dxa"/>
            <w:vAlign w:val="bottom"/>
          </w:tcPr>
          <w:p>
            <w:pPr>
              <w:spacing w:after="0"/>
              <w:rPr>
                <w:sz w:val="1"/>
                <w:szCs w:val="1"/>
                <w:color w:val="auto"/>
              </w:rPr>
            </w:pPr>
          </w:p>
        </w:tc>
      </w:tr>
      <w:tr>
        <w:trPr>
          <w:trHeight w:val="223"/>
        </w:trPr>
        <w:tc>
          <w:tcPr>
            <w:tcW w:w="822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(34,414)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65,649</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income attributable to noncontrolling interests</w:t>
            </w: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270"/>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income attributable to Bloomin’ Brands</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(34,611)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64,300</w:t>
            </w:r>
          </w:p>
        </w:tc>
        <w:tc>
          <w:tcPr>
            <w:tcW w:w="0" w:type="dxa"/>
            <w:vAlign w:val="bottom"/>
          </w:tcPr>
          <w:p>
            <w:pPr>
              <w:spacing w:after="0"/>
              <w:rPr>
                <w:sz w:val="1"/>
                <w:szCs w:val="1"/>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Redemption of preferred stock in excess of carrying value</w:t>
            </w: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0"/>
        </w:trPr>
        <w:tc>
          <w:tcPr>
            <w:tcW w:w="8220" w:type="dxa"/>
            <w:vAlign w:val="bottom"/>
          </w:tcPr>
          <w:p>
            <w:pPr>
              <w:ind w:left="40"/>
              <w:spacing w:after="0"/>
              <w:rPr>
                <w:sz w:val="20"/>
                <w:szCs w:val="20"/>
                <w:color w:val="auto"/>
              </w:rPr>
            </w:pPr>
            <w:r>
              <w:rPr>
                <w:rFonts w:ascii="Arial" w:cs="Arial" w:eastAsia="Arial" w:hAnsi="Arial"/>
                <w:sz w:val="16"/>
                <w:szCs w:val="16"/>
                <w:color w:val="auto"/>
              </w:rPr>
              <w:t>Net (loss) income attributable to common stockholders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(38,107)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64,300</w:t>
            </w:r>
          </w:p>
        </w:tc>
        <w:tc>
          <w:tcPr>
            <w:tcW w:w="0" w:type="dxa"/>
            <w:vAlign w:val="bottom"/>
          </w:tcPr>
          <w:p>
            <w:pPr>
              <w:spacing w:after="0"/>
              <w:rPr>
                <w:sz w:val="1"/>
                <w:szCs w:val="1"/>
                <w:color w:val="auto"/>
              </w:rPr>
            </w:pPr>
          </w:p>
        </w:tc>
      </w:tr>
      <w:tr>
        <w:trPr>
          <w:trHeight w:val="270"/>
        </w:trPr>
        <w:tc>
          <w:tcPr>
            <w:tcW w:w="82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(34,414)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65,649</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income: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5,755</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Unrealized loss on derivatives,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(4,381)</w:t>
            </w:r>
          </w:p>
        </w:tc>
        <w:tc>
          <w:tcPr>
            <w:tcW w:w="0" w:type="dxa"/>
            <w:vAlign w:val="bottom"/>
          </w:tcPr>
          <w:p>
            <w:pPr>
              <w:spacing w:after="0"/>
              <w:rPr>
                <w:sz w:val="1"/>
                <w:szCs w:val="1"/>
                <w:color w:val="auto"/>
              </w:rPr>
            </w:pPr>
          </w:p>
        </w:tc>
      </w:tr>
      <w:tr>
        <w:trPr>
          <w:trHeight w:val="270"/>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Reclassification of adjustment for loss (gain) on derivatives included in Net (loss) income, net of tax</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1,396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income</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(54,315)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66,659</w:t>
            </w:r>
          </w:p>
        </w:tc>
        <w:tc>
          <w:tcPr>
            <w:tcW w:w="0" w:type="dxa"/>
            <w:vAlign w:val="bottom"/>
          </w:tcPr>
          <w:p>
            <w:pPr>
              <w:spacing w:after="0"/>
              <w:rPr>
                <w:sz w:val="1"/>
                <w:szCs w:val="1"/>
                <w:color w:val="auto"/>
              </w:rPr>
            </w:pPr>
          </w:p>
        </w:tc>
      </w:tr>
      <w:tr>
        <w:trPr>
          <w:trHeight w:val="270"/>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comprehensive (loss) income attributable to noncontrolling interests</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1,257</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(loss) income attributable to Bloomin’ Brands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65,402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per share attributable to common stockholders: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37"/>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87,129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91,415</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87,129</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92,661</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900" w:h="16838" w:orient="portrait"/>
          <w:cols w:equalWidth="0" w:num="1">
            <w:col w:w="11240"/>
          </w:cols>
          <w:pgMar w:left="320" w:top="122" w:right="3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BLOOMIN’ BRANDS, INC.</w:t>
            </w: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rPr>
                <w:sz w:val="13"/>
                <w:szCs w:val="13"/>
                <w:color w:val="auto"/>
              </w:rPr>
            </w:pPr>
          </w:p>
        </w:tc>
        <w:tc>
          <w:tcPr>
            <w:tcW w:w="194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w:t>
            </w:r>
          </w:p>
        </w:tc>
        <w:tc>
          <w:tcPr>
            <w:tcW w:w="160" w:type="dxa"/>
            <w:vAlign w:val="bottom"/>
          </w:tcPr>
          <w:p>
            <w:pPr>
              <w:spacing w:after="0"/>
              <w:rPr>
                <w:sz w:val="13"/>
                <w:szCs w:val="13"/>
                <w:color w:val="auto"/>
              </w:rPr>
            </w:pPr>
          </w:p>
        </w:tc>
        <w:tc>
          <w:tcPr>
            <w:tcW w:w="16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94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380" w:type="dxa"/>
            <w:vAlign w:val="bottom"/>
          </w:tcPr>
          <w:p>
            <w:pPr>
              <w:spacing w:after="0"/>
              <w:rPr>
                <w:sz w:val="9"/>
                <w:szCs w:val="9"/>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9"/>
                <w:szCs w:val="9"/>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9"/>
                <w:szCs w:val="9"/>
                <w:color w:val="auto"/>
              </w:rPr>
            </w:pPr>
          </w:p>
        </w:tc>
        <w:tc>
          <w:tcPr>
            <w:tcW w:w="1020" w:type="dxa"/>
            <w:vAlign w:val="bottom"/>
            <w:gridSpan w:val="2"/>
          </w:tcPr>
          <w:p>
            <w:pPr>
              <w:ind w:left="80"/>
              <w:spacing w:after="0" w:line="113" w:lineRule="exact"/>
              <w:rPr>
                <w:sz w:val="20"/>
                <w:szCs w:val="20"/>
                <w:color w:val="auto"/>
              </w:rPr>
            </w:pPr>
            <w:r>
              <w:rPr>
                <w:rFonts w:ascii="Arial" w:cs="Arial" w:eastAsia="Arial" w:hAnsi="Arial"/>
                <w:sz w:val="13"/>
                <w:szCs w:val="13"/>
                <w:b w:val="1"/>
                <w:bCs w:val="1"/>
                <w:color w:val="auto"/>
              </w:rPr>
              <w:t>ULATED</w:t>
            </w:r>
          </w:p>
        </w:tc>
        <w:tc>
          <w:tcPr>
            <w:tcW w:w="160" w:type="dxa"/>
            <w:vAlign w:val="bottom"/>
          </w:tcPr>
          <w:p>
            <w:pPr>
              <w:spacing w:after="0"/>
              <w:rPr>
                <w:sz w:val="9"/>
                <w:szCs w:val="9"/>
                <w:color w:val="auto"/>
              </w:rPr>
            </w:pPr>
          </w:p>
        </w:tc>
        <w:tc>
          <w:tcPr>
            <w:tcW w:w="162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COMPREHENSIVE</w:t>
            </w:r>
          </w:p>
        </w:tc>
        <w:tc>
          <w:tcPr>
            <w:tcW w:w="160" w:type="dxa"/>
            <w:vAlign w:val="bottom"/>
          </w:tcPr>
          <w:p>
            <w:pPr>
              <w:spacing w:after="0"/>
              <w:rPr>
                <w:sz w:val="9"/>
                <w:szCs w:val="9"/>
                <w:color w:val="auto"/>
              </w:rPr>
            </w:pPr>
          </w:p>
        </w:tc>
        <w:tc>
          <w:tcPr>
            <w:tcW w:w="140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9"/>
                <w:szCs w:val="9"/>
                <w:color w:val="auto"/>
              </w:rPr>
            </w:pPr>
          </w:p>
        </w:tc>
        <w:tc>
          <w:tcPr>
            <w:tcW w:w="7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3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LOSS</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29, 2019</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86,946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1,094,338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(755,089)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(169,776)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177,481</w:t>
            </w:r>
          </w:p>
        </w:tc>
        <w:tc>
          <w:tcPr>
            <w:tcW w:w="0" w:type="dxa"/>
            <w:vAlign w:val="bottom"/>
          </w:tcPr>
          <w:p>
            <w:pPr>
              <w:spacing w:after="0"/>
              <w:rPr>
                <w:sz w:val="1"/>
                <w:szCs w:val="1"/>
                <w:color w:val="auto"/>
              </w:rPr>
            </w:pPr>
          </w:p>
        </w:tc>
      </w:tr>
      <w:tr>
        <w:trPr>
          <w:trHeight w:val="220"/>
        </w:trPr>
        <w:tc>
          <w:tcPr>
            <w:tcW w:w="2380" w:type="dxa"/>
            <w:vAlign w:val="bottom"/>
          </w:tcPr>
          <w:p>
            <w:pPr>
              <w:ind w:left="40"/>
              <w:spacing w:after="0"/>
              <w:rPr>
                <w:sz w:val="20"/>
                <w:szCs w:val="20"/>
                <w:color w:val="auto"/>
              </w:rPr>
            </w:pPr>
            <w:r>
              <w:rPr>
                <w:rFonts w:ascii="Arial" w:cs="Arial" w:eastAsia="Arial" w:hAnsi="Arial"/>
                <w:sz w:val="16"/>
                <w:szCs w:val="16"/>
                <w:color w:val="auto"/>
              </w:rPr>
              <w:t>Cumulative-effect from a change</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80" w:type="dxa"/>
            <w:vAlign w:val="bottom"/>
          </w:tcPr>
          <w:p>
            <w:pPr>
              <w:ind w:left="40"/>
              <w:spacing w:after="0"/>
              <w:rPr>
                <w:sz w:val="20"/>
                <w:szCs w:val="20"/>
                <w:color w:val="auto"/>
              </w:rPr>
            </w:pPr>
            <w:r>
              <w:rPr>
                <w:rFonts w:ascii="Arial" w:cs="Arial" w:eastAsia="Arial" w:hAnsi="Arial"/>
                <w:sz w:val="16"/>
                <w:szCs w:val="16"/>
                <w:color w:val="auto"/>
                <w:w w:val="99"/>
              </w:rPr>
              <w:t>in accounting principle, net of tax</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(4,292)</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(34,414)</w:t>
            </w:r>
          </w:p>
        </w:tc>
        <w:tc>
          <w:tcPr>
            <w:tcW w:w="0" w:type="dxa"/>
            <w:vAlign w:val="bottom"/>
          </w:tcPr>
          <w:p>
            <w:pPr>
              <w:spacing w:after="0"/>
              <w:rPr>
                <w:sz w:val="1"/>
                <w:szCs w:val="1"/>
                <w:color w:val="auto"/>
              </w:rPr>
            </w:pPr>
          </w:p>
        </w:tc>
      </w:tr>
      <w:tr>
        <w:trPr>
          <w:trHeight w:val="220"/>
        </w:trPr>
        <w:tc>
          <w:tcPr>
            <w:tcW w:w="2380" w:type="dxa"/>
            <w:vAlign w:val="bottom"/>
          </w:tcPr>
          <w:p>
            <w:pPr>
              <w:ind w:left="40"/>
              <w:spacing w:after="0"/>
              <w:rPr>
                <w:sz w:val="20"/>
                <w:szCs w:val="20"/>
                <w:color w:val="auto"/>
              </w:rPr>
            </w:pPr>
            <w:r>
              <w:rPr>
                <w:rFonts w:ascii="Arial" w:cs="Arial" w:eastAsia="Arial" w:hAnsi="Arial"/>
                <w:sz w:val="16"/>
                <w:szCs w:val="16"/>
                <w:color w:val="auto"/>
                <w:w w:val="98"/>
              </w:rPr>
              <w:t>Other comprehensive loss, net of</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80" w:type="dxa"/>
            <w:vAlign w:val="bottom"/>
          </w:tcPr>
          <w:p>
            <w:pPr>
              <w:ind w:left="40"/>
              <w:spacing w:after="0"/>
              <w:rPr>
                <w:sz w:val="20"/>
                <w:szCs w:val="20"/>
                <w:color w:val="auto"/>
              </w:rPr>
            </w:pPr>
            <w:r>
              <w:rPr>
                <w:rFonts w:ascii="Arial" w:cs="Arial" w:eastAsia="Arial" w:hAnsi="Arial"/>
                <w:sz w:val="16"/>
                <w:szCs w:val="16"/>
                <w:color w:val="auto"/>
              </w:rPr>
              <w:t>tax</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(19,754)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(19,901)</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Cash dividends declared, $0.20 per</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share</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(17,480)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(17,480)</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3,289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3,289</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Consideration for preferred stock</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in excess of carrying value, net of</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1,261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220"/>
        </w:trPr>
        <w:tc>
          <w:tcPr>
            <w:tcW w:w="2380" w:type="dxa"/>
            <w:vAlign w:val="bottom"/>
          </w:tcPr>
          <w:p>
            <w:pPr>
              <w:ind w:left="40"/>
              <w:spacing w:after="0"/>
              <w:rPr>
                <w:sz w:val="20"/>
                <w:szCs w:val="20"/>
                <w:color w:val="auto"/>
              </w:rPr>
            </w:pPr>
            <w:r>
              <w:rPr>
                <w:rFonts w:ascii="Arial" w:cs="Arial" w:eastAsia="Arial" w:hAnsi="Arial"/>
                <w:sz w:val="16"/>
                <w:szCs w:val="16"/>
                <w:color w:val="auto"/>
                <w:w w:val="94"/>
              </w:rPr>
              <w:t>Common stock issued under stock</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80" w:type="dxa"/>
            <w:vAlign w:val="bottom"/>
          </w:tcPr>
          <w:p>
            <w:pPr>
              <w:ind w:left="40"/>
              <w:spacing w:after="0"/>
              <w:rPr>
                <w:sz w:val="20"/>
                <w:szCs w:val="20"/>
                <w:color w:val="auto"/>
              </w:rPr>
            </w:pPr>
            <w:r>
              <w:rPr>
                <w:rFonts w:ascii="Arial" w:cs="Arial" w:eastAsia="Arial" w:hAnsi="Arial"/>
                <w:sz w:val="16"/>
                <w:szCs w:val="16"/>
                <w:color w:val="auto"/>
              </w:rPr>
              <w:t>plans (1)</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(2,508)</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noncontrolling</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20"/>
        </w:trPr>
        <w:tc>
          <w:tcPr>
            <w:tcW w:w="2380" w:type="dxa"/>
            <w:vAlign w:val="bottom"/>
          </w:tcPr>
          <w:p>
            <w:pPr>
              <w:ind w:left="40"/>
              <w:spacing w:after="0"/>
              <w:rPr>
                <w:sz w:val="20"/>
                <w:szCs w:val="20"/>
                <w:color w:val="auto"/>
              </w:rPr>
            </w:pPr>
            <w:r>
              <w:rPr>
                <w:rFonts w:ascii="Arial" w:cs="Arial" w:eastAsia="Arial" w:hAnsi="Arial"/>
                <w:sz w:val="16"/>
                <w:szCs w:val="16"/>
                <w:color w:val="auto"/>
              </w:rPr>
              <w:t>Distributions to noncontrolling</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8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Contributions from noncontrolling</w:t>
            </w: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33"/>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0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38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Balance, March 29, 2020</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87,417</w:t>
            </w: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874</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1,074,081</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(793,992)</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(189,013)</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8,193</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100,143</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3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BLOOMIN’ BRANDS, INC.</w:t>
            </w: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rPr>
                <w:sz w:val="13"/>
                <w:szCs w:val="13"/>
                <w:color w:val="auto"/>
              </w:rPr>
            </w:pPr>
          </w:p>
        </w:tc>
        <w:tc>
          <w:tcPr>
            <w:tcW w:w="194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w:t>
            </w:r>
          </w:p>
        </w:tc>
        <w:tc>
          <w:tcPr>
            <w:tcW w:w="160" w:type="dxa"/>
            <w:vAlign w:val="bottom"/>
          </w:tcPr>
          <w:p>
            <w:pPr>
              <w:spacing w:after="0"/>
              <w:rPr>
                <w:sz w:val="13"/>
                <w:szCs w:val="13"/>
                <w:color w:val="auto"/>
              </w:rPr>
            </w:pPr>
          </w:p>
        </w:tc>
        <w:tc>
          <w:tcPr>
            <w:tcW w:w="16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94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380" w:type="dxa"/>
            <w:vAlign w:val="bottom"/>
          </w:tcPr>
          <w:p>
            <w:pPr>
              <w:spacing w:after="0"/>
              <w:rPr>
                <w:sz w:val="9"/>
                <w:szCs w:val="9"/>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9"/>
                <w:szCs w:val="9"/>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9"/>
                <w:szCs w:val="9"/>
                <w:color w:val="auto"/>
              </w:rPr>
            </w:pPr>
          </w:p>
        </w:tc>
        <w:tc>
          <w:tcPr>
            <w:tcW w:w="1020" w:type="dxa"/>
            <w:vAlign w:val="bottom"/>
            <w:gridSpan w:val="2"/>
          </w:tcPr>
          <w:p>
            <w:pPr>
              <w:ind w:left="80"/>
              <w:spacing w:after="0" w:line="113" w:lineRule="exact"/>
              <w:rPr>
                <w:sz w:val="20"/>
                <w:szCs w:val="20"/>
                <w:color w:val="auto"/>
              </w:rPr>
            </w:pPr>
            <w:r>
              <w:rPr>
                <w:rFonts w:ascii="Arial" w:cs="Arial" w:eastAsia="Arial" w:hAnsi="Arial"/>
                <w:sz w:val="13"/>
                <w:szCs w:val="13"/>
                <w:b w:val="1"/>
                <w:bCs w:val="1"/>
                <w:color w:val="auto"/>
              </w:rPr>
              <w:t>ULATED</w:t>
            </w:r>
          </w:p>
        </w:tc>
        <w:tc>
          <w:tcPr>
            <w:tcW w:w="160" w:type="dxa"/>
            <w:vAlign w:val="bottom"/>
          </w:tcPr>
          <w:p>
            <w:pPr>
              <w:spacing w:after="0"/>
              <w:rPr>
                <w:sz w:val="9"/>
                <w:szCs w:val="9"/>
                <w:color w:val="auto"/>
              </w:rPr>
            </w:pPr>
          </w:p>
        </w:tc>
        <w:tc>
          <w:tcPr>
            <w:tcW w:w="162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COMPREHENSIVE</w:t>
            </w:r>
          </w:p>
        </w:tc>
        <w:tc>
          <w:tcPr>
            <w:tcW w:w="160" w:type="dxa"/>
            <w:vAlign w:val="bottom"/>
          </w:tcPr>
          <w:p>
            <w:pPr>
              <w:spacing w:after="0"/>
              <w:rPr>
                <w:sz w:val="9"/>
                <w:szCs w:val="9"/>
                <w:color w:val="auto"/>
              </w:rPr>
            </w:pPr>
          </w:p>
        </w:tc>
        <w:tc>
          <w:tcPr>
            <w:tcW w:w="140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9"/>
                <w:szCs w:val="9"/>
                <w:color w:val="auto"/>
              </w:rPr>
            </w:pPr>
          </w:p>
        </w:tc>
        <w:tc>
          <w:tcPr>
            <w:tcW w:w="7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3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LOSS</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30, 2018</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91,272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1,107,582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(920,010)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54,817</w:t>
            </w:r>
          </w:p>
        </w:tc>
        <w:tc>
          <w:tcPr>
            <w:tcW w:w="0" w:type="dxa"/>
            <w:vAlign w:val="bottom"/>
          </w:tcPr>
          <w:p>
            <w:pPr>
              <w:spacing w:after="0"/>
              <w:rPr>
                <w:sz w:val="1"/>
                <w:szCs w:val="1"/>
                <w:color w:val="auto"/>
              </w:rPr>
            </w:pPr>
          </w:p>
        </w:tc>
      </w:tr>
      <w:tr>
        <w:trPr>
          <w:trHeight w:val="220"/>
        </w:trPr>
        <w:tc>
          <w:tcPr>
            <w:tcW w:w="2380" w:type="dxa"/>
            <w:vAlign w:val="bottom"/>
          </w:tcPr>
          <w:p>
            <w:pPr>
              <w:ind w:left="40"/>
              <w:spacing w:after="0"/>
              <w:rPr>
                <w:sz w:val="20"/>
                <w:szCs w:val="20"/>
                <w:color w:val="auto"/>
              </w:rPr>
            </w:pPr>
            <w:r>
              <w:rPr>
                <w:rFonts w:ascii="Arial" w:cs="Arial" w:eastAsia="Arial" w:hAnsi="Arial"/>
                <w:sz w:val="16"/>
                <w:szCs w:val="16"/>
                <w:color w:val="auto"/>
              </w:rPr>
              <w:t>Cumulative-effect from a change</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80" w:type="dxa"/>
            <w:vAlign w:val="bottom"/>
          </w:tcPr>
          <w:p>
            <w:pPr>
              <w:ind w:left="40"/>
              <w:spacing w:after="0"/>
              <w:rPr>
                <w:sz w:val="20"/>
                <w:szCs w:val="20"/>
                <w:color w:val="auto"/>
              </w:rPr>
            </w:pPr>
            <w:r>
              <w:rPr>
                <w:rFonts w:ascii="Arial" w:cs="Arial" w:eastAsia="Arial" w:hAnsi="Arial"/>
                <w:sz w:val="16"/>
                <w:szCs w:val="16"/>
                <w:color w:val="auto"/>
                <w:w w:val="99"/>
              </w:rPr>
              <w:t>in accounting principle, net of tax</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141,285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141,285</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65,649</w:t>
            </w:r>
          </w:p>
        </w:tc>
        <w:tc>
          <w:tcPr>
            <w:tcW w:w="0" w:type="dxa"/>
            <w:vAlign w:val="bottom"/>
          </w:tcPr>
          <w:p>
            <w:pPr>
              <w:spacing w:after="0"/>
              <w:rPr>
                <w:sz w:val="1"/>
                <w:szCs w:val="1"/>
                <w:color w:val="auto"/>
              </w:rPr>
            </w:pPr>
          </w:p>
        </w:tc>
      </w:tr>
      <w:tr>
        <w:trPr>
          <w:trHeight w:val="220"/>
        </w:trPr>
        <w:tc>
          <w:tcPr>
            <w:tcW w:w="238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80" w:type="dxa"/>
            <w:vAlign w:val="bottom"/>
          </w:tcPr>
          <w:p>
            <w:pPr>
              <w:ind w:left="40"/>
              <w:spacing w:after="0"/>
              <w:rPr>
                <w:sz w:val="20"/>
                <w:szCs w:val="20"/>
                <w:color w:val="auto"/>
              </w:rPr>
            </w:pPr>
            <w:r>
              <w:rPr>
                <w:rFonts w:ascii="Arial" w:cs="Arial" w:eastAsia="Arial" w:hAnsi="Arial"/>
                <w:sz w:val="16"/>
                <w:szCs w:val="16"/>
                <w:color w:val="auto"/>
              </w:rPr>
              <w:t>(loss), net of tax</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520" w:type="dxa"/>
            <w:vAlign w:val="bottom"/>
          </w:tcPr>
          <w:p>
            <w:pPr>
              <w:jc w:val="right"/>
              <w:ind w:right="22"/>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Cash dividends declared, $0.10 per</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share</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(9,140)</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3,993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3,993</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Common stock issued under stock</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plans (1)</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(3,086)</w:t>
            </w:r>
          </w:p>
        </w:tc>
        <w:tc>
          <w:tcPr>
            <w:tcW w:w="0" w:type="dxa"/>
            <w:vAlign w:val="bottom"/>
          </w:tcPr>
          <w:p>
            <w:pPr>
              <w:spacing w:after="0"/>
              <w:rPr>
                <w:sz w:val="1"/>
                <w:szCs w:val="1"/>
                <w:color w:val="auto"/>
              </w:rPr>
            </w:pPr>
          </w:p>
        </w:tc>
      </w:tr>
      <w:tr>
        <w:trPr>
          <w:trHeight w:val="220"/>
        </w:trPr>
        <w:tc>
          <w:tcPr>
            <w:tcW w:w="2380" w:type="dxa"/>
            <w:vAlign w:val="bottom"/>
          </w:tcPr>
          <w:p>
            <w:pPr>
              <w:ind w:left="40"/>
              <w:spacing w:after="0"/>
              <w:rPr>
                <w:sz w:val="20"/>
                <w:szCs w:val="20"/>
                <w:color w:val="auto"/>
              </w:rPr>
            </w:pPr>
            <w:r>
              <w:rPr>
                <w:rFonts w:ascii="Arial" w:cs="Arial" w:eastAsia="Arial" w:hAnsi="Arial"/>
                <w:sz w:val="16"/>
                <w:szCs w:val="16"/>
                <w:color w:val="auto"/>
              </w:rPr>
              <w:t>Distributions to noncontrolling</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8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(2,429)</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Contributions from noncontrolling</w:t>
            </w: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33"/>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0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38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Balance, March 31, 2019</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91,647</w:t>
            </w: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916</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1,099,346</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(714,425)</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(141,653)</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8,179</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252,363</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38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forfeitures and shares withheld for employee taxes.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UNAUDITED)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4"/>
                <w:szCs w:val="14"/>
                <w:b w:val="1"/>
                <w:bCs w:val="1"/>
                <w:color w:val="auto"/>
              </w:rPr>
              <w:t>THIRTEEN WEEKS ENDED</w:t>
            </w:r>
          </w:p>
        </w:tc>
      </w:tr>
      <w:tr>
        <w:trPr>
          <w:trHeight w:val="263"/>
        </w:trPr>
        <w:tc>
          <w:tcPr>
            <w:tcW w:w="7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29, 2020</w:t>
            </w:r>
          </w:p>
        </w:tc>
        <w:tc>
          <w:tcPr>
            <w:tcW w:w="260" w:type="dxa"/>
            <w:vAlign w:val="bottom"/>
          </w:tcPr>
          <w:p>
            <w:pPr>
              <w:spacing w:after="0"/>
              <w:rPr>
                <w:sz w:val="22"/>
                <w:szCs w:val="22"/>
                <w:color w:val="auto"/>
              </w:rPr>
            </w:pPr>
          </w:p>
        </w:tc>
        <w:tc>
          <w:tcPr>
            <w:tcW w:w="1640" w:type="dxa"/>
            <w:vAlign w:val="bottom"/>
          </w:tcPr>
          <w:p>
            <w:pPr>
              <w:jc w:val="right"/>
              <w:ind w:right="319"/>
              <w:spacing w:after="0"/>
              <w:rPr>
                <w:sz w:val="20"/>
                <w:szCs w:val="20"/>
                <w:color w:val="auto"/>
              </w:rPr>
            </w:pPr>
            <w:r>
              <w:rPr>
                <w:rFonts w:ascii="Arial" w:cs="Arial" w:eastAsia="Arial" w:hAnsi="Arial"/>
                <w:sz w:val="14"/>
                <w:szCs w:val="14"/>
                <w:b w:val="1"/>
                <w:bCs w:val="1"/>
                <w:color w:val="auto"/>
              </w:rPr>
              <w:t>MARCH 31, 2019</w:t>
            </w:r>
          </w:p>
        </w:tc>
      </w:tr>
      <w:tr>
        <w:trPr>
          <w:trHeight w:val="237"/>
        </w:trPr>
        <w:tc>
          <w:tcPr>
            <w:tcW w:w="7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provided by operating activities: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6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(34,414)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65,649</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income to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73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48,268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49,482</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discounts and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634</w:t>
            </w:r>
          </w:p>
        </w:tc>
      </w:tr>
      <w:tr>
        <w:trPr>
          <w:trHeight w:val="237"/>
        </w:trPr>
        <w:tc>
          <w:tcPr>
            <w:tcW w:w="7300" w:type="dxa"/>
            <w:vAlign w:val="bottom"/>
          </w:tcPr>
          <w:p>
            <w:pPr>
              <w:ind w:left="380"/>
              <w:spacing w:after="0"/>
              <w:rPr>
                <w:sz w:val="20"/>
                <w:szCs w:val="20"/>
                <w:color w:val="auto"/>
              </w:rPr>
            </w:pPr>
            <w:r>
              <w:rPr>
                <w:rFonts w:ascii="Arial" w:cs="Arial" w:eastAsia="Arial" w:hAnsi="Arial"/>
                <w:sz w:val="16"/>
                <w:szCs w:val="16"/>
                <w:color w:val="auto"/>
              </w:rPr>
              <w:t>Amortization of deferred gift card sales commissions</w:t>
            </w:r>
          </w:p>
        </w:tc>
        <w:tc>
          <w:tcPr>
            <w:tcW w:w="260" w:type="dxa"/>
            <w:vAlign w:val="bottom"/>
          </w:tcPr>
          <w:p>
            <w:pPr>
              <w:spacing w:after="0"/>
              <w:rPr>
                <w:sz w:val="20"/>
                <w:szCs w:val="20"/>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9,090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8,407</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impaired assets and restaurant closings</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41,318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3,586</w:t>
            </w:r>
          </w:p>
        </w:tc>
      </w:tr>
      <w:tr>
        <w:trPr>
          <w:trHeight w:val="237"/>
        </w:trPr>
        <w:tc>
          <w:tcPr>
            <w:tcW w:w="7300" w:type="dxa"/>
            <w:vAlign w:val="bottom"/>
          </w:tcPr>
          <w:p>
            <w:pPr>
              <w:ind w:left="380"/>
              <w:spacing w:after="0"/>
              <w:rPr>
                <w:sz w:val="20"/>
                <w:szCs w:val="20"/>
                <w:color w:val="auto"/>
              </w:rPr>
            </w:pPr>
            <w:r>
              <w:rPr>
                <w:rFonts w:ascii="Arial" w:cs="Arial" w:eastAsia="Arial" w:hAnsi="Arial"/>
                <w:sz w:val="16"/>
                <w:szCs w:val="16"/>
                <w:color w:val="auto"/>
              </w:rPr>
              <w:t>Non-cash operating lease costs</w:t>
            </w:r>
          </w:p>
        </w:tc>
        <w:tc>
          <w:tcPr>
            <w:tcW w:w="260" w:type="dxa"/>
            <w:vAlign w:val="bottom"/>
          </w:tcPr>
          <w:p>
            <w:pPr>
              <w:spacing w:after="0"/>
              <w:rPr>
                <w:sz w:val="20"/>
                <w:szCs w:val="20"/>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19,253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17,814</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expected credit losses and contingent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300" w:type="dxa"/>
            <w:vAlign w:val="bottom"/>
          </w:tcPr>
          <w:p>
            <w:pPr>
              <w:ind w:left="380"/>
              <w:spacing w:after="0"/>
              <w:rPr>
                <w:sz w:val="20"/>
                <w:szCs w:val="20"/>
                <w:color w:val="auto"/>
              </w:rPr>
            </w:pPr>
            <w:r>
              <w:rPr>
                <w:rFonts w:ascii="Arial" w:cs="Arial" w:eastAsia="Arial" w:hAnsi="Arial"/>
                <w:sz w:val="16"/>
                <w:szCs w:val="16"/>
                <w:color w:val="auto"/>
              </w:rPr>
              <w:t>Inventory obsolescence and spoilage</w:t>
            </w:r>
          </w:p>
        </w:tc>
        <w:tc>
          <w:tcPr>
            <w:tcW w:w="260" w:type="dxa"/>
            <w:vAlign w:val="bottom"/>
          </w:tcPr>
          <w:p>
            <w:pPr>
              <w:spacing w:after="0"/>
              <w:rPr>
                <w:sz w:val="20"/>
                <w:szCs w:val="20"/>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5,291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and other non-cash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6,035</w:t>
            </w:r>
          </w:p>
        </w:tc>
      </w:tr>
      <w:tr>
        <w:trPr>
          <w:trHeight w:val="237"/>
        </w:trPr>
        <w:tc>
          <w:tcPr>
            <w:tcW w:w="7300" w:type="dxa"/>
            <w:vAlign w:val="bottom"/>
          </w:tcPr>
          <w:p>
            <w:pPr>
              <w:ind w:left="380"/>
              <w:spacing w:after="0"/>
              <w:rPr>
                <w:sz w:val="20"/>
                <w:szCs w:val="20"/>
                <w:color w:val="auto"/>
              </w:rPr>
            </w:pPr>
            <w:r>
              <w:rPr>
                <w:rFonts w:ascii="Arial" w:cs="Arial" w:eastAsia="Arial" w:hAnsi="Arial"/>
                <w:sz w:val="16"/>
                <w:szCs w:val="16"/>
                <w:color w:val="auto"/>
              </w:rPr>
              <w:t>Deferred income tax benefit</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(10,940)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(501)</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sale of a business or subsidiary</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r>
      <w:tr>
        <w:trPr>
          <w:trHeight w:val="237"/>
        </w:trPr>
        <w:tc>
          <w:tcPr>
            <w:tcW w:w="7300" w:type="dxa"/>
            <w:vAlign w:val="bottom"/>
          </w:tcPr>
          <w:p>
            <w:pPr>
              <w:ind w:left="380"/>
              <w:spacing w:after="0"/>
              <w:rPr>
                <w:sz w:val="20"/>
                <w:szCs w:val="20"/>
                <w:color w:val="auto"/>
              </w:rPr>
            </w:pPr>
            <w:r>
              <w:rPr>
                <w:rFonts w:ascii="Arial" w:cs="Arial" w:eastAsia="Arial" w:hAnsi="Arial"/>
                <w:sz w:val="16"/>
                <w:szCs w:val="16"/>
                <w:color w:val="auto"/>
              </w:rPr>
              <w:t>Loss on disposal of property, fixtures and equipment</w:t>
            </w:r>
          </w:p>
        </w:tc>
        <w:tc>
          <w:tcPr>
            <w:tcW w:w="260" w:type="dxa"/>
            <w:vAlign w:val="bottom"/>
          </w:tcPr>
          <w:p>
            <w:pPr>
              <w:spacing w:after="0"/>
              <w:rPr>
                <w:sz w:val="20"/>
                <w:szCs w:val="20"/>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w:t>
            </w:r>
          </w:p>
        </w:tc>
      </w:tr>
      <w:tr>
        <w:trPr>
          <w:trHeight w:val="270"/>
        </w:trPr>
        <w:tc>
          <w:tcPr>
            <w:tcW w:w="73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Change in assets and liabilities</w:t>
            </w:r>
          </w:p>
        </w:tc>
        <w:tc>
          <w:tcPr>
            <w:tcW w:w="2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(63,471)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(66,730)</w:t>
            </w:r>
          </w:p>
        </w:tc>
      </w:tr>
      <w:tr>
        <w:trPr>
          <w:trHeight w:val="264"/>
        </w:trPr>
        <w:tc>
          <w:tcPr>
            <w:tcW w:w="7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28,291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83,883</w:t>
            </w:r>
          </w:p>
        </w:tc>
      </w:tr>
      <w:tr>
        <w:trPr>
          <w:trHeight w:val="217"/>
        </w:trPr>
        <w:tc>
          <w:tcPr>
            <w:tcW w:w="7300" w:type="dxa"/>
            <w:vAlign w:val="bottom"/>
          </w:tcPr>
          <w:p>
            <w:pPr>
              <w:ind w:left="40"/>
              <w:spacing w:after="0"/>
              <w:rPr>
                <w:sz w:val="20"/>
                <w:szCs w:val="20"/>
                <w:color w:val="auto"/>
              </w:rPr>
            </w:pPr>
            <w:r>
              <w:rPr>
                <w:rFonts w:ascii="Arial" w:cs="Arial" w:eastAsia="Arial" w:hAnsi="Arial"/>
                <w:sz w:val="16"/>
                <w:szCs w:val="16"/>
                <w:color w:val="auto"/>
              </w:rPr>
              <w:t>Cash flows used in investing activities:</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(44,710)</w:t>
            </w:r>
          </w:p>
        </w:tc>
      </w:tr>
      <w:tr>
        <w:trPr>
          <w:trHeight w:val="270"/>
        </w:trPr>
        <w:tc>
          <w:tcPr>
            <w:tcW w:w="73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 investments, net</w:t>
            </w:r>
          </w:p>
        </w:tc>
        <w:tc>
          <w:tcPr>
            <w:tcW w:w="2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2,690</w:t>
            </w:r>
          </w:p>
        </w:tc>
      </w:tr>
      <w:tr>
        <w:trPr>
          <w:trHeight w:val="257"/>
        </w:trPr>
        <w:tc>
          <w:tcPr>
            <w:tcW w:w="7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(42,020)</w:t>
            </w:r>
          </w:p>
        </w:tc>
      </w:tr>
    </w:tbl>
    <w:p>
      <w:pPr>
        <w:spacing w:after="0" w:line="328" w:lineRule="exact"/>
        <w:rPr>
          <w:sz w:val="20"/>
          <w:szCs w:val="20"/>
          <w:color w:val="auto"/>
        </w:rPr>
      </w:pPr>
    </w:p>
    <w:p>
      <w:pPr>
        <w:ind w:left="994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UNAUDITED)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4"/>
                <w:szCs w:val="14"/>
                <w:b w:val="1"/>
                <w:bCs w:val="1"/>
                <w:color w:val="auto"/>
              </w:rPr>
              <w:t>THIRTEEN WEEKS ENDED</w:t>
            </w:r>
          </w:p>
        </w:tc>
      </w:tr>
      <w:tr>
        <w:trPr>
          <w:trHeight w:val="263"/>
        </w:trPr>
        <w:tc>
          <w:tcPr>
            <w:tcW w:w="7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29, 2020</w:t>
            </w:r>
          </w:p>
        </w:tc>
        <w:tc>
          <w:tcPr>
            <w:tcW w:w="260" w:type="dxa"/>
            <w:vAlign w:val="bottom"/>
          </w:tcPr>
          <w:p>
            <w:pPr>
              <w:spacing w:after="0"/>
              <w:rPr>
                <w:sz w:val="22"/>
                <w:szCs w:val="22"/>
                <w:color w:val="auto"/>
              </w:rPr>
            </w:pPr>
          </w:p>
        </w:tc>
        <w:tc>
          <w:tcPr>
            <w:tcW w:w="1640" w:type="dxa"/>
            <w:vAlign w:val="bottom"/>
          </w:tcPr>
          <w:p>
            <w:pPr>
              <w:jc w:val="right"/>
              <w:ind w:right="319"/>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7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provided by (used in) financing activities: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300" w:type="dxa"/>
            <w:vAlign w:val="bottom"/>
          </w:tcPr>
          <w:p>
            <w:pPr>
              <w:ind w:left="380"/>
              <w:spacing w:after="0"/>
              <w:rPr>
                <w:sz w:val="20"/>
                <w:szCs w:val="20"/>
                <w:color w:val="auto"/>
              </w:rPr>
            </w:pPr>
            <w:r>
              <w:rPr>
                <w:rFonts w:ascii="Arial" w:cs="Arial" w:eastAsia="Arial" w:hAnsi="Arial"/>
                <w:sz w:val="16"/>
                <w:szCs w:val="16"/>
                <w:color w:val="auto"/>
              </w:rPr>
              <w:t>Repayments of long-term debt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(6,657)</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(7,428)</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borrowings on revolving credit facilities, net</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148,200</w:t>
            </w:r>
          </w:p>
        </w:tc>
      </w:tr>
      <w:tr>
        <w:trPr>
          <w:trHeight w:val="237"/>
        </w:trPr>
        <w:tc>
          <w:tcPr>
            <w:tcW w:w="7300" w:type="dxa"/>
            <w:vAlign w:val="bottom"/>
          </w:tcPr>
          <w:p>
            <w:pPr>
              <w:ind w:left="380"/>
              <w:spacing w:after="0"/>
              <w:rPr>
                <w:sz w:val="20"/>
                <w:szCs w:val="20"/>
                <w:color w:val="auto"/>
              </w:rPr>
            </w:pPr>
            <w:r>
              <w:rPr>
                <w:rFonts w:ascii="Arial" w:cs="Arial" w:eastAsia="Arial" w:hAnsi="Arial"/>
                <w:sz w:val="16"/>
                <w:szCs w:val="16"/>
                <w:color w:val="auto"/>
              </w:rPr>
              <w:t>Repayments of borrowings on revolving credit facilities</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(129,000)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(152,300)</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of taxes from share-based compensation, net</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(3,086)</w:t>
            </w:r>
          </w:p>
        </w:tc>
      </w:tr>
      <w:tr>
        <w:trPr>
          <w:trHeight w:val="237"/>
        </w:trPr>
        <w:tc>
          <w:tcPr>
            <w:tcW w:w="7300" w:type="dxa"/>
            <w:vAlign w:val="bottom"/>
          </w:tcPr>
          <w:p>
            <w:pPr>
              <w:ind w:left="380"/>
              <w:spacing w:after="0"/>
              <w:rPr>
                <w:sz w:val="20"/>
                <w:szCs w:val="20"/>
                <w:color w:val="auto"/>
              </w:rPr>
            </w:pPr>
            <w:r>
              <w:rPr>
                <w:rFonts w:ascii="Arial" w:cs="Arial" w:eastAsia="Arial" w:hAnsi="Arial"/>
                <w:sz w:val="16"/>
                <w:szCs w:val="16"/>
                <w:color w:val="auto"/>
              </w:rPr>
              <w:t>Distributions to noncontrolling interests</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(2,429)</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Contributions from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w:t>
            </w:r>
          </w:p>
        </w:tc>
      </w:tr>
      <w:tr>
        <w:trPr>
          <w:trHeight w:val="237"/>
        </w:trPr>
        <w:tc>
          <w:tcPr>
            <w:tcW w:w="7300" w:type="dxa"/>
            <w:vAlign w:val="bottom"/>
          </w:tcPr>
          <w:p>
            <w:pPr>
              <w:ind w:left="380"/>
              <w:spacing w:after="0"/>
              <w:rPr>
                <w:sz w:val="20"/>
                <w:szCs w:val="20"/>
                <w:color w:val="auto"/>
              </w:rPr>
            </w:pPr>
            <w:r>
              <w:rPr>
                <w:rFonts w:ascii="Arial" w:cs="Arial" w:eastAsia="Arial" w:hAnsi="Arial"/>
                <w:sz w:val="16"/>
                <w:szCs w:val="16"/>
                <w:color w:val="auto"/>
              </w:rPr>
              <w:t>Purchase of limited partnership and noncontrolling interests</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partner equity plan</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(5,460)</w:t>
            </w:r>
          </w:p>
        </w:tc>
      </w:tr>
      <w:tr>
        <w:trPr>
          <w:trHeight w:val="237"/>
        </w:trPr>
        <w:tc>
          <w:tcPr>
            <w:tcW w:w="7300" w:type="dxa"/>
            <w:vAlign w:val="bottom"/>
          </w:tcPr>
          <w:p>
            <w:pPr>
              <w:ind w:left="380"/>
              <w:spacing w:after="0"/>
              <w:rPr>
                <w:sz w:val="20"/>
                <w:szCs w:val="20"/>
                <w:color w:val="auto"/>
              </w:rPr>
            </w:pPr>
            <w:r>
              <w:rPr>
                <w:rFonts w:ascii="Arial" w:cs="Arial" w:eastAsia="Arial" w:hAnsi="Arial"/>
                <w:sz w:val="16"/>
                <w:szCs w:val="16"/>
                <w:color w:val="auto"/>
              </w:rPr>
              <w:t>Cash dividends paid on common stock</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(17,480)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(9,140)</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63"/>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Redemption of subsidiary preferred stock</w:t>
            </w:r>
          </w:p>
        </w:tc>
        <w:tc>
          <w:tcPr>
            <w:tcW w:w="26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7300" w:type="dxa"/>
            <w:vAlign w:val="bottom"/>
            <w:tcBorders>
              <w:bottom w:val="single" w:sz="8" w:color="CCEEFF"/>
            </w:tcBorders>
          </w:tcPr>
          <w:p>
            <w:pPr>
              <w:ind w:left="104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342,333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(31,379)</w:t>
            </w:r>
          </w:p>
        </w:tc>
      </w:tr>
      <w:tr>
        <w:trPr>
          <w:trHeight w:val="257"/>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459</w:t>
            </w:r>
          </w:p>
        </w:tc>
      </w:tr>
      <w:tr>
        <w:trPr>
          <w:trHeight w:val="224"/>
        </w:trPr>
        <w:tc>
          <w:tcPr>
            <w:tcW w:w="7300" w:type="dxa"/>
            <w:vAlign w:val="bottom"/>
          </w:tcPr>
          <w:p>
            <w:pPr>
              <w:ind w:left="40"/>
              <w:spacing w:after="0"/>
              <w:rPr>
                <w:sz w:val="20"/>
                <w:szCs w:val="20"/>
                <w:color w:val="auto"/>
              </w:rPr>
            </w:pPr>
            <w:r>
              <w:rPr>
                <w:rFonts w:ascii="Arial" w:cs="Arial" w:eastAsia="Arial" w:hAnsi="Arial"/>
                <w:sz w:val="16"/>
                <w:szCs w:val="16"/>
                <w:color w:val="auto"/>
              </w:rPr>
              <w:t>Net increase in cash, cash equivalents and restricted cash</w:t>
            </w:r>
          </w:p>
        </w:tc>
        <w:tc>
          <w:tcPr>
            <w:tcW w:w="260" w:type="dxa"/>
            <w:vAlign w:val="bottom"/>
          </w:tcPr>
          <w:p>
            <w:pPr>
              <w:spacing w:after="0"/>
              <w:rPr>
                <w:sz w:val="19"/>
                <w:szCs w:val="19"/>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336,250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10,943</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63"/>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as of the beginning of the period</w:t>
            </w:r>
          </w:p>
        </w:tc>
        <w:tc>
          <w:tcPr>
            <w:tcW w:w="26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67,145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71,823</w:t>
            </w:r>
          </w:p>
        </w:tc>
      </w:tr>
      <w:tr>
        <w:trPr>
          <w:trHeight w:val="290"/>
        </w:trPr>
        <w:tc>
          <w:tcPr>
            <w:tcW w:w="7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as of the end of the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403,395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82,766</w:t>
            </w:r>
          </w:p>
        </w:tc>
      </w:tr>
      <w:tr>
        <w:trPr>
          <w:trHeight w:val="21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26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r>
      <w:tr>
        <w:trPr>
          <w:trHeight w:val="237"/>
        </w:trPr>
        <w:tc>
          <w:tcPr>
            <w:tcW w:w="7300" w:type="dxa"/>
            <w:vAlign w:val="bottom"/>
          </w:tcPr>
          <w:p>
            <w:pPr>
              <w:ind w:left="380"/>
              <w:spacing w:after="0"/>
              <w:rPr>
                <w:sz w:val="20"/>
                <w:szCs w:val="20"/>
                <w:color w:val="auto"/>
              </w:rPr>
            </w:pPr>
            <w:r>
              <w:rPr>
                <w:rFonts w:ascii="Arial" w:cs="Arial" w:eastAsia="Arial" w:hAnsi="Arial"/>
                <w:sz w:val="16"/>
                <w:szCs w:val="16"/>
                <w:color w:val="auto"/>
              </w:rPr>
              <w:t>Cash paid for interest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10,682</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13,637</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income taxes, net of refunds</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4,255</w:t>
            </w: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Leased assets obtained in exchange for new operating lease liabilities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17,618</w:t>
            </w:r>
          </w:p>
        </w:tc>
      </w:tr>
      <w:tr>
        <w:trPr>
          <w:trHeight w:val="237"/>
        </w:trPr>
        <w:tc>
          <w:tcPr>
            <w:tcW w:w="7300" w:type="dxa"/>
            <w:vAlign w:val="bottom"/>
          </w:tcPr>
          <w:p>
            <w:pPr>
              <w:ind w:left="380"/>
              <w:spacing w:after="0"/>
              <w:rPr>
                <w:sz w:val="20"/>
                <w:szCs w:val="20"/>
                <w:color w:val="auto"/>
              </w:rPr>
            </w:pPr>
            <w:r>
              <w:rPr>
                <w:rFonts w:ascii="Arial" w:cs="Arial" w:eastAsia="Arial" w:hAnsi="Arial"/>
                <w:sz w:val="16"/>
                <w:szCs w:val="16"/>
                <w:color w:val="auto"/>
              </w:rPr>
              <w:t>Leased assets obtained in exchange for new finance lease liabilities</w:t>
            </w:r>
          </w:p>
        </w:tc>
        <w:tc>
          <w:tcPr>
            <w:tcW w:w="260" w:type="dxa"/>
            <w:vAlign w:val="bottom"/>
          </w:tcPr>
          <w:p>
            <w:pPr>
              <w:spacing w:after="0"/>
              <w:rPr>
                <w:sz w:val="20"/>
                <w:szCs w:val="20"/>
                <w:color w:val="auto"/>
              </w:rPr>
            </w:pP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76</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7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Decrease in liabilities from the acquisition of property, fixtures and equipment</w:t>
            </w: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(6,066)</w:t>
            </w:r>
          </w:p>
        </w:tc>
      </w:tr>
      <w:tr>
        <w:trPr>
          <w:trHeight w:val="33"/>
        </w:trPr>
        <w:tc>
          <w:tcPr>
            <w:tcW w:w="7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color w:val="auto"/>
        </w:rPr>
        <w:t>Description of the Business and Basis of Presentation</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Description of the Business - </w:t>
      </w:r>
      <w:r>
        <w:rPr>
          <w:rFonts w:ascii="Arial" w:cs="Arial" w:eastAsia="Arial" w:hAnsi="Arial"/>
          <w:sz w:val="20"/>
          <w:szCs w:val="20"/>
          <w:color w:val="auto"/>
        </w:rPr>
        <w:t>Bloomin’ Brands (“Bloomin’ Brands” or the “Company”) owns and operates casual, upscale casual and fine</w:t>
      </w:r>
      <w:r>
        <w:rPr>
          <w:rFonts w:ascii="Arial" w:cs="Arial" w:eastAsia="Arial" w:hAnsi="Arial"/>
          <w:sz w:val="20"/>
          <w:szCs w:val="20"/>
          <w:i w:val="1"/>
          <w:iCs w:val="1"/>
          <w:color w:val="auto"/>
        </w:rPr>
        <w:t xml:space="preserve"> </w:t>
      </w:r>
      <w:r>
        <w:rPr>
          <w:rFonts w:ascii="Arial" w:cs="Arial" w:eastAsia="Arial" w:hAnsi="Arial"/>
          <w:sz w:val="20"/>
          <w:szCs w:val="20"/>
          <w:color w:val="auto"/>
        </w:rPr>
        <w:t>dining restaurants.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w:t>
      </w:r>
    </w:p>
    <w:p>
      <w:pPr>
        <w:spacing w:after="0" w:line="20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The accompanying interim unaudited consolidated financial statements have been prepared by the Company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rules and regulations of the Securities and Exchange Commission (“SEC”). Accordingly, they do not include all the information and footnotes required by generally accepted accounting principles in the United States (“U.S. GAAP”) for complete financial statements. In the opinion of the Company, all adjustments necessary for fair financial statement presentation for the periods presented have been included and are of a normal, recurring nature. The results of operations for interim periods are not necessarily indicative of the results to be expected for the full year. These financial statements should be read in conjunction with the audited financial statements and notes thereto included in the Company’s Annual Report on Form 10-K for the year ended December 29, 2019.</w:t>
      </w:r>
    </w:p>
    <w:p>
      <w:pPr>
        <w:spacing w:after="0" w:line="191" w:lineRule="exact"/>
        <w:rPr>
          <w:sz w:val="20"/>
          <w:szCs w:val="20"/>
          <w:color w:val="auto"/>
        </w:rPr>
      </w:pPr>
    </w:p>
    <w:p>
      <w:pPr>
        <w:jc w:val="both"/>
        <w:spacing w:after="0" w:line="305" w:lineRule="auto"/>
        <w:rPr>
          <w:sz w:val="20"/>
          <w:szCs w:val="20"/>
          <w:color w:val="auto"/>
        </w:rPr>
      </w:pPr>
      <w:r>
        <w:rPr>
          <w:rFonts w:ascii="Arial" w:cs="Arial" w:eastAsia="Arial" w:hAnsi="Arial"/>
          <w:sz w:val="18"/>
          <w:szCs w:val="18"/>
          <w:i w:val="1"/>
          <w:iCs w:val="1"/>
          <w:color w:val="auto"/>
        </w:rPr>
        <w:t xml:space="preserve">Risks and Uncertainties </w:t>
      </w:r>
      <w:r>
        <w:rPr>
          <w:rFonts w:ascii="Arial" w:cs="Arial" w:eastAsia="Arial" w:hAnsi="Arial"/>
          <w:sz w:val="19"/>
          <w:szCs w:val="19"/>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March 2020, the World Health Organization declared the novel strain of coronavirus (“COVID-19”) a global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pandemic and recommended containment and mitigation measures worldwide. During the thirteen weeks ended March 29, 2020, the negative effect of COVID-19 on the Company’s business was significant. The Company experienced an initial decline in restaurant revenue that began in early March 2020 as business travel decreased and public anxiety about the spread of COVID-19 increased. Government agencies began strongly discouraging or prohibiting people from visiting restaurants and instructed citizens to shelter in place to reduce the spread of COVID-19. In response to these conditions, the Company temporarily closed restaurant dining rooms in the U.S. on March 20, 2020 and shifted operations to provide only take-out and delivery service. See Note 2 - </w:t>
      </w:r>
      <w:r>
        <w:rPr>
          <w:rFonts w:ascii="Arial" w:cs="Arial" w:eastAsia="Arial" w:hAnsi="Arial"/>
          <w:sz w:val="18"/>
          <w:szCs w:val="18"/>
          <w:i w:val="1"/>
          <w:iCs w:val="1"/>
          <w:color w:val="auto"/>
        </w:rPr>
        <w:t>COVID-19 Impact</w:t>
      </w:r>
      <w:r>
        <w:rPr>
          <w:rFonts w:ascii="Arial" w:cs="Arial" w:eastAsia="Arial" w:hAnsi="Arial"/>
          <w:sz w:val="18"/>
          <w:szCs w:val="18"/>
          <w:color w:val="auto"/>
        </w:rPr>
        <w:t xml:space="preserve"> for details regarding the financial impact of the COVID-19 pandemic on the Company’s financial results during the thirteen weeks ended March 29, 2020.</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duration and severity of the COVID-19 pandemic and its long-term impact on the Company’s business are uncertain at this time. Given the daily evolution of the pandemic and the global responses to curb its spread, the Company may not be able to accurately estimate the effects of the pandemic on its results of operations, financial condition, or liquidity for the foreseeable future.</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i w:val="1"/>
          <w:iCs w:val="1"/>
          <w:color w:val="auto"/>
        </w:rPr>
        <w:t xml:space="preserve">Recently Adopted Financial Accounting Standards </w:t>
      </w:r>
      <w:r>
        <w:rPr>
          <w:rFonts w:ascii="Arial" w:cs="Arial" w:eastAsia="Arial" w:hAnsi="Arial"/>
          <w:sz w:val="19"/>
          <w:szCs w:val="19"/>
          <w:color w:val="auto"/>
        </w:rPr>
        <w:t>- On December 30, 2019, the Company adopted Accounting Standards Update (“ASU”)</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No. 2016-13, “Financial Instruments – Credit Losses (Topic 326): Measurement of Credit Losses on Financial Instruments,” (“ASU No. 2016-13”), which requires measurement and recognition of losses for financial instruments under the current expected credit loss model versus incurred losses under current guidance. The Company’s adoption of ASU No. 2016-13 and its related amendments (“the new credit loss standard”) resulted in cumulative-effect debit adjustment to the beginning balance of Accumulated deficit of $4.3 million, including $4.8 million of contingent lease liabilities related to lease guarantees and $1.0 million of incremental reserve for credit losses, net of the $1.5 million net increase in related deferred tax assets. Measurement processes and related controls have been implemented by the Company to ensure compliance with the new credit loss standard. See Note 16 - </w:t>
      </w:r>
      <w:r>
        <w:rPr>
          <w:rFonts w:ascii="Arial" w:cs="Arial" w:eastAsia="Arial" w:hAnsi="Arial"/>
          <w:sz w:val="19"/>
          <w:szCs w:val="19"/>
          <w:i w:val="1"/>
          <w:iCs w:val="1"/>
          <w:color w:val="auto"/>
        </w:rPr>
        <w:t>Allowance for Expected Credit Losses</w:t>
      </w:r>
      <w:r>
        <w:rPr>
          <w:rFonts w:ascii="Arial" w:cs="Arial" w:eastAsia="Arial" w:hAnsi="Arial"/>
          <w:sz w:val="19"/>
          <w:szCs w:val="19"/>
          <w:color w:val="auto"/>
        </w:rPr>
        <w:t xml:space="preserve"> for additional details regarding the Company’s allowance for expected credit losses.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December 30, 2019, the Company also adopted ASU No. 2018-15, “Intangibles-Goodwill and Other-Internal-Use Software (Subtopic 350-40): Customer’s Accounting for Implementation Costs Incurred in a Cloud Computing Arrangement That Is a Service Contract,” (“ASU No. 2018-15”), which clarifies the accounting for implementation costs in cloud computing arrangements. The Company contracts with 3rd party information technology providers for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various service arrangements including software, platform and information technology infrastructure. The Company’s prospective adoption of ASU No. 2018-15 did not have a material effect on its consolidated financial statements.</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Recently Issued Financial Accounting Standards Not Yet Adopted </w:t>
      </w:r>
      <w:r>
        <w:rPr>
          <w:rFonts w:ascii="Arial" w:cs="Arial" w:eastAsia="Arial" w:hAnsi="Arial"/>
          <w:sz w:val="20"/>
          <w:szCs w:val="20"/>
          <w:color w:val="auto"/>
        </w:rPr>
        <w:t>- In March 2020, the Financial Accounting Standards Board (“FASB”)</w:t>
      </w:r>
      <w:r>
        <w:rPr>
          <w:rFonts w:ascii="Arial" w:cs="Arial" w:eastAsia="Arial" w:hAnsi="Arial"/>
          <w:sz w:val="20"/>
          <w:szCs w:val="20"/>
          <w:i w:val="1"/>
          <w:iCs w:val="1"/>
          <w:color w:val="auto"/>
        </w:rPr>
        <w:t xml:space="preserve"> </w:t>
      </w:r>
      <w:r>
        <w:rPr>
          <w:rFonts w:ascii="Arial" w:cs="Arial" w:eastAsia="Arial" w:hAnsi="Arial"/>
          <w:sz w:val="20"/>
          <w:szCs w:val="20"/>
          <w:color w:val="auto"/>
        </w:rPr>
        <w:t>issued ASU No. 2020-04, “Reference Rate Reform (Topic 848): Facilitation of the Effects of Reference Rate Reform on Financial Reporting,” (“ASU No. 2020-04”). The new guidance provides optional expedients and exceptions for applying U.S. GAAP to contracts, hedging relationships and other transactions affected by reference rate reform if certain criteria are met. ASU No. 2020-04 is currently effective and upon adoption may be applied prospectively to contract modifications made and hedging relationships entered into or evaluated on or before December 31, 2022. The Company is currently evaluating its contracts and the optional expedients provided by the new standard.</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Reclassifications - </w:t>
      </w:r>
      <w:r>
        <w:rPr>
          <w:rFonts w:ascii="Arial" w:cs="Arial" w:eastAsia="Arial" w:hAnsi="Arial"/>
          <w:sz w:val="19"/>
          <w:szCs w:val="19"/>
          <w:color w:val="auto"/>
        </w:rPr>
        <w:t>The Company reclassified certain items in the accompanying consolidated financial statements for prior periods to be</w:t>
      </w:r>
      <w:r>
        <w:rPr>
          <w:rFonts w:ascii="Arial" w:cs="Arial" w:eastAsia="Arial" w:hAnsi="Arial"/>
          <w:sz w:val="19"/>
          <w:szCs w:val="19"/>
          <w:i w:val="1"/>
          <w:iCs w:val="1"/>
          <w:color w:val="auto"/>
        </w:rPr>
        <w:t xml:space="preserve"> </w:t>
      </w:r>
      <w:r>
        <w:rPr>
          <w:rFonts w:ascii="Arial" w:cs="Arial" w:eastAsia="Arial" w:hAnsi="Arial"/>
          <w:sz w:val="19"/>
          <w:szCs w:val="19"/>
          <w:color w:val="auto"/>
        </w:rPr>
        <w:t>comparable with the classification for the current period. These reclassifications had no effect on previously reported net income.</w:t>
      </w:r>
    </w:p>
    <w:p>
      <w:pPr>
        <w:spacing w:after="0" w:line="16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8"/>
          <w:szCs w:val="18"/>
          <w:color w:val="auto"/>
        </w:rPr>
        <w:t>COVID-19 Impact</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Following is a summary of the charges recorded in connection with the COVID-19 pandemic for the period indicated below (dollars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center"/>
              <w:ind w:right="81"/>
              <w:spacing w:after="0"/>
              <w:rPr>
                <w:sz w:val="20"/>
                <w:szCs w:val="20"/>
                <w:color w:val="auto"/>
              </w:rPr>
            </w:pPr>
            <w:r>
              <w:rPr>
                <w:rFonts w:ascii="Arial" w:cs="Arial" w:eastAsia="Arial" w:hAnsi="Arial"/>
                <w:sz w:val="14"/>
                <w:szCs w:val="14"/>
                <w:b w:val="1"/>
                <w:bCs w:val="1"/>
                <w:color w:val="auto"/>
              </w:rPr>
              <w:t>THIRTEEN WEEKS</w:t>
            </w:r>
          </w:p>
        </w:tc>
        <w:tc>
          <w:tcPr>
            <w:tcW w:w="0" w:type="dxa"/>
            <w:vAlign w:val="bottom"/>
          </w:tcPr>
          <w:p>
            <w:pPr>
              <w:spacing w:after="0"/>
              <w:rPr>
                <w:sz w:val="1"/>
                <w:szCs w:val="1"/>
                <w:color w:val="auto"/>
              </w:rPr>
            </w:pPr>
          </w:p>
        </w:tc>
      </w:tr>
      <w:tr>
        <w:trPr>
          <w:trHeight w:val="186"/>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center"/>
              <w:ind w:right="81"/>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76"/>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CHARGES</w:t>
            </w:r>
          </w:p>
        </w:tc>
        <w:tc>
          <w:tcPr>
            <w:tcW w:w="120" w:type="dxa"/>
            <w:vAlign w:val="bottom"/>
            <w:tcBorders>
              <w:bottom w:val="single" w:sz="8" w:color="CCEEFF"/>
            </w:tcBorders>
          </w:tcPr>
          <w:p>
            <w:pPr>
              <w:spacing w:after="0"/>
              <w:rPr>
                <w:sz w:val="23"/>
                <w:szCs w:val="23"/>
                <w:color w:val="auto"/>
              </w:rPr>
            </w:pPr>
          </w:p>
        </w:tc>
        <w:tc>
          <w:tcPr>
            <w:tcW w:w="50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CONSOLIDATED INCOME STATEMENT CLASSIFICATION</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9"/>
              </w:rPr>
              <w:t>MARCH 29, 2020</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Inventory obsolescence and spoilage (1)</w:t>
            </w:r>
          </w:p>
        </w:tc>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Cost of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6,182</w:t>
            </w:r>
          </w:p>
        </w:tc>
        <w:tc>
          <w:tcPr>
            <w:tcW w:w="0" w:type="dxa"/>
            <w:vAlign w:val="bottom"/>
          </w:tcPr>
          <w:p>
            <w:pPr>
              <w:spacing w:after="0"/>
              <w:rPr>
                <w:sz w:val="1"/>
                <w:szCs w:val="1"/>
                <w:color w:val="auto"/>
              </w:rPr>
            </w:pPr>
          </w:p>
        </w:tc>
      </w:tr>
      <w:tr>
        <w:trPr>
          <w:trHeight w:val="237"/>
        </w:trPr>
        <w:tc>
          <w:tcPr>
            <w:tcW w:w="4280" w:type="dxa"/>
            <w:vAlign w:val="bottom"/>
            <w:gridSpan w:val="2"/>
          </w:tcPr>
          <w:p>
            <w:pPr>
              <w:ind w:left="40"/>
              <w:spacing w:after="0"/>
              <w:rPr>
                <w:sz w:val="20"/>
                <w:szCs w:val="20"/>
                <w:color w:val="auto"/>
              </w:rPr>
            </w:pPr>
            <w:r>
              <w:rPr>
                <w:rFonts w:ascii="Arial" w:cs="Arial" w:eastAsia="Arial" w:hAnsi="Arial"/>
                <w:sz w:val="16"/>
                <w:szCs w:val="16"/>
                <w:color w:val="auto"/>
              </w:rPr>
              <w:t>Compensation for idle employees (2)</w:t>
            </w:r>
          </w:p>
        </w:tc>
        <w:tc>
          <w:tcPr>
            <w:tcW w:w="5180" w:type="dxa"/>
            <w:vAlign w:val="bottom"/>
            <w:gridSpan w:val="2"/>
          </w:tcPr>
          <w:p>
            <w:pPr>
              <w:ind w:left="40"/>
              <w:spacing w:after="0"/>
              <w:rPr>
                <w:sz w:val="20"/>
                <w:szCs w:val="20"/>
                <w:color w:val="auto"/>
              </w:rPr>
            </w:pPr>
            <w:r>
              <w:rPr>
                <w:rFonts w:ascii="Arial" w:cs="Arial" w:eastAsia="Arial" w:hAnsi="Arial"/>
                <w:sz w:val="16"/>
                <w:szCs w:val="16"/>
                <w:color w:val="auto"/>
              </w:rPr>
              <w:t>Labor and other related</w:t>
            </w:r>
          </w:p>
        </w:tc>
        <w:tc>
          <w:tcPr>
            <w:tcW w:w="160" w:type="dxa"/>
            <w:vAlign w:val="bottom"/>
          </w:tcPr>
          <w:p>
            <w:pPr>
              <w:spacing w:after="0"/>
              <w:rPr>
                <w:sz w:val="20"/>
                <w:szCs w:val="20"/>
                <w:color w:val="auto"/>
              </w:rPr>
            </w:pP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16,186</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Lease guarantee contingent liabilities (3)</w:t>
            </w:r>
          </w:p>
        </w:tc>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4,188</w:t>
            </w:r>
          </w:p>
        </w:tc>
        <w:tc>
          <w:tcPr>
            <w:tcW w:w="0" w:type="dxa"/>
            <w:vAlign w:val="bottom"/>
          </w:tcPr>
          <w:p>
            <w:pPr>
              <w:spacing w:after="0"/>
              <w:rPr>
                <w:sz w:val="1"/>
                <w:szCs w:val="1"/>
                <w:color w:val="auto"/>
              </w:rPr>
            </w:pPr>
          </w:p>
        </w:tc>
      </w:tr>
      <w:tr>
        <w:trPr>
          <w:trHeight w:val="237"/>
        </w:trPr>
        <w:tc>
          <w:tcPr>
            <w:tcW w:w="4280" w:type="dxa"/>
            <w:vAlign w:val="bottom"/>
            <w:gridSpan w:val="2"/>
          </w:tcPr>
          <w:p>
            <w:pPr>
              <w:ind w:left="40"/>
              <w:spacing w:after="0"/>
              <w:rPr>
                <w:sz w:val="20"/>
                <w:szCs w:val="20"/>
                <w:color w:val="auto"/>
              </w:rPr>
            </w:pPr>
            <w:r>
              <w:rPr>
                <w:rFonts w:ascii="Arial" w:cs="Arial" w:eastAsia="Arial" w:hAnsi="Arial"/>
                <w:sz w:val="16"/>
                <w:szCs w:val="16"/>
                <w:color w:val="auto"/>
              </w:rPr>
              <w:t>Allowance for expected credit losses (4)</w:t>
            </w:r>
          </w:p>
        </w:tc>
        <w:tc>
          <w:tcPr>
            <w:tcW w:w="518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3,334</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charges</w:t>
            </w:r>
          </w:p>
        </w:tc>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37"/>
        </w:trPr>
        <w:tc>
          <w:tcPr>
            <w:tcW w:w="4280" w:type="dxa"/>
            <w:vAlign w:val="bottom"/>
            <w:gridSpan w:val="2"/>
          </w:tcPr>
          <w:p>
            <w:pPr>
              <w:ind w:left="40"/>
              <w:spacing w:after="0"/>
              <w:rPr>
                <w:sz w:val="20"/>
                <w:szCs w:val="20"/>
                <w:color w:val="auto"/>
              </w:rPr>
            </w:pPr>
            <w:r>
              <w:rPr>
                <w:rFonts w:ascii="Arial" w:cs="Arial" w:eastAsia="Arial" w:hAnsi="Arial"/>
                <w:sz w:val="16"/>
                <w:szCs w:val="16"/>
                <w:color w:val="auto"/>
              </w:rPr>
              <w:t>Right-of-use asset impairment (5)</w:t>
            </w:r>
          </w:p>
        </w:tc>
        <w:tc>
          <w:tcPr>
            <w:tcW w:w="5180" w:type="dxa"/>
            <w:vAlign w:val="bottom"/>
            <w:gridSpan w:val="2"/>
          </w:tcPr>
          <w:p>
            <w:pPr>
              <w:ind w:left="40"/>
              <w:spacing w:after="0"/>
              <w:rPr>
                <w:sz w:val="20"/>
                <w:szCs w:val="20"/>
                <w:color w:val="auto"/>
              </w:rPr>
            </w:pPr>
            <w:r>
              <w:rPr>
                <w:rFonts w:ascii="Arial" w:cs="Arial" w:eastAsia="Arial" w:hAnsi="Arial"/>
                <w:sz w:val="16"/>
                <w:szCs w:val="16"/>
                <w:color w:val="auto"/>
              </w:rPr>
              <w:t>Provision for impaired assets and restaurant closings</w:t>
            </w:r>
          </w:p>
        </w:tc>
        <w:tc>
          <w:tcPr>
            <w:tcW w:w="160" w:type="dxa"/>
            <w:vAlign w:val="bottom"/>
          </w:tcPr>
          <w:p>
            <w:pPr>
              <w:spacing w:after="0"/>
              <w:rPr>
                <w:sz w:val="20"/>
                <w:szCs w:val="20"/>
                <w:color w:val="auto"/>
              </w:rPr>
            </w:pP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20,484</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Fixed asset impairment (5)</w:t>
            </w:r>
          </w:p>
        </w:tc>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impaired assets and restaurant closings</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11,728</w:t>
            </w:r>
          </w:p>
        </w:tc>
        <w:tc>
          <w:tcPr>
            <w:tcW w:w="0" w:type="dxa"/>
            <w:vAlign w:val="bottom"/>
          </w:tcPr>
          <w:p>
            <w:pPr>
              <w:spacing w:after="0"/>
              <w:rPr>
                <w:sz w:val="1"/>
                <w:szCs w:val="1"/>
                <w:color w:val="auto"/>
              </w:rPr>
            </w:pPr>
          </w:p>
        </w:tc>
      </w:tr>
      <w:tr>
        <w:trPr>
          <w:trHeight w:val="270"/>
        </w:trPr>
        <w:tc>
          <w:tcPr>
            <w:tcW w:w="4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Goodwill and other impairment (6)</w:t>
            </w:r>
          </w:p>
        </w:tc>
        <w:tc>
          <w:tcPr>
            <w:tcW w:w="51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impaired assets and restaurant closings</w:t>
            </w: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2,388</w:t>
            </w:r>
          </w:p>
        </w:tc>
        <w:tc>
          <w:tcPr>
            <w:tcW w:w="0" w:type="dxa"/>
            <w:vAlign w:val="bottom"/>
          </w:tcPr>
          <w:p>
            <w:pPr>
              <w:spacing w:after="0"/>
              <w:rPr>
                <w:sz w:val="1"/>
                <w:szCs w:val="1"/>
                <w:color w:val="auto"/>
              </w:rPr>
            </w:pPr>
          </w:p>
        </w:tc>
      </w:tr>
      <w:tr>
        <w:trPr>
          <w:trHeight w:val="255"/>
        </w:trPr>
        <w:tc>
          <w:tcPr>
            <w:tcW w:w="4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65,063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12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the write-off of value added tax credits related to the purchase of inventory by the Company’s Brazil subsidiary.</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relief pay for hourly employees impacted by the closure of dining rooms.</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additional contingent liabilities recorded for lease guarantees related to certain former restaurant locations now operated by franchisees or other third parties.</w:t>
      </w:r>
    </w:p>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additional reserves based on the Company’s increase in expected credit losses, primarily related to franchise receivables.</w:t>
      </w:r>
    </w:p>
    <w:p>
      <w:pPr>
        <w:spacing w:after="0" w:line="5" w:lineRule="exact"/>
        <w:rPr>
          <w:rFonts w:ascii="Arial" w:cs="Arial" w:eastAsia="Arial" w:hAnsi="Arial"/>
          <w:sz w:val="16"/>
          <w:szCs w:val="16"/>
          <w:color w:val="auto"/>
        </w:rPr>
      </w:pPr>
    </w:p>
    <w:p>
      <w:pPr>
        <w:ind w:left="660" w:right="20" w:hanging="652"/>
        <w:spacing w:after="0" w:line="24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impairments resulting from the remeasurement of assets utilizing projected future cash flows revised for current economic conditions and the closure of certain restaurants.</w:t>
      </w:r>
    </w:p>
    <w:p>
      <w:pPr>
        <w:ind w:left="660" w:hanging="652"/>
        <w:spacing w:after="0" w:line="25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Includes impairment of goodwill for the Company’s Hong Kong subsidiary. See Note 8 - </w:t>
      </w:r>
      <w:r>
        <w:rPr>
          <w:rFonts w:ascii="Arial" w:cs="Arial" w:eastAsia="Arial" w:hAnsi="Arial"/>
          <w:sz w:val="16"/>
          <w:szCs w:val="16"/>
          <w:i w:val="1"/>
          <w:iCs w:val="1"/>
          <w:color w:val="auto"/>
        </w:rPr>
        <w:t>Goodwill and Intangible Assets, Net</w:t>
      </w:r>
      <w:r>
        <w:rPr>
          <w:rFonts w:ascii="Arial" w:cs="Arial" w:eastAsia="Arial" w:hAnsi="Arial"/>
          <w:sz w:val="16"/>
          <w:szCs w:val="16"/>
          <w:color w:val="auto"/>
        </w:rPr>
        <w:t xml:space="preserve"> for details regarding impairment of goodwill.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0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6"/>
          <w:szCs w:val="16"/>
          <w:color w:val="auto"/>
        </w:rPr>
        <w:t>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categories  of  revenue  included  in  the  Company’s  Consolidated  Statements  of  Operations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Comprehensive (Loss) Income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4"/>
                <w:szCs w:val="14"/>
                <w:b w:val="1"/>
                <w:bCs w:val="1"/>
                <w:color w:val="auto"/>
              </w:rPr>
              <w:t>THIRTEEN WEEKS ENDED</w:t>
            </w:r>
          </w:p>
        </w:tc>
      </w:tr>
      <w:tr>
        <w:trPr>
          <w:trHeight w:val="263"/>
        </w:trPr>
        <w:tc>
          <w:tcPr>
            <w:tcW w:w="79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29, 2020</w:t>
            </w:r>
          </w:p>
        </w:tc>
        <w:tc>
          <w:tcPr>
            <w:tcW w:w="180" w:type="dxa"/>
            <w:vAlign w:val="bottom"/>
          </w:tcPr>
          <w:p>
            <w:pPr>
              <w:spacing w:after="0"/>
              <w:rPr>
                <w:sz w:val="22"/>
                <w:szCs w:val="22"/>
                <w:color w:val="auto"/>
              </w:rPr>
            </w:pPr>
          </w:p>
        </w:tc>
        <w:tc>
          <w:tcPr>
            <w:tcW w:w="1380" w:type="dxa"/>
            <w:vAlign w:val="bottom"/>
          </w:tcPr>
          <w:p>
            <w:pPr>
              <w:jc w:val="right"/>
              <w:ind w:right="141"/>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996,237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1,111,642</w:t>
            </w:r>
          </w:p>
        </w:tc>
      </w:tr>
      <w:tr>
        <w:trPr>
          <w:trHeight w:val="33"/>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Franchise revenue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9,549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13,762</w:t>
            </w:r>
          </w:p>
        </w:tc>
      </w:tr>
      <w:tr>
        <w:trPr>
          <w:trHeight w:val="33"/>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w:t>
            </w: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2,551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2,727</w:t>
            </w:r>
          </w:p>
        </w:tc>
      </w:tr>
      <w:tr>
        <w:trPr>
          <w:trHeight w:val="270"/>
        </w:trPr>
        <w:tc>
          <w:tcPr>
            <w:tcW w:w="79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Franchise and other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12,100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16,489</w:t>
            </w:r>
          </w:p>
        </w:tc>
      </w:tr>
      <w:tr>
        <w:trPr>
          <w:trHeight w:val="244"/>
        </w:trPr>
        <w:tc>
          <w:tcPr>
            <w:tcW w:w="79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1,008,337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1,128,131</w:t>
            </w:r>
          </w:p>
        </w:tc>
      </w:tr>
      <w:tr>
        <w:trPr>
          <w:trHeight w:val="20"/>
        </w:trPr>
        <w:tc>
          <w:tcPr>
            <w:tcW w:w="7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tables include the disaggregation of Restaurant sales and Franchise revenue, by restaurant concept and major international market,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6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4"/>
          </w:tcPr>
          <w:p>
            <w:pPr>
              <w:jc w:val="right"/>
              <w:ind w:right="1001"/>
              <w:spacing w:after="0"/>
              <w:rPr>
                <w:sz w:val="20"/>
                <w:szCs w:val="20"/>
                <w:color w:val="auto"/>
              </w:rPr>
            </w:pPr>
            <w:r>
              <w:rPr>
                <w:rFonts w:ascii="Arial" w:cs="Arial" w:eastAsia="Arial" w:hAnsi="Arial"/>
                <w:sz w:val="14"/>
                <w:szCs w:val="14"/>
                <w:b w:val="1"/>
                <w:bCs w:val="1"/>
                <w:color w:val="auto"/>
              </w:rPr>
              <w:t>MARCH 29, 2020</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4"/>
          </w:tcPr>
          <w:p>
            <w:pPr>
              <w:jc w:val="right"/>
              <w:ind w:right="961"/>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153"/>
        </w:trPr>
        <w:tc>
          <w:tcPr>
            <w:tcW w:w="4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FRANCHISE</w:t>
            </w: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281"/>
              <w:spacing w:after="0" w:line="153" w:lineRule="exact"/>
              <w:rPr>
                <w:sz w:val="20"/>
                <w:szCs w:val="20"/>
                <w:color w:val="auto"/>
              </w:rPr>
            </w:pPr>
            <w:r>
              <w:rPr>
                <w:rFonts w:ascii="Arial" w:cs="Arial" w:eastAsia="Arial" w:hAnsi="Arial"/>
                <w:sz w:val="14"/>
                <w:szCs w:val="14"/>
                <w:b w:val="1"/>
                <w:bCs w:val="1"/>
                <w:color w:val="auto"/>
              </w:rPr>
              <w:t>FRANCHISE</w:t>
            </w:r>
          </w:p>
        </w:tc>
        <w:tc>
          <w:tcPr>
            <w:tcW w:w="0" w:type="dxa"/>
            <w:vAlign w:val="bottom"/>
          </w:tcPr>
          <w:p>
            <w:pPr>
              <w:spacing w:after="0"/>
              <w:rPr>
                <w:sz w:val="1"/>
                <w:szCs w:val="1"/>
                <w:color w:val="auto"/>
              </w:rPr>
            </w:pPr>
          </w:p>
        </w:tc>
      </w:tr>
      <w:tr>
        <w:trPr>
          <w:trHeight w:val="205"/>
        </w:trPr>
        <w:tc>
          <w:tcPr>
            <w:tcW w:w="4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20" w:type="dxa"/>
            <w:vAlign w:val="bottom"/>
            <w:gridSpan w:val="3"/>
          </w:tcPr>
          <w:p>
            <w:pPr>
              <w:ind w:left="60"/>
              <w:spacing w:after="0"/>
              <w:rPr>
                <w:sz w:val="20"/>
                <w:szCs w:val="20"/>
                <w:color w:val="auto"/>
              </w:rPr>
            </w:pPr>
            <w:r>
              <w:rPr>
                <w:rFonts w:ascii="Arial" w:cs="Arial" w:eastAsia="Arial" w:hAnsi="Arial"/>
                <w:sz w:val="14"/>
                <w:szCs w:val="14"/>
                <w:b w:val="1"/>
                <w:bCs w:val="1"/>
                <w:color w:val="auto"/>
              </w:rPr>
              <w:t>RESTAURANT SALES</w:t>
            </w:r>
          </w:p>
        </w:tc>
        <w:tc>
          <w:tcPr>
            <w:tcW w:w="24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REVENUE</w:t>
            </w:r>
          </w:p>
        </w:tc>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rPr>
              <w:t>RESTAURANT SALES</w:t>
            </w:r>
          </w:p>
        </w:tc>
        <w:tc>
          <w:tcPr>
            <w:tcW w:w="240" w:type="dxa"/>
            <w:vAlign w:val="bottom"/>
          </w:tcPr>
          <w:p>
            <w:pPr>
              <w:spacing w:after="0"/>
              <w:rPr>
                <w:sz w:val="17"/>
                <w:szCs w:val="17"/>
                <w:color w:val="auto"/>
              </w:rPr>
            </w:pPr>
          </w:p>
        </w:tc>
        <w:tc>
          <w:tcPr>
            <w:tcW w:w="1320" w:type="dxa"/>
            <w:vAlign w:val="bottom"/>
          </w:tcPr>
          <w:p>
            <w:pPr>
              <w:jc w:val="right"/>
              <w:ind w:right="341"/>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20" w:type="dxa"/>
            <w:vAlign w:val="bottom"/>
          </w:tcPr>
          <w:p>
            <w:pPr>
              <w:ind w:left="180"/>
              <w:spacing w:after="0"/>
              <w:rPr>
                <w:sz w:val="20"/>
                <w:szCs w:val="20"/>
                <w:color w:val="auto"/>
              </w:rPr>
            </w:pPr>
            <w:r>
              <w:rPr>
                <w:rFonts w:ascii="Arial" w:cs="Arial" w:eastAsia="Arial" w:hAnsi="Arial"/>
                <w:sz w:val="16"/>
                <w:szCs w:val="16"/>
                <w:color w:val="auto"/>
              </w:rPr>
              <w:t>Outback Steakhouse</w:t>
            </w:r>
          </w:p>
        </w:tc>
        <w:tc>
          <w:tcPr>
            <w:tcW w:w="54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530,685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6,541</w:t>
            </w:r>
          </w:p>
        </w:tc>
        <w:tc>
          <w:tcPr>
            <w:tcW w:w="100" w:type="dxa"/>
            <w:vAlign w:val="bottom"/>
          </w:tcPr>
          <w:p>
            <w:pPr>
              <w:spacing w:after="0"/>
              <w:rPr>
                <w:sz w:val="20"/>
                <w:szCs w:val="20"/>
                <w:color w:val="auto"/>
              </w:rPr>
            </w:pPr>
          </w:p>
        </w:tc>
        <w:tc>
          <w:tcPr>
            <w:tcW w:w="460" w:type="dxa"/>
            <w:vAlign w:val="bottom"/>
          </w:tcPr>
          <w:p>
            <w:pPr>
              <w:ind w:lef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586,771</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10,601</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Carrabba’s Italian Grill</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146,875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173,475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37"/>
        </w:trPr>
        <w:tc>
          <w:tcPr>
            <w:tcW w:w="4620" w:type="dxa"/>
            <w:vAlign w:val="bottom"/>
          </w:tcPr>
          <w:p>
            <w:pPr>
              <w:ind w:left="180"/>
              <w:spacing w:after="0"/>
              <w:rPr>
                <w:sz w:val="20"/>
                <w:szCs w:val="20"/>
                <w:color w:val="auto"/>
              </w:rPr>
            </w:pPr>
            <w:r>
              <w:rPr>
                <w:rFonts w:ascii="Arial" w:cs="Arial" w:eastAsia="Arial" w:hAnsi="Arial"/>
                <w:sz w:val="16"/>
                <w:szCs w:val="16"/>
                <w:color w:val="auto"/>
              </w:rPr>
              <w:t>Bonefish Grill</w:t>
            </w:r>
          </w:p>
        </w:tc>
        <w:tc>
          <w:tcPr>
            <w:tcW w:w="5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135,072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156,434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Fleming’s Prime Steakhouse &amp; Wine Bar</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70,960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83,026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w:t>
            </w:r>
          </w:p>
        </w:tc>
        <w:tc>
          <w:tcPr>
            <w:tcW w:w="54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1,297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1,107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6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total</w:t>
            </w:r>
          </w:p>
        </w:tc>
        <w:tc>
          <w:tcPr>
            <w:tcW w:w="540" w:type="dxa"/>
            <w:vAlign w:val="bottom"/>
            <w:tcBorders>
              <w:top w:val="single" w:sz="8" w:color="auto"/>
              <w:bottom w:val="single" w:sz="8" w:color="CCEEFF"/>
            </w:tcBorders>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884,889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1,000,813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10,982</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Outback Steakhouse Brazil (1)</w:t>
            </w:r>
          </w:p>
        </w:tc>
        <w:tc>
          <w:tcPr>
            <w:tcW w:w="540" w:type="dxa"/>
            <w:vAlign w:val="bottom"/>
            <w:tcBorders>
              <w:bottom w:val="single" w:sz="8" w:color="CCEEFF"/>
            </w:tcBorders>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91,590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89,565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(1)(2)</w:t>
            </w:r>
          </w:p>
        </w:tc>
        <w:tc>
          <w:tcPr>
            <w:tcW w:w="5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19,758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2,411</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21,264</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2,780</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 total</w:t>
            </w:r>
          </w:p>
        </w:tc>
        <w:tc>
          <w:tcPr>
            <w:tcW w:w="54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111,348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2,411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110,829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2,780</w:t>
            </w:r>
          </w:p>
        </w:tc>
        <w:tc>
          <w:tcPr>
            <w:tcW w:w="0" w:type="dxa"/>
            <w:vAlign w:val="bottom"/>
          </w:tcPr>
          <w:p>
            <w:pPr>
              <w:spacing w:after="0"/>
              <w:rPr>
                <w:sz w:val="1"/>
                <w:szCs w:val="1"/>
                <w:color w:val="auto"/>
              </w:rPr>
            </w:pPr>
          </w:p>
        </w:tc>
      </w:tr>
      <w:tr>
        <w:trPr>
          <w:trHeight w:val="250"/>
        </w:trPr>
        <w:tc>
          <w:tcPr>
            <w:tcW w:w="4620" w:type="dxa"/>
            <w:vAlign w:val="bottom"/>
          </w:tcPr>
          <w:p>
            <w:pPr>
              <w:ind w:left="500"/>
              <w:spacing w:after="0"/>
              <w:rPr>
                <w:sz w:val="20"/>
                <w:szCs w:val="20"/>
                <w:color w:val="auto"/>
              </w:rPr>
            </w:pPr>
            <w:r>
              <w:rPr>
                <w:rFonts w:ascii="Arial" w:cs="Arial" w:eastAsia="Arial" w:hAnsi="Arial"/>
                <w:sz w:val="16"/>
                <w:szCs w:val="16"/>
                <w:color w:val="auto"/>
              </w:rPr>
              <w:t>Total</w:t>
            </w:r>
          </w:p>
        </w:tc>
        <w:tc>
          <w:tcPr>
            <w:tcW w:w="5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996,237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9,549</w:t>
            </w:r>
          </w:p>
        </w:tc>
        <w:tc>
          <w:tcPr>
            <w:tcW w:w="100" w:type="dxa"/>
            <w:vAlign w:val="bottom"/>
          </w:tcPr>
          <w:p>
            <w:pPr>
              <w:spacing w:after="0"/>
              <w:rPr>
                <w:sz w:val="21"/>
                <w:szCs w:val="21"/>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1,111,642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13,762</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6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4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Brazil Restaurant sales are reported on a one-month lag and are presented on a calendar basis. Restaurant sales for Brazil during the first fiscal quarter of 2020 (through February 29, 2020) do not include any material impact from the COVID-19 pandemic.</w:t>
      </w: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Restaurant sales for the Company’s Abbraccio concept in Brazil.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00"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table includes a detail of assets and liabilities from contracts with customers included on the Company’s Consolidated Balance Sheets as of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30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20" w:type="dxa"/>
            <w:vAlign w:val="bottom"/>
            <w:gridSpan w:val="5"/>
          </w:tcPr>
          <w:p>
            <w:pPr>
              <w:ind w:left="400"/>
              <w:spacing w:after="0"/>
              <w:rPr>
                <w:sz w:val="20"/>
                <w:szCs w:val="20"/>
                <w:color w:val="auto"/>
              </w:rPr>
            </w:pPr>
            <w:r>
              <w:rPr>
                <w:rFonts w:ascii="Arial" w:cs="Arial" w:eastAsia="Arial" w:hAnsi="Arial"/>
                <w:sz w:val="14"/>
                <w:szCs w:val="14"/>
                <w:b w:val="1"/>
                <w:bCs w:val="1"/>
                <w:color w:val="auto"/>
              </w:rPr>
              <w:t>MARCH 29, 2020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8"/>
              </w:rPr>
              <w:t>DECEMBER 29, 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0" w:type="dxa"/>
            <w:vAlign w:val="bottom"/>
          </w:tcPr>
          <w:p>
            <w:pPr>
              <w:ind w:left="60"/>
              <w:spacing w:after="0"/>
              <w:rPr>
                <w:sz w:val="20"/>
                <w:szCs w:val="20"/>
                <w:color w:val="auto"/>
              </w:rPr>
            </w:pPr>
            <w:r>
              <w:rPr>
                <w:rFonts w:ascii="Arial" w:cs="Arial" w:eastAsia="Arial" w:hAnsi="Arial"/>
                <w:sz w:val="16"/>
                <w:szCs w:val="16"/>
                <w:color w:val="auto"/>
              </w:rPr>
              <w:t>Deferred gift card sales commissions</w:t>
            </w:r>
          </w:p>
        </w:tc>
        <w:tc>
          <w:tcPr>
            <w:tcW w:w="640" w:type="dxa"/>
            <w:vAlign w:val="bottom"/>
          </w:tcPr>
          <w:p>
            <w:pPr>
              <w:jc w:val="right"/>
              <w:ind w:right="460"/>
              <w:spacing w:after="0"/>
              <w:rPr>
                <w:sz w:val="20"/>
                <w:szCs w:val="20"/>
                <w:color w:val="auto"/>
              </w:rPr>
            </w:pPr>
            <w:r>
              <w:rPr>
                <w:rFonts w:ascii="Arial" w:cs="Arial" w:eastAsia="Arial" w:hAnsi="Arial"/>
                <w:sz w:val="16"/>
                <w:szCs w:val="16"/>
                <w:color w:val="auto"/>
                <w:w w:val="89"/>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13,049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18,554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gridSpan w:val="2"/>
          </w:tcPr>
          <w:p>
            <w:pPr>
              <w:ind w:left="20"/>
              <w:spacing w:after="0"/>
              <w:rPr>
                <w:sz w:val="20"/>
                <w:szCs w:val="20"/>
                <w:color w:val="auto"/>
              </w:rPr>
            </w:pPr>
            <w:r>
              <w:rPr>
                <w:rFonts w:ascii="Arial" w:cs="Arial" w:eastAsia="Arial" w:hAnsi="Arial"/>
                <w:sz w:val="16"/>
                <w:szCs w:val="16"/>
                <w:color w:val="auto"/>
              </w:rPr>
              <w:t>Unearned revenue</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Deferred gift card revenue</w:t>
            </w:r>
          </w:p>
        </w:tc>
        <w:tc>
          <w:tcPr>
            <w:tcW w:w="640" w:type="dxa"/>
            <w:vAlign w:val="bottom"/>
            <w:tcBorders>
              <w:bottom w:val="single" w:sz="8" w:color="CCEEFF"/>
            </w:tcBorders>
            <w:shd w:val="clear" w:color="auto" w:fill="CCEEFF"/>
          </w:tcPr>
          <w:p>
            <w:pPr>
              <w:jc w:val="right"/>
              <w:ind w:right="460"/>
              <w:spacing w:after="0"/>
              <w:rPr>
                <w:sz w:val="20"/>
                <w:szCs w:val="20"/>
                <w:color w:val="auto"/>
              </w:rPr>
            </w:pPr>
            <w:r>
              <w:rPr>
                <w:rFonts w:ascii="Arial" w:cs="Arial" w:eastAsia="Arial" w:hAnsi="Arial"/>
                <w:sz w:val="16"/>
                <w:szCs w:val="16"/>
                <w:color w:val="auto"/>
                <w:w w:val="89"/>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277,518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358,757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0" w:type="dxa"/>
            <w:vAlign w:val="bottom"/>
          </w:tcPr>
          <w:p>
            <w:pPr>
              <w:ind w:left="60"/>
              <w:spacing w:after="0"/>
              <w:rPr>
                <w:sz w:val="20"/>
                <w:szCs w:val="20"/>
                <w:color w:val="auto"/>
              </w:rPr>
            </w:pPr>
            <w:r>
              <w:rPr>
                <w:rFonts w:ascii="Arial" w:cs="Arial" w:eastAsia="Arial" w:hAnsi="Arial"/>
                <w:sz w:val="16"/>
                <w:szCs w:val="16"/>
                <w:color w:val="auto"/>
              </w:rPr>
              <w:t>Deferred loyalty revenue</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11,076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10,034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Deferred franchise fees - current</w:t>
            </w:r>
          </w:p>
        </w:tc>
        <w:tc>
          <w:tcPr>
            <w:tcW w:w="64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80" w:type="dxa"/>
            <w:vAlign w:val="bottom"/>
            <w:tcBorders>
              <w:bottom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Unearned revenue</w:t>
            </w:r>
          </w:p>
        </w:tc>
        <w:tc>
          <w:tcPr>
            <w:tcW w:w="64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w w:val="89"/>
              </w:rPr>
              <w:t>$</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289,085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369,282</w:t>
            </w: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gridSpan w:val="2"/>
          </w:tcPr>
          <w:p>
            <w:pPr>
              <w:ind w:left="20"/>
              <w:spacing w:after="0"/>
              <w:rPr>
                <w:sz w:val="20"/>
                <w:szCs w:val="20"/>
                <w:color w:val="auto"/>
              </w:rPr>
            </w:pPr>
            <w:r>
              <w:rPr>
                <w:rFonts w:ascii="Arial" w:cs="Arial" w:eastAsia="Arial" w:hAnsi="Arial"/>
                <w:sz w:val="16"/>
                <w:szCs w:val="16"/>
                <w:color w:val="auto"/>
              </w:rPr>
              <w:t>Other long-term liabilities, net</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Deferred franchise fees - non-current</w:t>
            </w:r>
          </w:p>
        </w:tc>
        <w:tc>
          <w:tcPr>
            <w:tcW w:w="640" w:type="dxa"/>
            <w:vAlign w:val="bottom"/>
            <w:tcBorders>
              <w:bottom w:val="single" w:sz="8" w:color="CCEEFF"/>
            </w:tcBorders>
            <w:shd w:val="clear" w:color="auto" w:fill="CCEEFF"/>
          </w:tcPr>
          <w:p>
            <w:pPr>
              <w:jc w:val="right"/>
              <w:ind w:right="460"/>
              <w:spacing w:after="0"/>
              <w:rPr>
                <w:sz w:val="20"/>
                <w:szCs w:val="20"/>
                <w:color w:val="auto"/>
              </w:rPr>
            </w:pPr>
            <w:r>
              <w:rPr>
                <w:rFonts w:ascii="Arial" w:cs="Arial" w:eastAsia="Arial" w:hAnsi="Arial"/>
                <w:sz w:val="16"/>
                <w:szCs w:val="16"/>
                <w:color w:val="auto"/>
                <w:w w:val="89"/>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3"/>
        </w:trPr>
        <w:tc>
          <w:tcPr>
            <w:tcW w:w="8140" w:type="dxa"/>
            <w:vAlign w:val="bottom"/>
            <w:gridSpan w:val="6"/>
          </w:tcPr>
          <w:p>
            <w:pPr>
              <w:spacing w:after="0"/>
              <w:rPr>
                <w:sz w:val="20"/>
                <w:szCs w:val="20"/>
                <w:color w:val="auto"/>
              </w:rPr>
            </w:pPr>
            <w:r>
              <w:rPr>
                <w:rFonts w:ascii="Arial" w:cs="Arial" w:eastAsia="Arial" w:hAnsi="Arial"/>
                <w:sz w:val="20"/>
                <w:szCs w:val="20"/>
                <w:color w:val="auto"/>
                <w:w w:val="92"/>
              </w:rPr>
              <w:t>The following table is a rollforward of deferred gift card sales commissions for the periods indicated:</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jc w:val="right"/>
              <w:ind w:right="580"/>
              <w:spacing w:after="0"/>
              <w:rPr>
                <w:sz w:val="20"/>
                <w:szCs w:val="20"/>
                <w:color w:val="auto"/>
              </w:rPr>
            </w:pPr>
            <w:r>
              <w:rPr>
                <w:rFonts w:ascii="Arial" w:cs="Arial" w:eastAsia="Arial" w:hAnsi="Arial"/>
                <w:sz w:val="14"/>
                <w:szCs w:val="14"/>
                <w:b w:val="1"/>
                <w:bCs w:val="1"/>
                <w:color w:val="auto"/>
              </w:rPr>
              <w:t>THIRTEEN WEEKS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29, 2020</w:t>
            </w: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9"/>
              </w:rPr>
              <w:t>MARCH 31, 2019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18,554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0" w:type="dxa"/>
            <w:vAlign w:val="bottom"/>
          </w:tcPr>
          <w:p>
            <w:pPr>
              <w:ind w:left="160"/>
              <w:spacing w:after="0"/>
              <w:rPr>
                <w:sz w:val="20"/>
                <w:szCs w:val="20"/>
                <w:color w:val="auto"/>
              </w:rPr>
            </w:pPr>
            <w:r>
              <w:rPr>
                <w:rFonts w:ascii="Arial" w:cs="Arial" w:eastAsia="Arial" w:hAnsi="Arial"/>
                <w:sz w:val="16"/>
                <w:szCs w:val="16"/>
                <w:color w:val="auto"/>
              </w:rPr>
              <w:t>Deferred gift card sales commissions amortization</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(9,090)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(8,407)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gift card sales commissions capitalization</w:t>
            </w:r>
          </w:p>
        </w:tc>
        <w:tc>
          <w:tcPr>
            <w:tcW w:w="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4,324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3,833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Other</w:t>
            </w:r>
          </w:p>
        </w:tc>
        <w:tc>
          <w:tcPr>
            <w:tcW w:w="64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(739)</w:t>
            </w: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13,049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11,195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spacing w:after="0"/>
              <w:rPr>
                <w:sz w:val="20"/>
                <w:szCs w:val="20"/>
                <w:color w:val="auto"/>
              </w:rPr>
            </w:pPr>
            <w:r>
              <w:rPr>
                <w:rFonts w:ascii="Arial" w:cs="Arial" w:eastAsia="Arial" w:hAnsi="Arial"/>
                <w:sz w:val="20"/>
                <w:szCs w:val="20"/>
                <w:color w:val="auto"/>
                <w:w w:val="91"/>
              </w:rPr>
              <w:t>The following table is a rollforward of unearned gift card revenue for the periods indicated:</w:t>
            </w:r>
          </w:p>
        </w:tc>
        <w:tc>
          <w:tcPr>
            <w:tcW w:w="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6"/>
        </w:trPr>
        <w:tc>
          <w:tcPr>
            <w:tcW w:w="732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9"/>
          </w:tcPr>
          <w:p>
            <w:pPr>
              <w:jc w:val="right"/>
              <w:ind w:right="660"/>
              <w:spacing w:after="0"/>
              <w:rPr>
                <w:sz w:val="20"/>
                <w:szCs w:val="20"/>
                <w:color w:val="auto"/>
              </w:rPr>
            </w:pPr>
            <w:r>
              <w:rPr>
                <w:rFonts w:ascii="Arial" w:cs="Arial" w:eastAsia="Arial" w:hAnsi="Arial"/>
                <w:sz w:val="14"/>
                <w:szCs w:val="14"/>
                <w:b w:val="1"/>
                <w:bCs w:val="1"/>
                <w:color w:val="auto"/>
              </w:rPr>
              <w:t>THIRTEEN WEEKS ENDED</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73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7"/>
              </w:rPr>
              <w:t>MARCH 29, 2020</w:t>
            </w: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MARCH 31, 2019</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8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358,757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333,794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0" w:type="dxa"/>
            <w:vAlign w:val="bottom"/>
          </w:tcPr>
          <w:p>
            <w:pPr>
              <w:ind w:left="60"/>
              <w:spacing w:after="0"/>
              <w:rPr>
                <w:sz w:val="20"/>
                <w:szCs w:val="20"/>
                <w:color w:val="auto"/>
              </w:rPr>
            </w:pPr>
            <w:r>
              <w:rPr>
                <w:rFonts w:ascii="Arial" w:cs="Arial" w:eastAsia="Arial" w:hAnsi="Arial"/>
                <w:sz w:val="16"/>
                <w:szCs w:val="16"/>
                <w:color w:val="auto"/>
              </w:rPr>
              <w:t>Gift card sales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58,439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55,472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Gift card redemptions</w:t>
            </w:r>
          </w:p>
        </w:tc>
        <w:tc>
          <w:tcPr>
            <w:tcW w:w="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(133,181)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(141,459)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72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Gift card breakage</w:t>
            </w:r>
          </w:p>
        </w:tc>
        <w:tc>
          <w:tcPr>
            <w:tcW w:w="6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color w:val="auto"/>
              </w:rPr>
              <w:t>(6,497)</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(6,884)</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277,518</w:t>
            </w:r>
          </w:p>
        </w:tc>
        <w:tc>
          <w:tcPr>
            <w:tcW w:w="8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240,923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0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6"/>
          <w:szCs w:val="16"/>
          <w:color w:val="auto"/>
        </w:rPr>
        <w:t>Impairments, Exit Costs and Disposals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Provision for impaired assets and restaurant closings are as follows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THIRTEEN WEEKS ENDED</w:t>
            </w:r>
          </w:p>
        </w:tc>
      </w:tr>
      <w:tr>
        <w:trPr>
          <w:trHeight w:val="263"/>
        </w:trPr>
        <w:tc>
          <w:tcPr>
            <w:tcW w:w="81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29, 2020</w:t>
            </w:r>
          </w:p>
        </w:tc>
        <w:tc>
          <w:tcPr>
            <w:tcW w:w="140" w:type="dxa"/>
            <w:vAlign w:val="bottom"/>
          </w:tcPr>
          <w:p>
            <w:pPr>
              <w:spacing w:after="0"/>
              <w:rPr>
                <w:sz w:val="22"/>
                <w:szCs w:val="22"/>
                <w:color w:val="auto"/>
              </w:rPr>
            </w:pPr>
          </w:p>
        </w:tc>
        <w:tc>
          <w:tcPr>
            <w:tcW w:w="1300" w:type="dxa"/>
            <w:vAlign w:val="bottom"/>
          </w:tcPr>
          <w:p>
            <w:pPr>
              <w:jc w:val="right"/>
              <w:ind w:right="100"/>
              <w:spacing w:after="0"/>
              <w:rPr>
                <w:sz w:val="20"/>
                <w:szCs w:val="20"/>
                <w:color w:val="auto"/>
              </w:rPr>
            </w:pPr>
            <w:r>
              <w:rPr>
                <w:rFonts w:ascii="Arial" w:cs="Arial" w:eastAsia="Arial" w:hAnsi="Arial"/>
                <w:sz w:val="14"/>
                <w:szCs w:val="14"/>
                <w:b w:val="1"/>
                <w:bCs w:val="1"/>
                <w:color w:val="auto"/>
                <w:w w:val="99"/>
              </w:rPr>
              <w:t>MARCH 31, 2019</w:t>
            </w:r>
          </w:p>
        </w:tc>
      </w:tr>
      <w:tr>
        <w:trPr>
          <w:trHeight w:val="250"/>
        </w:trPr>
        <w:tc>
          <w:tcPr>
            <w:tcW w:w="8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losses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U.S.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30,972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3,464</w:t>
            </w: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 (1)</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r>
      <w:tr>
        <w:trPr>
          <w:trHeight w:val="270"/>
        </w:trPr>
        <w:tc>
          <w:tcPr>
            <w:tcW w:w="81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w:t>
            </w: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6,280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3"/>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impairment losses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40,424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3,482</w:t>
            </w:r>
          </w:p>
        </w:tc>
      </w:tr>
      <w:tr>
        <w:trPr>
          <w:trHeight w:val="231"/>
        </w:trPr>
        <w:tc>
          <w:tcPr>
            <w:tcW w:w="8100" w:type="dxa"/>
            <w:vAlign w:val="bottom"/>
          </w:tcPr>
          <w:p>
            <w:pPr>
              <w:ind w:left="40"/>
              <w:spacing w:after="0"/>
              <w:rPr>
                <w:sz w:val="20"/>
                <w:szCs w:val="20"/>
                <w:color w:val="auto"/>
              </w:rPr>
            </w:pPr>
            <w:r>
              <w:rPr>
                <w:rFonts w:ascii="Arial" w:cs="Arial" w:eastAsia="Arial" w:hAnsi="Arial"/>
                <w:sz w:val="16"/>
                <w:szCs w:val="16"/>
                <w:color w:val="auto"/>
              </w:rPr>
              <w:t>Restaurant closure expenses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w:t>
            </w:r>
          </w:p>
        </w:tc>
      </w:tr>
      <w:tr>
        <w:trPr>
          <w:trHeight w:val="270"/>
        </w:trPr>
        <w:tc>
          <w:tcPr>
            <w:tcW w:w="81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International</w:t>
            </w: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w:t>
            </w:r>
          </w:p>
        </w:tc>
      </w:tr>
      <w:tr>
        <w:trPr>
          <w:trHeight w:val="257"/>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restaurant closure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r>
      <w:tr>
        <w:trPr>
          <w:trHeight w:val="250"/>
        </w:trPr>
        <w:tc>
          <w:tcPr>
            <w:tcW w:w="8100" w:type="dxa"/>
            <w:vAlign w:val="bottom"/>
          </w:tcPr>
          <w:p>
            <w:pPr>
              <w:ind w:left="40"/>
              <w:spacing w:after="0"/>
              <w:rPr>
                <w:sz w:val="20"/>
                <w:szCs w:val="20"/>
                <w:color w:val="auto"/>
              </w:rPr>
            </w:pPr>
            <w:r>
              <w:rPr>
                <w:rFonts w:ascii="Arial" w:cs="Arial" w:eastAsia="Arial" w:hAnsi="Arial"/>
                <w:sz w:val="16"/>
                <w:szCs w:val="16"/>
                <w:color w:val="auto"/>
              </w:rPr>
              <w:t>Provision for impaired assets and restaurant closings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41,318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3,586</w:t>
            </w: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line="257"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Includes goodwill impairment charges of $2.0 million during the thirteen weeks ended March 29, 2020. See Note 8 - </w:t>
      </w:r>
      <w:r>
        <w:rPr>
          <w:rFonts w:ascii="Arial" w:cs="Arial" w:eastAsia="Arial" w:hAnsi="Arial"/>
          <w:sz w:val="16"/>
          <w:szCs w:val="16"/>
          <w:i w:val="1"/>
          <w:iCs w:val="1"/>
          <w:color w:val="auto"/>
        </w:rPr>
        <w:t>Goodwill and Intangible Assets, Net</w:t>
      </w:r>
      <w:r>
        <w:rPr>
          <w:rFonts w:ascii="Arial" w:cs="Arial" w:eastAsia="Arial" w:hAnsi="Arial"/>
          <w:sz w:val="16"/>
          <w:szCs w:val="16"/>
          <w:color w:val="auto"/>
        </w:rPr>
        <w:t xml:space="preserve"> for details regarding impairment of goodwill.</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During the thirteen weeks ended March 29, 2020, the Company recognized asset impairment and closure charges related to the COVID-19 pandemic of $31.3 million in the U.S. segment and $3.3 million in the international segment. The Company also recognized asset impairment charges related to transformational initiatives of $6.3 million, which were not allocated to its operating segments.</w:t>
      </w:r>
    </w:p>
    <w:p>
      <w:pPr>
        <w:spacing w:after="0" w:line="15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remaining impairment and closing charges for the periods presented resulted primarily from locations identified for remodel, relocation or closure and certain other assets.</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Accrued Facility Closure and Other Costs Rollforward </w:t>
      </w:r>
      <w:r>
        <w:rPr>
          <w:rFonts w:ascii="Arial" w:cs="Arial" w:eastAsia="Arial" w:hAnsi="Arial"/>
          <w:sz w:val="20"/>
          <w:szCs w:val="20"/>
          <w:color w:val="auto"/>
        </w:rPr>
        <w:t>- The following table summarizes the Company’s accrual activity related to facility</w:t>
      </w:r>
      <w:r>
        <w:rPr>
          <w:rFonts w:ascii="Arial" w:cs="Arial" w:eastAsia="Arial" w:hAnsi="Arial"/>
          <w:sz w:val="20"/>
          <w:szCs w:val="20"/>
          <w:i w:val="1"/>
          <w:iCs w:val="1"/>
          <w:color w:val="auto"/>
        </w:rPr>
        <w:t xml:space="preserve"> </w:t>
      </w:r>
      <w:r>
        <w:rPr>
          <w:rFonts w:ascii="Arial" w:cs="Arial" w:eastAsia="Arial" w:hAnsi="Arial"/>
          <w:sz w:val="20"/>
          <w:szCs w:val="20"/>
          <w:color w:val="auto"/>
        </w:rPr>
        <w:t>closure and other costs, associated with certain closure initiatives, for the period indicated: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jc w:val="right"/>
              <w:ind w:right="442"/>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22"/>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ind w:right="822"/>
              <w:spacing w:after="0"/>
              <w:rPr>
                <w:sz w:val="20"/>
                <w:szCs w:val="20"/>
                <w:color w:val="auto"/>
              </w:rPr>
            </w:pPr>
            <w:r>
              <w:rPr>
                <w:rFonts w:ascii="Arial" w:cs="Arial" w:eastAsia="Arial" w:hAnsi="Arial"/>
                <w:sz w:val="14"/>
                <w:szCs w:val="14"/>
                <w:b w:val="1"/>
                <w:bCs w:val="1"/>
                <w:color w:val="auto"/>
              </w:rPr>
              <w:t>MARCH 29, 2020</w:t>
            </w:r>
          </w:p>
        </w:tc>
        <w:tc>
          <w:tcPr>
            <w:tcW w:w="0" w:type="dxa"/>
            <w:vAlign w:val="bottom"/>
          </w:tcPr>
          <w:p>
            <w:pPr>
              <w:spacing w:after="0"/>
              <w:rPr>
                <w:sz w:val="1"/>
                <w:szCs w:val="1"/>
                <w:color w:val="auto"/>
              </w:rPr>
            </w:pPr>
          </w:p>
        </w:tc>
      </w:tr>
      <w:tr>
        <w:trPr>
          <w:trHeight w:val="23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the period</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14,542</w:t>
            </w:r>
          </w:p>
        </w:tc>
        <w:tc>
          <w:tcPr>
            <w:tcW w:w="0" w:type="dxa"/>
            <w:vAlign w:val="bottom"/>
          </w:tcPr>
          <w:p>
            <w:pPr>
              <w:spacing w:after="0"/>
              <w:rPr>
                <w:sz w:val="1"/>
                <w:szCs w:val="1"/>
                <w:color w:val="auto"/>
              </w:rPr>
            </w:pPr>
          </w:p>
        </w:tc>
      </w:tr>
      <w:tr>
        <w:trPr>
          <w:trHeight w:val="223"/>
        </w:trPr>
        <w:tc>
          <w:tcPr>
            <w:tcW w:w="8320" w:type="dxa"/>
            <w:vAlign w:val="bottom"/>
          </w:tcPr>
          <w:p>
            <w:pPr>
              <w:ind w:left="180"/>
              <w:spacing w:after="0"/>
              <w:rPr>
                <w:sz w:val="20"/>
                <w:szCs w:val="20"/>
                <w:color w:val="auto"/>
              </w:rPr>
            </w:pPr>
            <w:r>
              <w:rPr>
                <w:rFonts w:ascii="Arial" w:cs="Arial" w:eastAsia="Arial" w:hAnsi="Arial"/>
                <w:sz w:val="16"/>
                <w:szCs w:val="16"/>
                <w:color w:val="auto"/>
              </w:rPr>
              <w:t>Cash payments</w:t>
            </w:r>
          </w:p>
        </w:tc>
        <w:tc>
          <w:tcPr>
            <w:tcW w:w="3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Accretion</w:t>
            </w:r>
          </w:p>
        </w:tc>
        <w:tc>
          <w:tcPr>
            <w:tcW w:w="3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70"/>
        </w:trPr>
        <w:tc>
          <w:tcPr>
            <w:tcW w:w="83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Adjustments</w:t>
            </w:r>
          </w:p>
        </w:tc>
        <w:tc>
          <w:tcPr>
            <w:tcW w:w="32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end of the period (1)</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6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14,326</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3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832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60" w:right="20" w:hanging="652"/>
        <w:spacing w:after="0" w:line="257"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of March 29, 2020, the Company had exit-related accruals related to certain closure initiatives of $3.2 million recorded in Accrued and other current liabilities and $11.1 million recorded in Non-current operating lease liabilities on its Consolidated Balance Sheet.</w:t>
      </w:r>
    </w:p>
    <w:p>
      <w:pPr>
        <w:spacing w:after="0" w:line="15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i w:val="1"/>
          <w:iCs w:val="1"/>
          <w:color w:val="252525"/>
        </w:rPr>
        <w:t xml:space="preserve">Refranchising </w:t>
      </w:r>
      <w:r>
        <w:rPr>
          <w:rFonts w:ascii="Arial" w:cs="Arial" w:eastAsia="Arial" w:hAnsi="Arial"/>
          <w:sz w:val="18"/>
          <w:szCs w:val="18"/>
          <w:color w:val="252525"/>
        </w:rPr>
        <w:t>- During the thirteen weeks ended March 31, 2019, the Company completed the sale of 18 of its existing U.S. Company-owned Carrabba’s Italian Grill locations to an existing franchisee for cash proceeds of $3.6 million, net of certain purchase price adjustments.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0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16"/>
          <w:szCs w:val="16"/>
          <w:color w:val="auto"/>
        </w:rPr>
        <w:t>(Loss) Earnings Per Share</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presents the computation of basic and diluted (loss) earnings per share attributable to common stockholders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THIRTEEN WEEKS ENDED</w:t>
            </w:r>
          </w:p>
        </w:tc>
      </w:tr>
      <w:tr>
        <w:trPr>
          <w:trHeight w:val="263"/>
        </w:trPr>
        <w:tc>
          <w:tcPr>
            <w:tcW w:w="822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22"/>
                <w:szCs w:val="22"/>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2020</w:t>
            </w:r>
          </w:p>
        </w:tc>
        <w:tc>
          <w:tcPr>
            <w:tcW w:w="140" w:type="dxa"/>
            <w:vAlign w:val="bottom"/>
          </w:tcPr>
          <w:p>
            <w:pPr>
              <w:spacing w:after="0"/>
              <w:rPr>
                <w:sz w:val="22"/>
                <w:szCs w:val="22"/>
                <w:color w:val="auto"/>
              </w:rPr>
            </w:pPr>
          </w:p>
        </w:tc>
        <w:tc>
          <w:tcPr>
            <w:tcW w:w="1300" w:type="dxa"/>
            <w:vAlign w:val="bottom"/>
          </w:tcPr>
          <w:p>
            <w:pPr>
              <w:jc w:val="right"/>
              <w:ind w:right="100"/>
              <w:spacing w:after="0"/>
              <w:rPr>
                <w:sz w:val="20"/>
                <w:szCs w:val="20"/>
                <w:color w:val="auto"/>
              </w:rPr>
            </w:pPr>
            <w:r>
              <w:rPr>
                <w:rFonts w:ascii="Arial" w:cs="Arial" w:eastAsia="Arial" w:hAnsi="Arial"/>
                <w:sz w:val="14"/>
                <w:szCs w:val="14"/>
                <w:b w:val="1"/>
                <w:bCs w:val="1"/>
                <w:color w:val="auto"/>
                <w:w w:val="99"/>
              </w:rPr>
              <w:t>MARCH 31, 2019</w:t>
            </w:r>
          </w:p>
        </w:tc>
      </w:tr>
      <w:tr>
        <w:trPr>
          <w:trHeight w:val="264"/>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Bloomin’ Brands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(34,611)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64,300</w:t>
            </w:r>
          </w:p>
        </w:tc>
      </w:tr>
      <w:tr>
        <w:trPr>
          <w:trHeight w:val="270"/>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Redemption of preferred stock in excess of carrying value (1)</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64,300</w:t>
            </w:r>
          </w:p>
        </w:tc>
      </w:tr>
      <w:tr>
        <w:trPr>
          <w:trHeight w:val="20"/>
        </w:trPr>
        <w:tc>
          <w:tcPr>
            <w:tcW w:w="8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70"/>
        </w:trPr>
        <w:tc>
          <w:tcPr>
            <w:tcW w:w="8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weighted average common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87,129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91,415</w:t>
            </w:r>
          </w:p>
        </w:tc>
      </w:tr>
      <w:tr>
        <w:trPr>
          <w:trHeight w:val="283"/>
        </w:trPr>
        <w:tc>
          <w:tcPr>
            <w:tcW w:w="8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diluted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Stock options</w:t>
            </w: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792</w:t>
            </w:r>
          </w:p>
        </w:tc>
      </w:tr>
      <w:tr>
        <w:trPr>
          <w:trHeight w:val="33"/>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Nonvested restricted stock units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358</w:t>
            </w:r>
          </w:p>
        </w:tc>
      </w:tr>
      <w:tr>
        <w:trPr>
          <w:trHeight w:val="270"/>
        </w:trPr>
        <w:tc>
          <w:tcPr>
            <w:tcW w:w="8220" w:type="dxa"/>
            <w:vAlign w:val="bottom"/>
          </w:tcPr>
          <w:p>
            <w:pPr>
              <w:ind w:left="180"/>
              <w:spacing w:after="0"/>
              <w:rPr>
                <w:sz w:val="20"/>
                <w:szCs w:val="20"/>
                <w:color w:val="auto"/>
              </w:rPr>
            </w:pPr>
            <w:r>
              <w:rPr>
                <w:rFonts w:ascii="Arial" w:cs="Arial" w:eastAsia="Arial" w:hAnsi="Arial"/>
                <w:sz w:val="16"/>
                <w:szCs w:val="16"/>
                <w:color w:val="auto"/>
              </w:rPr>
              <w:t>Nonvested performance-based share units</w:t>
            </w:r>
          </w:p>
        </w:tc>
        <w:tc>
          <w:tcPr>
            <w:tcW w:w="14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96</w:t>
            </w:r>
          </w:p>
        </w:tc>
      </w:tr>
      <w:tr>
        <w:trPr>
          <w:trHeight w:val="244"/>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 average common shares outstanding</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87,129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92,661</w:t>
            </w:r>
          </w:p>
        </w:tc>
      </w:tr>
      <w:tr>
        <w:trPr>
          <w:trHeight w:val="20"/>
        </w:trPr>
        <w:tc>
          <w:tcPr>
            <w:tcW w:w="8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70"/>
        </w:trPr>
        <w:tc>
          <w:tcPr>
            <w:tcW w:w="8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(loss) earnings per share attributable to common stockholders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0.70</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Diluted (loss) earnings per share attributable to common stockholders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0.69</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jc w:val="both"/>
        <w:ind w:left="660" w:hanging="652"/>
        <w:spacing w:after="0" w:line="25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Consideration paid in excess of carrying value for the redemption of preferred stock is considered a deemed dividend and, for purposes of calculating earnings per share, reduces net income attributable to common stockholders for the thirteen weeks ended March 29, 2020. See Note 12 -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for additional details regarding the redemption of preferred stock of the Company’s Abbraccio subsidiary.</w:t>
      </w:r>
    </w:p>
    <w:p>
      <w:pPr>
        <w:spacing w:after="0" w:line="15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Securities outstanding not included in the computation of (loss) earnings per share attributable to common stockholders because their effect was antidilutive were as follows,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20" w:type="dxa"/>
            <w:vAlign w:val="bottom"/>
          </w:tcPr>
          <w:p>
            <w:pPr>
              <w:spacing w:after="0"/>
              <w:rPr>
                <w:sz w:val="17"/>
                <w:szCs w:val="17"/>
                <w:color w:val="auto"/>
              </w:rPr>
            </w:pPr>
          </w:p>
        </w:tc>
        <w:tc>
          <w:tcPr>
            <w:tcW w:w="302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THIRTEEN WEEKS ENDED</w:t>
            </w:r>
          </w:p>
        </w:tc>
      </w:tr>
      <w:tr>
        <w:trPr>
          <w:trHeight w:val="263"/>
        </w:trPr>
        <w:tc>
          <w:tcPr>
            <w:tcW w:w="8220" w:type="dxa"/>
            <w:vAlign w:val="bottom"/>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29, 2020</w:t>
            </w:r>
          </w:p>
        </w:tc>
        <w:tc>
          <w:tcPr>
            <w:tcW w:w="1440" w:type="dxa"/>
            <w:vAlign w:val="bottom"/>
          </w:tcPr>
          <w:p>
            <w:pPr>
              <w:jc w:val="right"/>
              <w:ind w:right="101"/>
              <w:spacing w:after="0"/>
              <w:rPr>
                <w:sz w:val="20"/>
                <w:szCs w:val="20"/>
                <w:color w:val="auto"/>
              </w:rPr>
            </w:pPr>
            <w:r>
              <w:rPr>
                <w:rFonts w:ascii="Arial" w:cs="Arial" w:eastAsia="Arial" w:hAnsi="Arial"/>
                <w:sz w:val="14"/>
                <w:szCs w:val="14"/>
                <w:b w:val="1"/>
                <w:bCs w:val="1"/>
                <w:color w:val="auto"/>
              </w:rPr>
              <w:t>MARCH 31, 2019</w:t>
            </w:r>
          </w:p>
        </w:tc>
      </w:tr>
      <w:tr>
        <w:trPr>
          <w:trHeight w:val="237"/>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Stock options</w:t>
            </w:r>
          </w:p>
        </w:tc>
        <w:tc>
          <w:tcPr>
            <w:tcW w:w="14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4,665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3,384</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Nonvested restricted stock units</w:t>
            </w: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20"/>
                <w:szCs w:val="20"/>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222</w:t>
            </w:r>
          </w:p>
        </w:tc>
      </w:tr>
      <w:tr>
        <w:trPr>
          <w:trHeight w:val="33"/>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Nonvested performance-based share units</w:t>
            </w:r>
          </w:p>
        </w:tc>
        <w:tc>
          <w:tcPr>
            <w:tcW w:w="14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533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260</w:t>
            </w:r>
          </w:p>
        </w:tc>
      </w:tr>
      <w:tr>
        <w:trPr>
          <w:trHeight w:val="40"/>
        </w:trPr>
        <w:tc>
          <w:tcPr>
            <w:tcW w:w="822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6"/>
          <w:szCs w:val="16"/>
          <w:color w:val="auto"/>
        </w:rPr>
        <w:t>Stock-based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Company recognized stock-based compensation expense as follows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4"/>
                <w:szCs w:val="14"/>
                <w:b w:val="1"/>
                <w:bCs w:val="1"/>
                <w:color w:val="auto"/>
              </w:rPr>
              <w:t>THIRTEEN WEEKS ENDED</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22"/>
                <w:szCs w:val="22"/>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2020</w:t>
            </w:r>
          </w:p>
        </w:tc>
        <w:tc>
          <w:tcPr>
            <w:tcW w:w="140" w:type="dxa"/>
            <w:vAlign w:val="bottom"/>
          </w:tcPr>
          <w:p>
            <w:pPr>
              <w:spacing w:after="0"/>
              <w:rPr>
                <w:sz w:val="22"/>
                <w:szCs w:val="22"/>
                <w:color w:val="auto"/>
              </w:rPr>
            </w:pPr>
          </w:p>
        </w:tc>
        <w:tc>
          <w:tcPr>
            <w:tcW w:w="1300" w:type="dxa"/>
            <w:vAlign w:val="bottom"/>
          </w:tcPr>
          <w:p>
            <w:pPr>
              <w:jc w:val="right"/>
              <w:ind w:right="101"/>
              <w:spacing w:after="0"/>
              <w:rPr>
                <w:sz w:val="20"/>
                <w:szCs w:val="20"/>
                <w:color w:val="auto"/>
              </w:rPr>
            </w:pPr>
            <w:r>
              <w:rPr>
                <w:rFonts w:ascii="Arial" w:cs="Arial" w:eastAsia="Arial" w:hAnsi="Arial"/>
                <w:sz w:val="14"/>
                <w:szCs w:val="14"/>
                <w:b w:val="1"/>
                <w:bCs w:val="1"/>
                <w:color w:val="auto"/>
                <w:w w:val="99"/>
              </w:rPr>
              <w:t>MARCH 31, 2019</w:t>
            </w:r>
          </w:p>
        </w:tc>
      </w:tr>
      <w:tr>
        <w:trPr>
          <w:trHeight w:val="236"/>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1,159</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140" w:type="dxa"/>
            <w:vAlign w:val="bottom"/>
          </w:tcPr>
          <w:p>
            <w:pPr>
              <w:spacing w:after="0"/>
              <w:rPr>
                <w:sz w:val="20"/>
                <w:szCs w:val="20"/>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1,683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1,749</w:t>
            </w:r>
          </w:p>
        </w:tc>
      </w:tr>
      <w:tr>
        <w:trPr>
          <w:trHeight w:val="33"/>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Performance-based share units</w:t>
            </w: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1,003</w:t>
            </w:r>
          </w:p>
        </w:tc>
      </w:tr>
      <w:tr>
        <w:trPr>
          <w:trHeight w:val="223"/>
        </w:trPr>
        <w:tc>
          <w:tcPr>
            <w:tcW w:w="8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3,214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3,911</w:t>
            </w:r>
          </w:p>
        </w:tc>
      </w:tr>
      <w:tr>
        <w:trPr>
          <w:trHeight w:val="33"/>
        </w:trPr>
        <w:tc>
          <w:tcPr>
            <w:tcW w:w="8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During the thirteen weeks ended March 29, 2020, the Company made grants of 0.1 million stock options, 0.3 million time-based restricted stock units and 0.5 million performance-based share units.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0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Assumptions used in the Black-Scholes option pricing model and the weighted-average fair value of option awards granted were as follows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gridSpan w:val="4"/>
          </w:tcPr>
          <w:p>
            <w:pPr>
              <w:jc w:val="right"/>
              <w:ind w:right="981"/>
              <w:spacing w:after="0"/>
              <w:rPr>
                <w:sz w:val="20"/>
                <w:szCs w:val="20"/>
                <w:color w:val="auto"/>
              </w:rPr>
            </w:pPr>
            <w:r>
              <w:rPr>
                <w:rFonts w:ascii="Arial" w:cs="Arial" w:eastAsia="Arial" w:hAnsi="Arial"/>
                <w:sz w:val="14"/>
                <w:szCs w:val="14"/>
                <w:b w:val="1"/>
                <w:bCs w:val="1"/>
                <w:color w:val="auto"/>
              </w:rPr>
              <w:t>THIRTEEN WEEKS ENDED</w:t>
            </w:r>
          </w:p>
        </w:tc>
      </w:tr>
      <w:tr>
        <w:trPr>
          <w:trHeight w:val="250"/>
        </w:trPr>
        <w:tc>
          <w:tcPr>
            <w:tcW w:w="7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 2020</w:t>
            </w:r>
          </w:p>
        </w:tc>
        <w:tc>
          <w:tcPr>
            <w:tcW w:w="260" w:type="dxa"/>
            <w:vAlign w:val="bottom"/>
          </w:tcPr>
          <w:p>
            <w:pPr>
              <w:spacing w:after="0"/>
              <w:rPr>
                <w:sz w:val="21"/>
                <w:szCs w:val="21"/>
                <w:color w:val="auto"/>
              </w:rPr>
            </w:pPr>
          </w:p>
        </w:tc>
        <w:tc>
          <w:tcPr>
            <w:tcW w:w="1680" w:type="dxa"/>
            <w:vAlign w:val="bottom"/>
          </w:tcPr>
          <w:p>
            <w:pPr>
              <w:jc w:val="right"/>
              <w:ind w:right="341"/>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7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Assumptions: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240" w:type="dxa"/>
            <w:vAlign w:val="bottom"/>
          </w:tcPr>
          <w:p>
            <w:pPr>
              <w:ind w:left="180"/>
              <w:spacing w:after="0"/>
              <w:rPr>
                <w:sz w:val="20"/>
                <w:szCs w:val="20"/>
                <w:color w:val="auto"/>
              </w:rPr>
            </w:pPr>
            <w:r>
              <w:rPr>
                <w:rFonts w:ascii="Arial" w:cs="Arial" w:eastAsia="Arial" w:hAnsi="Arial"/>
                <w:sz w:val="16"/>
                <w:szCs w:val="16"/>
                <w:color w:val="auto"/>
              </w:rPr>
              <w:t>Weighted-average risk-free interest rate (1)</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33"/>
        </w:trPr>
        <w:tc>
          <w:tcPr>
            <w:tcW w:w="7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 yield (2)</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37"/>
        </w:trPr>
        <w:tc>
          <w:tcPr>
            <w:tcW w:w="7240" w:type="dxa"/>
            <w:vAlign w:val="bottom"/>
          </w:tcPr>
          <w:p>
            <w:pPr>
              <w:ind w:left="180"/>
              <w:spacing w:after="0"/>
              <w:rPr>
                <w:sz w:val="20"/>
                <w:szCs w:val="20"/>
                <w:color w:val="auto"/>
              </w:rPr>
            </w:pPr>
            <w:r>
              <w:rPr>
                <w:rFonts w:ascii="Arial" w:cs="Arial" w:eastAsia="Arial" w:hAnsi="Arial"/>
                <w:sz w:val="16"/>
                <w:szCs w:val="16"/>
                <w:color w:val="auto"/>
              </w:rPr>
              <w:t>Expected term (3)</w:t>
            </w:r>
          </w:p>
        </w:tc>
        <w:tc>
          <w:tcPr>
            <w:tcW w:w="260" w:type="dxa"/>
            <w:vAlign w:val="bottom"/>
          </w:tcPr>
          <w:p>
            <w:pPr>
              <w:spacing w:after="0"/>
              <w:rPr>
                <w:sz w:val="20"/>
                <w:szCs w:val="20"/>
                <w:color w:val="auto"/>
              </w:rPr>
            </w:pPr>
          </w:p>
        </w:tc>
        <w:tc>
          <w:tcPr>
            <w:tcW w:w="1800" w:type="dxa"/>
            <w:vAlign w:val="bottom"/>
            <w:gridSpan w:val="2"/>
          </w:tcPr>
          <w:p>
            <w:pPr>
              <w:ind w:left="940"/>
              <w:spacing w:after="0"/>
              <w:rPr>
                <w:sz w:val="20"/>
                <w:szCs w:val="20"/>
                <w:color w:val="auto"/>
              </w:rPr>
            </w:pPr>
            <w:r>
              <w:rPr>
                <w:rFonts w:ascii="Arial" w:cs="Arial" w:eastAsia="Arial" w:hAnsi="Arial"/>
                <w:sz w:val="16"/>
                <w:szCs w:val="16"/>
                <w:color w:val="auto"/>
              </w:rPr>
              <w:t>5.5 years</w:t>
            </w:r>
          </w:p>
        </w:tc>
        <w:tc>
          <w:tcPr>
            <w:tcW w:w="260" w:type="dxa"/>
            <w:vAlign w:val="bottom"/>
          </w:tcPr>
          <w:p>
            <w:pPr>
              <w:spacing w:after="0"/>
              <w:rPr>
                <w:sz w:val="20"/>
                <w:szCs w:val="20"/>
                <w:color w:val="auto"/>
              </w:rPr>
            </w:pPr>
          </w:p>
        </w:tc>
        <w:tc>
          <w:tcPr>
            <w:tcW w:w="1680" w:type="dxa"/>
            <w:vAlign w:val="bottom"/>
          </w:tcPr>
          <w:p>
            <w:pPr>
              <w:jc w:val="right"/>
              <w:ind w:right="81"/>
              <w:spacing w:after="0"/>
              <w:rPr>
                <w:sz w:val="20"/>
                <w:szCs w:val="20"/>
                <w:color w:val="auto"/>
              </w:rPr>
            </w:pPr>
            <w:r>
              <w:rPr>
                <w:rFonts w:ascii="Arial" w:cs="Arial" w:eastAsia="Arial" w:hAnsi="Arial"/>
                <w:sz w:val="16"/>
                <w:szCs w:val="16"/>
                <w:color w:val="auto"/>
              </w:rPr>
              <w:t>5.5 years</w:t>
            </w:r>
          </w:p>
        </w:tc>
      </w:tr>
      <w:tr>
        <w:trPr>
          <w:trHeight w:val="33"/>
        </w:trPr>
        <w:tc>
          <w:tcPr>
            <w:tcW w:w="7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Weighted-average volatility (4)</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31.87%</w:t>
            </w:r>
          </w:p>
        </w:tc>
      </w:tr>
      <w:tr>
        <w:trPr>
          <w:trHeight w:val="297"/>
        </w:trPr>
        <w:tc>
          <w:tcPr>
            <w:tcW w:w="7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grant date fair value per option</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5.76</w:t>
            </w:r>
          </w:p>
        </w:tc>
      </w:tr>
      <w:tr>
        <w:trPr>
          <w:trHeight w:val="193"/>
        </w:trPr>
        <w:tc>
          <w:tcPr>
            <w:tcW w:w="7240" w:type="dxa"/>
            <w:vAlign w:val="bottom"/>
          </w:tcPr>
          <w:p>
            <w:pPr>
              <w:spacing w:after="0"/>
              <w:rPr>
                <w:sz w:val="20"/>
                <w:szCs w:val="20"/>
                <w:color w:val="auto"/>
              </w:rPr>
            </w:pPr>
            <w:r>
              <w:rPr>
                <w:rFonts w:ascii="Arial" w:cs="Arial" w:eastAsia="Arial" w:hAnsi="Arial"/>
                <w:sz w:val="16"/>
                <w:szCs w:val="16"/>
                <w:color w:val="auto"/>
              </w:rPr>
              <w:t>________________</w:t>
            </w: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r>
    </w:tbl>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Risk-free interest rate is the U.S. Treasury yield curve in effect as of the grant date for periods within the expected term of the option.</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Dividend yield is the level of dividends expected to be paid on the Company’s common stock over the expected term of the option.</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Expected term represents the period of time that the options are expected to be outstanding. The Company estimates the expected term based on historical exercise experience for its stock options.</w:t>
      </w: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the historical volatility of the Company’s stock.</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represents unrecognized stock compensation expense and the remaining weighted-average vesting period as of March 29,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UNRECOGNIZED</w:t>
            </w: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REMAINING WEIGHTED-</w:t>
            </w: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COMPENSATION</w:t>
            </w: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EXPENSE</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 VESTING</w:t>
            </w:r>
          </w:p>
        </w:tc>
        <w:tc>
          <w:tcPr>
            <w:tcW w:w="0" w:type="dxa"/>
            <w:vAlign w:val="bottom"/>
          </w:tcPr>
          <w:p>
            <w:pPr>
              <w:spacing w:after="0"/>
              <w:rPr>
                <w:sz w:val="1"/>
                <w:szCs w:val="1"/>
                <w:color w:val="auto"/>
              </w:rPr>
            </w:pPr>
          </w:p>
        </w:tc>
      </w:tr>
      <w:tr>
        <w:trPr>
          <w:trHeight w:val="205"/>
        </w:trPr>
        <w:tc>
          <w:tcPr>
            <w:tcW w:w="7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(dollars in thousands)</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6"/>
              </w:rPr>
              <w:t>PERIOD (in years)</w:t>
            </w:r>
          </w:p>
        </w:tc>
        <w:tc>
          <w:tcPr>
            <w:tcW w:w="0" w:type="dxa"/>
            <w:vAlign w:val="bottom"/>
          </w:tcPr>
          <w:p>
            <w:pPr>
              <w:spacing w:after="0"/>
              <w:rPr>
                <w:sz w:val="1"/>
                <w:szCs w:val="1"/>
                <w:color w:val="auto"/>
              </w:rPr>
            </w:pPr>
          </w:p>
        </w:tc>
      </w:tr>
      <w:tr>
        <w:trPr>
          <w:trHeight w:val="236"/>
        </w:trPr>
        <w:tc>
          <w:tcPr>
            <w:tcW w:w="7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6,127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24"/>
              <w:spacing w:after="0"/>
              <w:rPr>
                <w:sz w:val="20"/>
                <w:szCs w:val="20"/>
                <w:color w:val="auto"/>
              </w:rPr>
            </w:pPr>
            <w:r>
              <w:rPr>
                <w:rFonts w:ascii="Arial" w:cs="Arial" w:eastAsia="Arial" w:hAnsi="Arial"/>
                <w:sz w:val="16"/>
                <w:szCs w:val="16"/>
                <w:color w:val="auto"/>
              </w:rPr>
              <w:t>16,967</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Performance-based share units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14,016</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7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7.</w:t>
      </w:r>
      <w:r>
        <w:rPr>
          <w:sz w:val="20"/>
          <w:szCs w:val="20"/>
          <w:color w:val="auto"/>
        </w:rPr>
        <w:tab/>
      </w:r>
      <w:r>
        <w:rPr>
          <w:rFonts w:ascii="Arial" w:cs="Arial" w:eastAsia="Arial" w:hAnsi="Arial"/>
          <w:sz w:val="16"/>
          <w:szCs w:val="16"/>
          <w:color w:val="auto"/>
        </w:rPr>
        <w:t>Other Current Assets, Net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Other current assets, net, consisted of the following as of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7"/>
                <w:szCs w:val="17"/>
                <w:color w:val="auto"/>
              </w:rPr>
            </w:pPr>
          </w:p>
        </w:tc>
        <w:tc>
          <w:tcPr>
            <w:tcW w:w="18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29, 2020</w:t>
            </w:r>
          </w:p>
        </w:tc>
        <w:tc>
          <w:tcPr>
            <w:tcW w:w="220" w:type="dxa"/>
            <w:vAlign w:val="bottom"/>
          </w:tcPr>
          <w:p>
            <w:pPr>
              <w:spacing w:after="0"/>
              <w:rPr>
                <w:sz w:val="17"/>
                <w:szCs w:val="17"/>
                <w:color w:val="auto"/>
              </w:rPr>
            </w:pPr>
          </w:p>
        </w:tc>
        <w:tc>
          <w:tcPr>
            <w:tcW w:w="1800" w:type="dxa"/>
            <w:vAlign w:val="bottom"/>
          </w:tcPr>
          <w:p>
            <w:pPr>
              <w:jc w:val="right"/>
              <w:ind w:right="240"/>
              <w:spacing w:after="0"/>
              <w:rPr>
                <w:sz w:val="20"/>
                <w:szCs w:val="20"/>
                <w:color w:val="auto"/>
              </w:rPr>
            </w:pPr>
            <w:r>
              <w:rPr>
                <w:rFonts w:ascii="Arial" w:cs="Arial" w:eastAsia="Arial" w:hAnsi="Arial"/>
                <w:sz w:val="14"/>
                <w:szCs w:val="14"/>
                <w:b w:val="1"/>
                <w:bCs w:val="1"/>
                <w:color w:val="auto"/>
              </w:rPr>
              <w:t>DECEMBER 29, 2019</w:t>
            </w:r>
          </w:p>
        </w:tc>
      </w:tr>
      <w:tr>
        <w:trPr>
          <w:trHeight w:val="236"/>
        </w:trPr>
        <w:tc>
          <w:tcPr>
            <w:tcW w:w="7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20,218</w:t>
            </w: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Accounts receivable - gift cards, net</w:t>
            </w:r>
          </w:p>
        </w:tc>
        <w:tc>
          <w:tcPr>
            <w:tcW w:w="280" w:type="dxa"/>
            <w:vAlign w:val="bottom"/>
          </w:tcPr>
          <w:p>
            <w:pPr>
              <w:spacing w:after="0"/>
              <w:rPr>
                <w:sz w:val="20"/>
                <w:szCs w:val="20"/>
                <w:color w:val="auto"/>
              </w:rPr>
            </w:pPr>
          </w:p>
        </w:tc>
        <w:tc>
          <w:tcPr>
            <w:tcW w:w="1740" w:type="dxa"/>
            <w:vAlign w:val="bottom"/>
          </w:tcPr>
          <w:p>
            <w:pPr>
              <w:jc w:val="right"/>
              <w:ind w:right="20"/>
              <w:spacing w:after="0"/>
              <w:rPr>
                <w:sz w:val="20"/>
                <w:szCs w:val="20"/>
                <w:color w:val="auto"/>
              </w:rPr>
            </w:pPr>
            <w:r>
              <w:rPr>
                <w:rFonts w:ascii="Arial" w:cs="Arial" w:eastAsia="Arial" w:hAnsi="Arial"/>
                <w:sz w:val="16"/>
                <w:szCs w:val="16"/>
                <w:color w:val="auto"/>
              </w:rPr>
              <w:t>9,851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104,591</w:t>
            </w:r>
          </w:p>
        </w:tc>
      </w:tr>
      <w:tr>
        <w:trPr>
          <w:trHeight w:val="33"/>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 vendors, net</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13,465</w:t>
            </w: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Accounts receivable - franchisees, net</w:t>
            </w:r>
          </w:p>
        </w:tc>
        <w:tc>
          <w:tcPr>
            <w:tcW w:w="280" w:type="dxa"/>
            <w:vAlign w:val="bottom"/>
          </w:tcPr>
          <w:p>
            <w:pPr>
              <w:spacing w:after="0"/>
              <w:rPr>
                <w:sz w:val="20"/>
                <w:szCs w:val="20"/>
                <w:color w:val="auto"/>
              </w:rPr>
            </w:pPr>
          </w:p>
        </w:tc>
        <w:tc>
          <w:tcPr>
            <w:tcW w:w="1740" w:type="dxa"/>
            <w:vAlign w:val="bottom"/>
          </w:tcPr>
          <w:p>
            <w:pPr>
              <w:jc w:val="right"/>
              <w:ind w:right="20"/>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1,322</w:t>
            </w:r>
          </w:p>
        </w:tc>
      </w:tr>
      <w:tr>
        <w:trPr>
          <w:trHeight w:val="33"/>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 other, net</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21,734</w:t>
            </w: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Deferred gift card sales commissions</w:t>
            </w:r>
          </w:p>
        </w:tc>
        <w:tc>
          <w:tcPr>
            <w:tcW w:w="280" w:type="dxa"/>
            <w:vAlign w:val="bottom"/>
          </w:tcPr>
          <w:p>
            <w:pPr>
              <w:spacing w:after="0"/>
              <w:rPr>
                <w:sz w:val="20"/>
                <w:szCs w:val="20"/>
                <w:color w:val="auto"/>
              </w:rPr>
            </w:pPr>
          </w:p>
        </w:tc>
        <w:tc>
          <w:tcPr>
            <w:tcW w:w="1740" w:type="dxa"/>
            <w:vAlign w:val="bottom"/>
          </w:tcPr>
          <w:p>
            <w:pPr>
              <w:jc w:val="right"/>
              <w:ind w:right="20"/>
              <w:spacing w:after="0"/>
              <w:rPr>
                <w:sz w:val="20"/>
                <w:szCs w:val="20"/>
                <w:color w:val="auto"/>
              </w:rPr>
            </w:pPr>
            <w:r>
              <w:rPr>
                <w:rFonts w:ascii="Arial" w:cs="Arial" w:eastAsia="Arial" w:hAnsi="Arial"/>
                <w:sz w:val="16"/>
                <w:szCs w:val="16"/>
                <w:color w:val="auto"/>
              </w:rPr>
              <w:t>13,049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18,554</w:t>
            </w:r>
          </w:p>
        </w:tc>
      </w:tr>
      <w:tr>
        <w:trPr>
          <w:trHeight w:val="33"/>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3,317</w:t>
            </w:r>
          </w:p>
        </w:tc>
      </w:tr>
      <w:tr>
        <w:trPr>
          <w:trHeight w:val="270"/>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current assets, net (1)</w:t>
            </w:r>
          </w:p>
        </w:tc>
        <w:tc>
          <w:tcPr>
            <w:tcW w:w="2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14,452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3,261</w:t>
            </w:r>
          </w:p>
        </w:tc>
      </w:tr>
      <w:tr>
        <w:trPr>
          <w:trHeight w:val="255"/>
        </w:trPr>
        <w:tc>
          <w:tcPr>
            <w:tcW w:w="7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100,964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186,462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line="257"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$10.0 million of Company-owned life insurance policies as of March 29, 2020 transferred to current assets during the thirteen weeks ended March 29, 2020 for planned payment of deferred compensation obligations.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00"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color w:val="auto"/>
        </w:rPr>
        <w:t>8.</w:t>
        <w:tab/>
        <w:t>Goodwill and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Goodwill - </w:t>
      </w:r>
      <w:r>
        <w:rPr>
          <w:rFonts w:ascii="Arial" w:cs="Arial" w:eastAsia="Arial" w:hAnsi="Arial"/>
          <w:sz w:val="20"/>
          <w:szCs w:val="20"/>
          <w:color w:val="auto"/>
        </w:rPr>
        <w:t>The following table is a rollforward of goodwill:</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59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7"/>
                <w:szCs w:val="17"/>
                <w:color w:val="auto"/>
              </w:rPr>
            </w:pPr>
          </w:p>
        </w:tc>
        <w:tc>
          <w:tcPr>
            <w:tcW w:w="1400" w:type="dxa"/>
            <w:vAlign w:val="bottom"/>
            <w:gridSpan w:val="2"/>
          </w:tcPr>
          <w:p>
            <w:pPr>
              <w:ind w:left="30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7"/>
                <w:szCs w:val="17"/>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INTERNATIONAL</w:t>
            </w:r>
          </w:p>
        </w:tc>
        <w:tc>
          <w:tcPr>
            <w:tcW w:w="180" w:type="dxa"/>
            <w:vAlign w:val="bottom"/>
          </w:tcPr>
          <w:p>
            <w:pPr>
              <w:spacing w:after="0"/>
              <w:rPr>
                <w:sz w:val="17"/>
                <w:szCs w:val="17"/>
                <w:color w:val="auto"/>
              </w:rPr>
            </w:pPr>
          </w:p>
        </w:tc>
        <w:tc>
          <w:tcPr>
            <w:tcW w:w="1480" w:type="dxa"/>
            <w:vAlign w:val="bottom"/>
          </w:tcPr>
          <w:p>
            <w:pPr>
              <w:jc w:val="right"/>
              <w:ind w:right="161"/>
              <w:spacing w:after="0"/>
              <w:rPr>
                <w:sz w:val="20"/>
                <w:szCs w:val="20"/>
                <w:color w:val="auto"/>
              </w:rPr>
            </w:pPr>
            <w:r>
              <w:rPr>
                <w:rFonts w:ascii="Arial" w:cs="Arial" w:eastAsia="Arial" w:hAnsi="Arial"/>
                <w:sz w:val="14"/>
                <w:szCs w:val="14"/>
                <w:b w:val="1"/>
                <w:bCs w:val="1"/>
                <w:color w:val="auto"/>
              </w:rPr>
              <w:t>CONSOLIDATED</w:t>
            </w:r>
          </w:p>
        </w:tc>
      </w:tr>
      <w:tr>
        <w:trPr>
          <w:trHeight w:val="237"/>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29, 2019</w:t>
            </w:r>
          </w:p>
        </w:tc>
        <w:tc>
          <w:tcPr>
            <w:tcW w:w="420" w:type="dxa"/>
            <w:vAlign w:val="bottom"/>
            <w:tcBorders>
              <w:top w:val="single" w:sz="8" w:color="auto"/>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170,657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117,782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288,439</w:t>
            </w:r>
          </w:p>
        </w:tc>
      </w:tr>
      <w:tr>
        <w:trPr>
          <w:trHeight w:val="237"/>
        </w:trPr>
        <w:tc>
          <w:tcPr>
            <w:tcW w:w="5940" w:type="dxa"/>
            <w:vAlign w:val="bottom"/>
          </w:tcPr>
          <w:p>
            <w:pPr>
              <w:ind w:left="160"/>
              <w:spacing w:after="0"/>
              <w:rPr>
                <w:sz w:val="20"/>
                <w:szCs w:val="20"/>
                <w:color w:val="auto"/>
              </w:rPr>
            </w:pPr>
            <w:r>
              <w:rPr>
                <w:rFonts w:ascii="Arial" w:cs="Arial" w:eastAsia="Arial" w:hAnsi="Arial"/>
                <w:sz w:val="16"/>
                <w:szCs w:val="16"/>
                <w:color w:val="auto"/>
              </w:rPr>
              <w:t>Translation adjustments</w:t>
            </w:r>
          </w:p>
        </w:tc>
        <w:tc>
          <w:tcPr>
            <w:tcW w:w="4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(3,838)</w:t>
            </w:r>
          </w:p>
        </w:tc>
      </w:tr>
      <w:tr>
        <w:trPr>
          <w:trHeight w:val="33"/>
        </w:trPr>
        <w:tc>
          <w:tcPr>
            <w:tcW w:w="5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3"/>
        </w:trPr>
        <w:tc>
          <w:tcPr>
            <w:tcW w:w="5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Impairment charges</w:t>
            </w:r>
          </w:p>
        </w:tc>
        <w:tc>
          <w:tcPr>
            <w:tcW w:w="4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w:t>
            </w:r>
          </w:p>
        </w:tc>
      </w:tr>
      <w:tr>
        <w:trPr>
          <w:trHeight w:val="250"/>
        </w:trPr>
        <w:tc>
          <w:tcPr>
            <w:tcW w:w="59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Balance as of March 29, 2020</w:t>
            </w: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170,657</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111,971</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282,628</w:t>
            </w:r>
          </w:p>
        </w:tc>
      </w:tr>
      <w:tr>
        <w:trPr>
          <w:trHeight w:val="20"/>
        </w:trPr>
        <w:tc>
          <w:tcPr>
            <w:tcW w:w="5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w:t>
      </w:r>
      <w:r>
        <w:rPr>
          <w:rFonts w:ascii="Arial" w:cs="Arial" w:eastAsia="Arial" w:hAnsi="Arial"/>
          <w:sz w:val="19"/>
          <w:szCs w:val="19"/>
          <w:color w:val="auto"/>
        </w:rPr>
        <w:t>he COVID-19 outbreak was considered a triggering event, indicating that the carrying amount of goodwill may not be recoverable. As a</w:t>
      </w:r>
      <w:r>
        <w:rPr>
          <w:rFonts w:ascii="Arial" w:cs="Arial" w:eastAsia="Arial" w:hAnsi="Arial"/>
          <w:sz w:val="18"/>
          <w:szCs w:val="18"/>
          <w:color w:val="auto"/>
        </w:rPr>
        <w:t xml:space="preserve"> </w:t>
      </w:r>
      <w:r>
        <w:rPr>
          <w:rFonts w:ascii="Arial" w:cs="Arial" w:eastAsia="Arial" w:hAnsi="Arial"/>
          <w:sz w:val="19"/>
          <w:szCs w:val="19"/>
          <w:color w:val="auto"/>
        </w:rPr>
        <w:t>result, the Company performed a quantitative assessment for all reporting units to determine whether a reporting unit was impaired. Based on this assessment, which utilized a discounted cash flow analysis, the Company recorded full impairment of goodwill related to its Hong Kong reporting unit of $2.0 million, within the international segment, during the thirteen weeks ended March 29, 2020. Impairment was not recorded for any of the Company’s other reporting units as a result the quantitative assessment.</w:t>
      </w:r>
    </w:p>
    <w:p>
      <w:pPr>
        <w:spacing w:after="0" w:line="19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9.</w:t>
      </w:r>
      <w:r>
        <w:rPr>
          <w:sz w:val="20"/>
          <w:szCs w:val="20"/>
          <w:color w:val="auto"/>
        </w:rPr>
        <w:tab/>
      </w:r>
      <w:r>
        <w:rPr>
          <w:rFonts w:ascii="Arial" w:cs="Arial" w:eastAsia="Arial" w:hAnsi="Arial"/>
          <w:sz w:val="16"/>
          <w:szCs w:val="16"/>
          <w:color w:val="auto"/>
        </w:rPr>
        <w:t>Other Assets, Net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Other assets, net, consisted of the following as of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7"/>
                <w:szCs w:val="17"/>
                <w:color w:val="auto"/>
              </w:rPr>
            </w:pP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29, 2020</w:t>
            </w:r>
          </w:p>
        </w:tc>
        <w:tc>
          <w:tcPr>
            <w:tcW w:w="200" w:type="dxa"/>
            <w:vAlign w:val="bottom"/>
          </w:tcPr>
          <w:p>
            <w:pPr>
              <w:spacing w:after="0"/>
              <w:rPr>
                <w:sz w:val="17"/>
                <w:szCs w:val="17"/>
                <w:color w:val="auto"/>
              </w:rPr>
            </w:pPr>
          </w:p>
        </w:tc>
        <w:tc>
          <w:tcPr>
            <w:tcW w:w="1700" w:type="dxa"/>
            <w:vAlign w:val="bottom"/>
          </w:tcPr>
          <w:p>
            <w:pPr>
              <w:jc w:val="right"/>
              <w:ind w:right="181"/>
              <w:spacing w:after="0"/>
              <w:rPr>
                <w:sz w:val="20"/>
                <w:szCs w:val="20"/>
                <w:color w:val="auto"/>
              </w:rPr>
            </w:pPr>
            <w:r>
              <w:rPr>
                <w:rFonts w:ascii="Arial" w:cs="Arial" w:eastAsia="Arial" w:hAnsi="Arial"/>
                <w:sz w:val="14"/>
                <w:szCs w:val="14"/>
                <w:b w:val="1"/>
                <w:bCs w:val="1"/>
                <w:color w:val="auto"/>
              </w:rPr>
              <w:t>DECEMBER 29, 2019</w:t>
            </w:r>
          </w:p>
        </w:tc>
        <w:tc>
          <w:tcPr>
            <w:tcW w:w="0" w:type="dxa"/>
            <w:vAlign w:val="bottom"/>
          </w:tcPr>
          <w:p>
            <w:pPr>
              <w:spacing w:after="0"/>
              <w:rPr>
                <w:sz w:val="1"/>
                <w:szCs w:val="1"/>
                <w:color w:val="auto"/>
              </w:rPr>
            </w:pPr>
          </w:p>
        </w:tc>
      </w:tr>
      <w:tr>
        <w:trPr>
          <w:trHeight w:val="237"/>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Company-owned life insurance (1)</w:t>
            </w: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46,534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60,126</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Deferred financing fees (2)</w:t>
            </w:r>
          </w:p>
        </w:tc>
        <w:tc>
          <w:tcPr>
            <w:tcW w:w="260" w:type="dxa"/>
            <w:vAlign w:val="bottom"/>
          </w:tcPr>
          <w:p>
            <w:pPr>
              <w:spacing w:after="0"/>
              <w:rPr>
                <w:sz w:val="20"/>
                <w:szCs w:val="20"/>
                <w:color w:val="auto"/>
              </w:rPr>
            </w:pPr>
          </w:p>
        </w:tc>
        <w:tc>
          <w:tcPr>
            <w:tcW w:w="1660" w:type="dxa"/>
            <w:vAlign w:val="bottom"/>
          </w:tcPr>
          <w:p>
            <w:pPr>
              <w:jc w:val="right"/>
              <w:ind w:right="41"/>
              <w:spacing w:after="0"/>
              <w:rPr>
                <w:sz w:val="20"/>
                <w:szCs w:val="20"/>
                <w:color w:val="auto"/>
              </w:rPr>
            </w:pPr>
            <w:r>
              <w:rPr>
                <w:rFonts w:ascii="Arial" w:cs="Arial" w:eastAsia="Arial" w:hAnsi="Arial"/>
                <w:sz w:val="16"/>
                <w:szCs w:val="16"/>
                <w:color w:val="auto"/>
              </w:rPr>
              <w:t>4,476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ind w:right="21"/>
              <w:spacing w:after="0"/>
              <w:rPr>
                <w:sz w:val="20"/>
                <w:szCs w:val="20"/>
                <w:color w:val="auto"/>
              </w:rPr>
            </w:pPr>
            <w:r>
              <w:rPr>
                <w:rFonts w:ascii="Arial" w:cs="Arial" w:eastAsia="Arial" w:hAnsi="Arial"/>
                <w:sz w:val="16"/>
                <w:szCs w:val="16"/>
                <w:color w:val="auto"/>
              </w:rPr>
              <w:t>4,893</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Liquor licenses</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24,224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24,289</w:t>
            </w:r>
          </w:p>
        </w:tc>
        <w:tc>
          <w:tcPr>
            <w:tcW w:w="0" w:type="dxa"/>
            <w:vAlign w:val="bottom"/>
          </w:tcPr>
          <w:p>
            <w:pPr>
              <w:spacing w:after="0"/>
              <w:rPr>
                <w:sz w:val="1"/>
                <w:szCs w:val="1"/>
                <w:color w:val="auto"/>
              </w:rPr>
            </w:pPr>
          </w:p>
        </w:tc>
      </w:tr>
      <w:tr>
        <w:trPr>
          <w:trHeight w:val="223"/>
        </w:trPr>
        <w:tc>
          <w:tcPr>
            <w:tcW w:w="732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9"/>
                <w:szCs w:val="19"/>
                <w:color w:val="auto"/>
              </w:rPr>
            </w:pPr>
          </w:p>
        </w:tc>
        <w:tc>
          <w:tcPr>
            <w:tcW w:w="1660" w:type="dxa"/>
            <w:vAlign w:val="bottom"/>
          </w:tcPr>
          <w:p>
            <w:pPr>
              <w:jc w:val="right"/>
              <w:ind w:right="41"/>
              <w:spacing w:after="0"/>
              <w:rPr>
                <w:sz w:val="20"/>
                <w:szCs w:val="20"/>
                <w:color w:val="auto"/>
              </w:rPr>
            </w:pPr>
            <w:r>
              <w:rPr>
                <w:rFonts w:ascii="Arial" w:cs="Arial" w:eastAsia="Arial" w:hAnsi="Arial"/>
                <w:sz w:val="16"/>
                <w:szCs w:val="16"/>
                <w:color w:val="auto"/>
              </w:rPr>
              <w:t>26,500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21"/>
              <w:spacing w:after="0"/>
              <w:rPr>
                <w:sz w:val="20"/>
                <w:szCs w:val="20"/>
                <w:color w:val="auto"/>
              </w:rPr>
            </w:pPr>
            <w:r>
              <w:rPr>
                <w:rFonts w:ascii="Arial" w:cs="Arial" w:eastAsia="Arial" w:hAnsi="Arial"/>
                <w:sz w:val="16"/>
                <w:szCs w:val="16"/>
                <w:color w:val="auto"/>
              </w:rPr>
              <w:t>27,802</w:t>
            </w:r>
          </w:p>
        </w:tc>
        <w:tc>
          <w:tcPr>
            <w:tcW w:w="0" w:type="dxa"/>
            <w:vAlign w:val="bottom"/>
          </w:tcPr>
          <w:p>
            <w:pPr>
              <w:spacing w:after="0"/>
              <w:rPr>
                <w:sz w:val="1"/>
                <w:szCs w:val="1"/>
                <w:color w:val="auto"/>
              </w:rPr>
            </w:pPr>
          </w:p>
        </w:tc>
      </w:tr>
      <w:tr>
        <w:trPr>
          <w:trHeight w:val="40"/>
        </w:trPr>
        <w:tc>
          <w:tcPr>
            <w:tcW w:w="73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7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101,734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117,110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3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20" w:hanging="652"/>
        <w:spacing w:after="0" w:line="246"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the thirteen weeks ended March 29, 2020, the Company reclassified $10.0 million of Company-owned life insurance policies to current assets for planned payment of deferred compensation obligations.</w:t>
      </w: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Net of accumulated amortization of $7.2 million and $6.8 million as of March 29, 2020 and December 29, 2019, respectively.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0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10.</w:t>
      </w:r>
      <w:r>
        <w:rPr>
          <w:sz w:val="20"/>
          <w:szCs w:val="20"/>
          <w:color w:val="auto"/>
        </w:rPr>
        <w:tab/>
      </w:r>
      <w:r>
        <w:rPr>
          <w:rFonts w:ascii="Arial" w:cs="Arial" w:eastAsia="Arial" w:hAnsi="Arial"/>
          <w:sz w:val="18"/>
          <w:szCs w:val="18"/>
          <w:color w:val="auto"/>
        </w:rPr>
        <w:t>Long-term Debt, Net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outstanding long-term debt, as of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gridSpan w:val="4"/>
          </w:tcPr>
          <w:p>
            <w:pPr>
              <w:ind w:left="940"/>
              <w:spacing w:after="0"/>
              <w:rPr>
                <w:sz w:val="20"/>
                <w:szCs w:val="20"/>
                <w:color w:val="auto"/>
              </w:rPr>
            </w:pPr>
            <w:r>
              <w:rPr>
                <w:rFonts w:ascii="Arial" w:cs="Arial" w:eastAsia="Arial" w:hAnsi="Arial"/>
                <w:sz w:val="14"/>
                <w:szCs w:val="14"/>
                <w:b w:val="1"/>
                <w:bCs w:val="1"/>
                <w:color w:val="auto"/>
              </w:rPr>
              <w:t>MARCH 29, 2020</w:t>
            </w:r>
          </w:p>
        </w:tc>
        <w:tc>
          <w:tcPr>
            <w:tcW w:w="180" w:type="dxa"/>
            <w:vAlign w:val="bottom"/>
          </w:tcPr>
          <w:p>
            <w:pPr>
              <w:spacing w:after="0"/>
              <w:rPr>
                <w:sz w:val="17"/>
                <w:szCs w:val="17"/>
                <w:color w:val="auto"/>
              </w:rPr>
            </w:pPr>
          </w:p>
        </w:tc>
        <w:tc>
          <w:tcPr>
            <w:tcW w:w="3100" w:type="dxa"/>
            <w:vAlign w:val="bottom"/>
            <w:gridSpan w:val="3"/>
          </w:tcPr>
          <w:p>
            <w:pPr>
              <w:jc w:val="right"/>
              <w:ind w:right="868"/>
              <w:spacing w:after="0"/>
              <w:rPr>
                <w:sz w:val="20"/>
                <w:szCs w:val="20"/>
                <w:color w:val="auto"/>
              </w:rPr>
            </w:pPr>
            <w:r>
              <w:rPr>
                <w:rFonts w:ascii="Arial" w:cs="Arial" w:eastAsia="Arial" w:hAnsi="Arial"/>
                <w:sz w:val="14"/>
                <w:szCs w:val="14"/>
                <w:b w:val="1"/>
                <w:bCs w:val="1"/>
                <w:color w:val="auto"/>
              </w:rPr>
              <w:t>DECEMBER 29, 2019</w:t>
            </w:r>
          </w:p>
        </w:tc>
        <w:tc>
          <w:tcPr>
            <w:tcW w:w="0" w:type="dxa"/>
            <w:vAlign w:val="bottom"/>
          </w:tcPr>
          <w:p>
            <w:pPr>
              <w:spacing w:after="0"/>
              <w:rPr>
                <w:sz w:val="1"/>
                <w:szCs w:val="1"/>
                <w:color w:val="auto"/>
              </w:rPr>
            </w:pPr>
          </w:p>
        </w:tc>
      </w:tr>
      <w:tr>
        <w:trPr>
          <w:trHeight w:val="153"/>
        </w:trPr>
        <w:tc>
          <w:tcPr>
            <w:tcW w:w="45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161"/>
              <w:spacing w:after="0" w:line="153" w:lineRule="exact"/>
              <w:rPr>
                <w:sz w:val="20"/>
                <w:szCs w:val="20"/>
                <w:color w:val="auto"/>
              </w:rPr>
            </w:pPr>
            <w:r>
              <w:rPr>
                <w:rFonts w:ascii="Arial" w:cs="Arial" w:eastAsia="Arial" w:hAnsi="Arial"/>
                <w:sz w:val="14"/>
                <w:szCs w:val="14"/>
                <w:b w:val="1"/>
                <w:bCs w:val="1"/>
                <w:color w:val="auto"/>
              </w:rPr>
              <w:t>OUTSTANDING</w:t>
            </w:r>
          </w:p>
        </w:tc>
        <w:tc>
          <w:tcPr>
            <w:tcW w:w="1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181"/>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5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7"/>
                <w:szCs w:val="17"/>
                <w:color w:val="auto"/>
              </w:rPr>
            </w:pPr>
          </w:p>
        </w:tc>
        <w:tc>
          <w:tcPr>
            <w:tcW w:w="1380" w:type="dxa"/>
            <w:vAlign w:val="bottom"/>
          </w:tcPr>
          <w:p>
            <w:pPr>
              <w:jc w:val="right"/>
              <w:ind w:right="341"/>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7"/>
                <w:szCs w:val="17"/>
                <w:color w:val="auto"/>
              </w:rPr>
            </w:pPr>
          </w:p>
        </w:tc>
        <w:tc>
          <w:tcPr>
            <w:tcW w:w="1720" w:type="dxa"/>
            <w:vAlign w:val="bottom"/>
            <w:gridSpan w:val="2"/>
          </w:tcPr>
          <w:p>
            <w:pPr>
              <w:ind w:left="220"/>
              <w:spacing w:after="0"/>
              <w:rPr>
                <w:sz w:val="20"/>
                <w:szCs w:val="20"/>
                <w:color w:val="auto"/>
              </w:rPr>
            </w:pPr>
            <w:r>
              <w:rPr>
                <w:rFonts w:ascii="Arial" w:cs="Arial" w:eastAsia="Arial" w:hAnsi="Arial"/>
                <w:sz w:val="14"/>
                <w:szCs w:val="14"/>
                <w:b w:val="1"/>
                <w:bCs w:val="1"/>
                <w:color w:val="auto"/>
              </w:rPr>
              <w:t>INTEREST RATE</w:t>
            </w:r>
          </w:p>
        </w:tc>
        <w:tc>
          <w:tcPr>
            <w:tcW w:w="180" w:type="dxa"/>
            <w:vAlign w:val="bottom"/>
          </w:tcPr>
          <w:p>
            <w:pPr>
              <w:spacing w:after="0"/>
              <w:rPr>
                <w:sz w:val="17"/>
                <w:szCs w:val="17"/>
                <w:color w:val="auto"/>
              </w:rPr>
            </w:pPr>
          </w:p>
        </w:tc>
        <w:tc>
          <w:tcPr>
            <w:tcW w:w="1380" w:type="dxa"/>
            <w:vAlign w:val="bottom"/>
          </w:tcPr>
          <w:p>
            <w:pPr>
              <w:jc w:val="right"/>
              <w:ind w:right="361"/>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620" w:type="dxa"/>
            <w:vAlign w:val="bottom"/>
          </w:tcPr>
          <w:p>
            <w:pPr>
              <w:jc w:val="right"/>
              <w:ind w:right="168"/>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520"/>
              <w:spacing w:after="0"/>
              <w:rPr>
                <w:sz w:val="20"/>
                <w:szCs w:val="20"/>
                <w:color w:val="auto"/>
              </w:rPr>
            </w:pPr>
            <w:r>
              <w:rPr>
                <w:rFonts w:ascii="Arial" w:cs="Arial" w:eastAsia="Arial" w:hAnsi="Arial"/>
                <w:sz w:val="16"/>
                <w:szCs w:val="16"/>
                <w:color w:val="auto"/>
              </w:rPr>
              <w:t>Term loan A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443,750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450,000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5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Revolving credit facility (1)</w:t>
            </w: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975,000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599,000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Senior Secured Credit Facility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1,418,750</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1,049,000</w:t>
            </w:r>
          </w:p>
        </w:tc>
        <w:tc>
          <w:tcPr>
            <w:tcW w:w="10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2,328</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2,308</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50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unamortized debt discount and issuance costs</w:t>
            </w: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(2,438)</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(2,654)</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40"/>
              <w:spacing w:after="0"/>
              <w:rPr>
                <w:sz w:val="20"/>
                <w:szCs w:val="20"/>
                <w:color w:val="auto"/>
              </w:rPr>
            </w:pPr>
            <w:r>
              <w:rPr>
                <w:rFonts w:ascii="Arial" w:cs="Arial" w:eastAsia="Arial" w:hAnsi="Arial"/>
                <w:sz w:val="16"/>
                <w:szCs w:val="16"/>
                <w:color w:val="auto"/>
              </w:rPr>
              <w:t>Total debt, net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1,418,640</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1,048,704</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 of long-term debt</w:t>
            </w: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(29,367)</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(26,411)</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80" w:type="dxa"/>
            <w:vAlign w:val="bottom"/>
          </w:tcPr>
          <w:p>
            <w:pPr>
              <w:ind w:left="40"/>
              <w:spacing w:after="0"/>
              <w:rPr>
                <w:sz w:val="20"/>
                <w:szCs w:val="20"/>
                <w:color w:val="auto"/>
              </w:rPr>
            </w:pPr>
            <w:r>
              <w:rPr>
                <w:rFonts w:ascii="Arial" w:cs="Arial" w:eastAsia="Arial" w:hAnsi="Arial"/>
                <w:sz w:val="16"/>
                <w:szCs w:val="16"/>
                <w:color w:val="auto"/>
              </w:rPr>
              <w:t>Long-term debt,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1,389,273</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1,022,293</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Interest rate represents the weighted-average interest rate for the respective periods.</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color w:val="auto"/>
        </w:rPr>
        <w:t xml:space="preserve">Amended Credit Agreement </w:t>
      </w:r>
      <w:r>
        <w:rPr>
          <w:rFonts w:ascii="Arial" w:cs="Arial" w:eastAsia="Arial" w:hAnsi="Arial"/>
          <w:sz w:val="18"/>
          <w:szCs w:val="18"/>
          <w:color w:val="auto"/>
        </w:rPr>
        <w:t>- On May 4, 2020, the Company and its wholly-owned subsidiary OSI Restaurant Partners, LLC (“OSI”), as co-borrowers, entered into an amendment to its existing credit agreement, dated November 30, 2017 (the “Amended Credit Agreement”), which provides relief for the financial covenant to maintain a specified quarterly Total Net Leverage Ratio (“TNLR”). Without such amendment, violation of financial covenants under the original credit agreement could have resulted in default. TNLR is the ratio of Consolidated Total Debt (Current portion of long-term debt and Long-term debt, net of cash) to Consolidated EBITDA (earnings before interest, taxes, depreciation and amortization and certain other adjustments as defined in the Amended Credit Agreement). The Amended Credit Agreement waives the TNLR requirement for the remainder of fiscal year 2020 and requires a TNLR based on a seasonally annualized calculation of Consolidated EBITDA not to exceed the following thresholds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QUARTERLY PERIOD ENDED</w:t>
            </w:r>
          </w:p>
        </w:tc>
        <w:tc>
          <w:tcPr>
            <w:tcW w:w="12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MAXIMUM RATIO</w:t>
            </w:r>
          </w:p>
        </w:tc>
      </w:tr>
      <w:tr>
        <w:trPr>
          <w:trHeight w:val="250"/>
        </w:trPr>
        <w:tc>
          <w:tcPr>
            <w:tcW w:w="9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28, 2021 (1)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w:t>
            </w:r>
          </w:p>
        </w:tc>
        <w:tc>
          <w:tcPr>
            <w:tcW w:w="8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1.00</w:t>
            </w:r>
          </w:p>
        </w:tc>
      </w:tr>
      <w:tr>
        <w:trPr>
          <w:trHeight w:val="243"/>
        </w:trPr>
        <w:tc>
          <w:tcPr>
            <w:tcW w:w="9340" w:type="dxa"/>
            <w:vAlign w:val="bottom"/>
            <w:gridSpan w:val="2"/>
          </w:tcPr>
          <w:p>
            <w:pPr>
              <w:ind w:left="40"/>
              <w:spacing w:after="0"/>
              <w:rPr>
                <w:sz w:val="20"/>
                <w:szCs w:val="20"/>
                <w:color w:val="auto"/>
              </w:rPr>
            </w:pPr>
            <w:r>
              <w:rPr>
                <w:rFonts w:ascii="Arial" w:cs="Arial" w:eastAsia="Arial" w:hAnsi="Arial"/>
                <w:sz w:val="18"/>
                <w:szCs w:val="18"/>
                <w:color w:val="auto"/>
              </w:rPr>
              <w:t>June 27, 2021 (2)</w:t>
            </w:r>
          </w:p>
        </w:tc>
        <w:tc>
          <w:tcPr>
            <w:tcW w:w="760" w:type="dxa"/>
            <w:vAlign w:val="bottom"/>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ind w:left="60"/>
              <w:spacing w:after="0"/>
              <w:rPr>
                <w:sz w:val="20"/>
                <w:szCs w:val="20"/>
                <w:color w:val="auto"/>
              </w:rPr>
            </w:pPr>
            <w:r>
              <w:rPr>
                <w:rFonts w:ascii="Arial" w:cs="Arial" w:eastAsia="Arial" w:hAnsi="Arial"/>
                <w:sz w:val="18"/>
                <w:szCs w:val="18"/>
                <w:color w:val="auto"/>
              </w:rPr>
              <w:t>to</w:t>
            </w:r>
          </w:p>
        </w:tc>
        <w:tc>
          <w:tcPr>
            <w:tcW w:w="840" w:type="dxa"/>
            <w:vAlign w:val="bottom"/>
          </w:tcPr>
          <w:p>
            <w:pPr>
              <w:jc w:val="right"/>
              <w:ind w:right="350"/>
              <w:spacing w:after="0"/>
              <w:rPr>
                <w:sz w:val="20"/>
                <w:szCs w:val="20"/>
                <w:color w:val="auto"/>
              </w:rPr>
            </w:pPr>
            <w:r>
              <w:rPr>
                <w:rFonts w:ascii="Arial" w:cs="Arial" w:eastAsia="Arial" w:hAnsi="Arial"/>
                <w:sz w:val="18"/>
                <w:szCs w:val="18"/>
                <w:color w:val="auto"/>
              </w:rPr>
              <w:t>1.00</w:t>
            </w:r>
          </w:p>
        </w:tc>
      </w:tr>
      <w:tr>
        <w:trPr>
          <w:trHeight w:val="27"/>
        </w:trPr>
        <w:tc>
          <w:tcPr>
            <w:tcW w:w="9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26, 2021 and thereafter (3)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w:t>
            </w:r>
          </w:p>
        </w:tc>
        <w:tc>
          <w:tcPr>
            <w:tcW w:w="8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1.00</w:t>
            </w:r>
          </w:p>
        </w:tc>
      </w:tr>
      <w:tr>
        <w:trPr>
          <w:trHeight w:val="193"/>
        </w:trPr>
        <w:tc>
          <w:tcPr>
            <w:tcW w:w="9220" w:type="dxa"/>
            <w:vAlign w:val="bottom"/>
          </w:tcPr>
          <w:p>
            <w:pPr>
              <w:spacing w:after="0"/>
              <w:rPr>
                <w:sz w:val="20"/>
                <w:szCs w:val="20"/>
                <w:color w:val="auto"/>
              </w:rPr>
            </w:pPr>
            <w:r>
              <w:rPr>
                <w:rFonts w:ascii="Arial" w:cs="Arial" w:eastAsia="Arial" w:hAnsi="Arial"/>
                <w:sz w:val="16"/>
                <w:szCs w:val="16"/>
                <w:color w:val="auto"/>
              </w:rPr>
              <w:t>________________</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bl>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Seasonally annualized Consolidated EBITDA calculated as Consolidated EBITDA for the fiscal quarter ending March 28, 2021 divided by 34.1%.</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Seasonally annualized Consolidated EBITDA calculated as Consolidated EBITDA for the two consecutive quarters ending June 27, 2021 divided by 58.5%.</w:t>
      </w:r>
    </w:p>
    <w:p>
      <w:pPr>
        <w:spacing w:after="0" w:line="16" w:lineRule="exact"/>
        <w:rPr>
          <w:rFonts w:ascii="Arial" w:cs="Arial" w:eastAsia="Arial" w:hAnsi="Arial"/>
          <w:sz w:val="15"/>
          <w:szCs w:val="15"/>
          <w:color w:val="auto"/>
        </w:rPr>
      </w:pPr>
    </w:p>
    <w:p>
      <w:pPr>
        <w:ind w:left="660" w:right="20" w:hanging="652"/>
        <w:spacing w:after="0" w:line="257"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Seasonally annualized Consolidated EBITDA calculated as Consolidated EBITDA for the three consecutive quarters ending September 26, 2021 divided by 77.0%.</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Under the terms of the Amended Credit Agreement, the Company is also required to meet a minimum monthly liquidity threshold of $125.0 million through March 28, 2021, calculated as the sum of available capacity under the Company’s revolving credit facility, unrestricted domestic cash on hand and up to $25.0 million of unrestricted cash held by foreign subsidiaries.</w:t>
      </w:r>
    </w:p>
    <w:p>
      <w:pPr>
        <w:spacing w:after="0" w:line="19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Under the Amended Credit Agreement, the Company is limited to $100.0 million of aggregate capital expenditures for the four fiscal quarters through March 28, 2021. The Company is also prohibited from making certain restricted payments, investments or acquisitions until after September 26, 2021, with an exception for investments in the Company’s foreign subsidiaries which are capped at $27.5 million.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00" w:lineRule="exact"/>
        <w:rPr>
          <w:sz w:val="20"/>
          <w:szCs w:val="20"/>
          <w:color w:val="auto"/>
        </w:rPr>
      </w:pPr>
    </w:p>
    <w:p>
      <w:pPr>
        <w:jc w:val="both"/>
        <w:ind w:right="20"/>
        <w:spacing w:after="0" w:line="328" w:lineRule="auto"/>
        <w:rPr>
          <w:sz w:val="20"/>
          <w:szCs w:val="20"/>
          <w:color w:val="auto"/>
        </w:rPr>
      </w:pPr>
      <w:r>
        <w:rPr>
          <w:rFonts w:ascii="Arial" w:cs="Arial" w:eastAsia="Arial" w:hAnsi="Arial"/>
          <w:sz w:val="16"/>
          <w:szCs w:val="16"/>
          <w:color w:val="auto"/>
        </w:rPr>
        <w:t>Interest rates under the Amended Credit Agreement are 275 and 175 basis points above the Eurocurrency Rate and Base Rate, respectively, and letter of credit fees and fees for the daily unused availability under the revolving credit facility are 2.75% and 0.40%, respectively, subject to reversion to rates under the original credit agreement when the Company is in compliance with the TNLR covenant for the test period ending September 26, 2021. The Company is also subject to a 0% Eurocurrency floor under the Amended Credit Agreement.</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the date of this filing, the Company’s accounting for the impact of the Amended Credit Agreement was still ongoing. Any impact will be reflected in the Company’s consolidated financial statements during the thirteen weeks ended June 28, 2020.</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As of March 29, 2020 and December 29, 2019, the Company was in compliance with its debt covenants.</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11.</w:t>
        <w:tab/>
        <w:t>Other Long-term Liabilities, Net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Other long-term liabilities, net, consisted of the following, as of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7"/>
                <w:szCs w:val="17"/>
                <w:color w:val="auto"/>
              </w:rPr>
            </w:pPr>
          </w:p>
        </w:tc>
        <w:tc>
          <w:tcPr>
            <w:tcW w:w="18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29, 2020</w:t>
            </w:r>
          </w:p>
        </w:tc>
        <w:tc>
          <w:tcPr>
            <w:tcW w:w="220" w:type="dxa"/>
            <w:vAlign w:val="bottom"/>
          </w:tcPr>
          <w:p>
            <w:pPr>
              <w:spacing w:after="0"/>
              <w:rPr>
                <w:sz w:val="17"/>
                <w:szCs w:val="17"/>
                <w:color w:val="auto"/>
              </w:rPr>
            </w:pPr>
          </w:p>
        </w:tc>
        <w:tc>
          <w:tcPr>
            <w:tcW w:w="1800" w:type="dxa"/>
            <w:vAlign w:val="bottom"/>
          </w:tcPr>
          <w:p>
            <w:pPr>
              <w:jc w:val="right"/>
              <w:ind w:right="241"/>
              <w:spacing w:after="0"/>
              <w:rPr>
                <w:sz w:val="20"/>
                <w:szCs w:val="20"/>
                <w:color w:val="auto"/>
              </w:rPr>
            </w:pPr>
            <w:r>
              <w:rPr>
                <w:rFonts w:ascii="Arial" w:cs="Arial" w:eastAsia="Arial" w:hAnsi="Arial"/>
                <w:sz w:val="14"/>
                <w:szCs w:val="14"/>
                <w:b w:val="1"/>
                <w:bCs w:val="1"/>
                <w:color w:val="auto"/>
              </w:rPr>
              <w:t>DECEMBER 29, 2019</w:t>
            </w:r>
          </w:p>
        </w:tc>
      </w:tr>
      <w:tr>
        <w:trPr>
          <w:trHeight w:val="237"/>
        </w:trPr>
        <w:tc>
          <w:tcPr>
            <w:tcW w:w="7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insurance liability</w:t>
            </w: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33,490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33,818</w:t>
            </w: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Chef and Restaurant Managing Partner deferred compensation obligations and deposits</w:t>
            </w:r>
          </w:p>
        </w:tc>
        <w:tc>
          <w:tcPr>
            <w:tcW w:w="280" w:type="dxa"/>
            <w:vAlign w:val="bottom"/>
          </w:tcPr>
          <w:p>
            <w:pPr>
              <w:spacing w:after="0"/>
              <w:rPr>
                <w:sz w:val="20"/>
                <w:szCs w:val="20"/>
                <w:color w:val="auto"/>
              </w:rPr>
            </w:pPr>
          </w:p>
        </w:tc>
        <w:tc>
          <w:tcPr>
            <w:tcW w:w="1740" w:type="dxa"/>
            <w:vAlign w:val="bottom"/>
          </w:tcPr>
          <w:p>
            <w:pPr>
              <w:jc w:val="right"/>
              <w:ind w:right="21"/>
              <w:spacing w:after="0"/>
              <w:rPr>
                <w:sz w:val="20"/>
                <w:szCs w:val="20"/>
                <w:color w:val="auto"/>
              </w:rPr>
            </w:pPr>
            <w:r>
              <w:rPr>
                <w:rFonts w:ascii="Arial" w:cs="Arial" w:eastAsia="Arial" w:hAnsi="Arial"/>
                <w:sz w:val="16"/>
                <w:szCs w:val="16"/>
                <w:color w:val="auto"/>
              </w:rPr>
              <w:t>41,824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jc w:val="right"/>
              <w:ind w:right="21"/>
              <w:spacing w:after="0"/>
              <w:rPr>
                <w:sz w:val="20"/>
                <w:szCs w:val="20"/>
                <w:color w:val="auto"/>
              </w:rPr>
            </w:pPr>
            <w:r>
              <w:rPr>
                <w:rFonts w:ascii="Arial" w:cs="Arial" w:eastAsia="Arial" w:hAnsi="Arial"/>
                <w:sz w:val="16"/>
                <w:szCs w:val="16"/>
                <w:color w:val="auto"/>
              </w:rPr>
              <w:t>47,831</w:t>
            </w:r>
          </w:p>
        </w:tc>
      </w:tr>
      <w:tr>
        <w:trPr>
          <w:trHeight w:val="33"/>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68"/>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 (1)</w:t>
            </w:r>
          </w:p>
        </w:tc>
        <w:tc>
          <w:tcPr>
            <w:tcW w:w="2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73,318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56,411</w:t>
            </w:r>
          </w:p>
        </w:tc>
      </w:tr>
      <w:tr>
        <w:trPr>
          <w:trHeight w:val="223"/>
        </w:trPr>
        <w:tc>
          <w:tcPr>
            <w:tcW w:w="710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148,632</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138,060</w:t>
            </w:r>
          </w:p>
        </w:tc>
      </w:tr>
      <w:tr>
        <w:trPr>
          <w:trHeight w:val="33"/>
        </w:trPr>
        <w:tc>
          <w:tcPr>
            <w:tcW w:w="7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jc w:val="both"/>
        <w:ind w:left="660" w:hanging="652"/>
        <w:spacing w:after="0" w:line="25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The increase in Other long-term liabilities during the thirteen weeks ended March 29, 2020, preliminary relates to $9.9 million of additional interest rate swap liabilities and $8.7 million of additional contingent lease liabilities. See Note 13 -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 xml:space="preserve"> and Note 18 -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respectively, for details regarding these increases.</w:t>
      </w:r>
    </w:p>
    <w:p>
      <w:pPr>
        <w:spacing w:after="0" w:line="15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Stockholders’ Equity</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Share Repurchases </w:t>
      </w:r>
      <w:r>
        <w:rPr>
          <w:rFonts w:ascii="Arial" w:cs="Arial" w:eastAsia="Arial" w:hAnsi="Arial"/>
          <w:sz w:val="20"/>
          <w:szCs w:val="20"/>
          <w:color w:val="auto"/>
        </w:rPr>
        <w:t>- The Company did not repurchase any shares of its outstanding common stock during the thirteen weeks ended March</w:t>
      </w:r>
      <w:r>
        <w:rPr>
          <w:rFonts w:ascii="Arial" w:cs="Arial" w:eastAsia="Arial" w:hAnsi="Arial"/>
          <w:sz w:val="20"/>
          <w:szCs w:val="20"/>
          <w:i w:val="1"/>
          <w:iCs w:val="1"/>
          <w:color w:val="auto"/>
        </w:rPr>
        <w:t xml:space="preserve"> </w:t>
      </w:r>
      <w:r>
        <w:rPr>
          <w:rFonts w:ascii="Arial" w:cs="Arial" w:eastAsia="Arial" w:hAnsi="Arial"/>
          <w:sz w:val="20"/>
          <w:szCs w:val="20"/>
          <w:color w:val="auto"/>
        </w:rPr>
        <w:t>29, 2020. Under the terms of the Amended Credit Agreement, repurchasing shares of the Company’s outstanding common stock is restricted until after September 26, 2021.</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Dividends - </w:t>
      </w:r>
      <w:r>
        <w:rPr>
          <w:rFonts w:ascii="Arial" w:cs="Arial" w:eastAsia="Arial" w:hAnsi="Arial"/>
          <w:sz w:val="20"/>
          <w:szCs w:val="20"/>
          <w:color w:val="auto"/>
        </w:rPr>
        <w:t>The Company declared and paid dividends per share during fiscal year 2020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DIVIDENDS PER</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05"/>
        </w:trPr>
        <w:tc>
          <w:tcPr>
            <w:tcW w:w="788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w:t>
            </w:r>
          </w:p>
        </w:tc>
        <w:tc>
          <w:tcPr>
            <w:tcW w:w="340" w:type="dxa"/>
            <w:vAlign w:val="bottom"/>
          </w:tcPr>
          <w:p>
            <w:pPr>
              <w:spacing w:after="0"/>
              <w:rPr>
                <w:sz w:val="17"/>
                <w:szCs w:val="17"/>
                <w:color w:val="auto"/>
              </w:rPr>
            </w:pPr>
          </w:p>
        </w:tc>
        <w:tc>
          <w:tcPr>
            <w:tcW w:w="1440" w:type="dxa"/>
            <w:vAlign w:val="bottom"/>
          </w:tcPr>
          <w:p>
            <w:pPr>
              <w:jc w:val="right"/>
              <w:ind w:right="484"/>
              <w:spacing w:after="0"/>
              <w:rPr>
                <w:sz w:val="20"/>
                <w:szCs w:val="20"/>
                <w:color w:val="auto"/>
              </w:rPr>
            </w:pPr>
            <w:r>
              <w:rPr>
                <w:rFonts w:ascii="Arial" w:cs="Arial" w:eastAsia="Arial" w:hAnsi="Arial"/>
                <w:sz w:val="14"/>
                <w:szCs w:val="14"/>
                <w:b w:val="1"/>
                <w:bCs w:val="1"/>
                <w:color w:val="auto"/>
              </w:rPr>
              <w:t>AMOUNT</w:t>
            </w:r>
          </w:p>
        </w:tc>
      </w:tr>
      <w:tr>
        <w:trPr>
          <w:trHeight w:val="223"/>
        </w:trPr>
        <w:tc>
          <w:tcPr>
            <w:tcW w:w="7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fiscal quarter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0.20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17,480</w:t>
            </w:r>
          </w:p>
        </w:tc>
      </w:tr>
      <w:tr>
        <w:trPr>
          <w:trHeight w:val="33"/>
        </w:trPr>
        <w:tc>
          <w:tcPr>
            <w:tcW w:w="7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Redeemable Preferred Stock </w:t>
      </w:r>
      <w:r>
        <w:rPr>
          <w:rFonts w:ascii="Arial" w:cs="Arial" w:eastAsia="Arial" w:hAnsi="Arial"/>
          <w:sz w:val="20"/>
          <w:szCs w:val="20"/>
          <w:color w:val="auto"/>
        </w:rPr>
        <w:t>- In connection with the development of its Abbraccio Cucina Italiana (“Abbraccio”) concept in 2015,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entered into an investment agreement (the “Abbraccio Investment Agreement”) to sell preferred shares of its Abbraccio subsidiary (“Abbraccio Shares”) to certain investors (“Abbraccio Partners”). The Abbraccio Investment Agreement included a call option for the purchase of the Abbraccio Shares (the “Abbraccio Call Option”).</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thirteen weeks ended March 29, 2020, the Company exercised the Abbraccio Call Option to purchase all outstanding Abbraccio Shares for $1.0 million and recorded a reduction to Accumulated deficit and an increase in Net loss applicable to common stockholders of $3.5 million for the consideration paid in excess of the Abbraccio Shares’ carrying value.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Accumulated Other Comprehensive Loss (“AOCL”) - </w:t>
      </w:r>
      <w:r>
        <w:rPr>
          <w:rFonts w:ascii="Arial" w:cs="Arial" w:eastAsia="Arial" w:hAnsi="Arial"/>
          <w:sz w:val="20"/>
          <w:szCs w:val="20"/>
          <w:color w:val="auto"/>
        </w:rPr>
        <w:t>Following are the components of AOCL as of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7"/>
                <w:szCs w:val="17"/>
                <w:color w:val="auto"/>
              </w:rPr>
            </w:pPr>
          </w:p>
        </w:tc>
        <w:tc>
          <w:tcPr>
            <w:tcW w:w="202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29, 2020</w:t>
            </w:r>
          </w:p>
        </w:tc>
        <w:tc>
          <w:tcPr>
            <w:tcW w:w="220" w:type="dxa"/>
            <w:vAlign w:val="bottom"/>
          </w:tcPr>
          <w:p>
            <w:pPr>
              <w:spacing w:after="0"/>
              <w:rPr>
                <w:sz w:val="17"/>
                <w:szCs w:val="17"/>
                <w:color w:val="auto"/>
              </w:rPr>
            </w:pPr>
          </w:p>
        </w:tc>
        <w:tc>
          <w:tcPr>
            <w:tcW w:w="1800" w:type="dxa"/>
            <w:vAlign w:val="bottom"/>
          </w:tcPr>
          <w:p>
            <w:pPr>
              <w:jc w:val="right"/>
              <w:ind w:right="241"/>
              <w:spacing w:after="0"/>
              <w:rPr>
                <w:sz w:val="20"/>
                <w:szCs w:val="20"/>
                <w:color w:val="auto"/>
              </w:rPr>
            </w:pPr>
            <w:r>
              <w:rPr>
                <w:rFonts w:ascii="Arial" w:cs="Arial" w:eastAsia="Arial" w:hAnsi="Arial"/>
                <w:sz w:val="14"/>
                <w:szCs w:val="14"/>
                <w:b w:val="1"/>
                <w:bCs w:val="1"/>
                <w:color w:val="auto"/>
              </w:rPr>
              <w:t>DECEMBER 29, 2019</w:t>
            </w:r>
          </w:p>
        </w:tc>
      </w:tr>
      <w:tr>
        <w:trPr>
          <w:trHeight w:val="237"/>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34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(159,328)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(152,031)</w:t>
            </w:r>
          </w:p>
        </w:tc>
      </w:tr>
      <w:tr>
        <w:trPr>
          <w:trHeight w:val="270"/>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Unrealized loss on derivatives, net of tax</w:t>
            </w:r>
          </w:p>
        </w:tc>
        <w:tc>
          <w:tcPr>
            <w:tcW w:w="34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(29,685)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(17,745)</w:t>
            </w:r>
          </w:p>
        </w:tc>
      </w:tr>
      <w:tr>
        <w:trPr>
          <w:trHeight w:val="24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(169,776)</w:t>
            </w:r>
          </w:p>
        </w:tc>
      </w:tr>
      <w:tr>
        <w:trPr>
          <w:trHeight w:val="20"/>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Following are the components of Other comprehensive (loss) income attributable to Bloomin’ Brands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63"/>
        </w:trPr>
        <w:tc>
          <w:tcPr>
            <w:tcW w:w="82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22"/>
                <w:szCs w:val="22"/>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2020</w:t>
            </w:r>
          </w:p>
        </w:tc>
        <w:tc>
          <w:tcPr>
            <w:tcW w:w="140" w:type="dxa"/>
            <w:vAlign w:val="bottom"/>
          </w:tcPr>
          <w:p>
            <w:pPr>
              <w:spacing w:after="0"/>
              <w:rPr>
                <w:sz w:val="22"/>
                <w:szCs w:val="22"/>
                <w:color w:val="auto"/>
              </w:rPr>
            </w:pPr>
          </w:p>
        </w:tc>
        <w:tc>
          <w:tcPr>
            <w:tcW w:w="1300" w:type="dxa"/>
            <w:vAlign w:val="bottom"/>
          </w:tcPr>
          <w:p>
            <w:pPr>
              <w:jc w:val="right"/>
              <w:ind w:right="101"/>
              <w:spacing w:after="0"/>
              <w:rPr>
                <w:sz w:val="20"/>
                <w:szCs w:val="20"/>
                <w:color w:val="auto"/>
              </w:rPr>
            </w:pPr>
            <w:r>
              <w:rPr>
                <w:rFonts w:ascii="Arial" w:cs="Arial" w:eastAsia="Arial" w:hAnsi="Arial"/>
                <w:sz w:val="14"/>
                <w:szCs w:val="14"/>
                <w:b w:val="1"/>
                <w:bCs w:val="1"/>
                <w:color w:val="auto"/>
                <w:w w:val="99"/>
              </w:rPr>
              <w:t>MARCH 31, 2019</w:t>
            </w:r>
          </w:p>
        </w:tc>
        <w:tc>
          <w:tcPr>
            <w:tcW w:w="0" w:type="dxa"/>
            <w:vAlign w:val="bottom"/>
          </w:tcPr>
          <w:p>
            <w:pPr>
              <w:spacing w:after="0"/>
              <w:rPr>
                <w:sz w:val="1"/>
                <w:szCs w:val="1"/>
                <w:color w:val="auto"/>
              </w:rPr>
            </w:pPr>
          </w:p>
        </w:tc>
      </w:tr>
      <w:tr>
        <w:trPr>
          <w:trHeight w:val="237"/>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5,847</w:t>
            </w:r>
          </w:p>
        </w:tc>
        <w:tc>
          <w:tcPr>
            <w:tcW w:w="0" w:type="dxa"/>
            <w:vAlign w:val="bottom"/>
          </w:tcPr>
          <w:p>
            <w:pPr>
              <w:spacing w:after="0"/>
              <w:rPr>
                <w:sz w:val="1"/>
                <w:szCs w:val="1"/>
                <w:color w:val="auto"/>
              </w:rPr>
            </w:pPr>
          </w:p>
        </w:tc>
      </w:tr>
      <w:tr>
        <w:trPr>
          <w:trHeight w:val="297"/>
        </w:trPr>
        <w:tc>
          <w:tcPr>
            <w:tcW w:w="8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loss on derivatives, net of tax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(4,381)</w:t>
            </w:r>
          </w:p>
        </w:tc>
        <w:tc>
          <w:tcPr>
            <w:tcW w:w="0" w:type="dxa"/>
            <w:vAlign w:val="bottom"/>
          </w:tcPr>
          <w:p>
            <w:pPr>
              <w:spacing w:after="0"/>
              <w:rPr>
                <w:sz w:val="1"/>
                <w:szCs w:val="1"/>
                <w:color w:val="auto"/>
              </w:rPr>
            </w:pPr>
          </w:p>
        </w:tc>
      </w:tr>
      <w:tr>
        <w:trPr>
          <w:trHeight w:val="270"/>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Reclassification of adjustments for loss (gain) on derivatives included in Net income, net of tax (2)</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1,396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57"/>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unrealized loss on derivatives, net of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(4,745)</w:t>
            </w:r>
          </w:p>
        </w:tc>
        <w:tc>
          <w:tcPr>
            <w:tcW w:w="0" w:type="dxa"/>
            <w:vAlign w:val="bottom"/>
          </w:tcPr>
          <w:p>
            <w:pPr>
              <w:spacing w:after="0"/>
              <w:rPr>
                <w:sz w:val="1"/>
                <w:szCs w:val="1"/>
                <w:color w:val="auto"/>
              </w:rPr>
            </w:pPr>
          </w:p>
        </w:tc>
      </w:tr>
      <w:tr>
        <w:trPr>
          <w:trHeight w:val="250"/>
        </w:trPr>
        <w:tc>
          <w:tcPr>
            <w:tcW w:w="8220" w:type="dxa"/>
            <w:vAlign w:val="bottom"/>
          </w:tcPr>
          <w:p>
            <w:pPr>
              <w:ind w:left="40"/>
              <w:spacing w:after="0"/>
              <w:rPr>
                <w:sz w:val="20"/>
                <w:szCs w:val="20"/>
                <w:color w:val="auto"/>
              </w:rPr>
            </w:pPr>
            <w:r>
              <w:rPr>
                <w:rFonts w:ascii="Arial" w:cs="Arial" w:eastAsia="Arial" w:hAnsi="Arial"/>
                <w:sz w:val="16"/>
                <w:szCs w:val="16"/>
                <w:color w:val="auto"/>
              </w:rPr>
              <w:t>Other comprehensive (loss) income attributable to Bloomin’ Brands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1,102</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Unrealized loss on derivatives is net of tax of $(4.6) million and $(1.5) million for the thirteen weeks ended March 29, 2020 and March 31, 2019, respectively.</w:t>
      </w:r>
    </w:p>
    <w:p>
      <w:pPr>
        <w:spacing w:after="0" w:line="16" w:lineRule="exact"/>
        <w:rPr>
          <w:rFonts w:ascii="Arial" w:cs="Arial" w:eastAsia="Arial" w:hAnsi="Arial"/>
          <w:sz w:val="15"/>
          <w:szCs w:val="15"/>
          <w:color w:val="auto"/>
        </w:rPr>
      </w:pPr>
    </w:p>
    <w:p>
      <w:pPr>
        <w:ind w:left="660" w:hanging="652"/>
        <w:spacing w:after="0" w:line="257"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Reclassifications of adjustments for loss (gain) on derivatives are net of tax. See Note 13 -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 xml:space="preserve"> for the tax impact of reclassifications.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Derivative Instruments and Hedging Activities</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Cash Flow Hedges of Interest Rate Risk - </w:t>
      </w:r>
      <w:r>
        <w:rPr>
          <w:rFonts w:ascii="Arial" w:cs="Arial" w:eastAsia="Arial" w:hAnsi="Arial"/>
          <w:sz w:val="20"/>
          <w:szCs w:val="20"/>
          <w:color w:val="252525"/>
        </w:rPr>
        <w:t>On October 24, 2018 and October 25, 2018, the Company entered into variable-to-fixed interest</w:t>
      </w:r>
      <w:r>
        <w:rPr>
          <w:rFonts w:ascii="Arial" w:cs="Arial" w:eastAsia="Arial" w:hAnsi="Arial"/>
          <w:sz w:val="20"/>
          <w:szCs w:val="20"/>
          <w:i w:val="1"/>
          <w:iCs w:val="1"/>
          <w:color w:val="auto"/>
        </w:rPr>
        <w:t xml:space="preserve"> </w:t>
      </w:r>
      <w:r>
        <w:rPr>
          <w:rFonts w:ascii="Arial" w:cs="Arial" w:eastAsia="Arial" w:hAnsi="Arial"/>
          <w:sz w:val="20"/>
          <w:szCs w:val="20"/>
          <w:color w:val="252525"/>
        </w:rPr>
        <w:t xml:space="preserve">rate swap agreements with 12 counterparties to hedge a portion of the cash flows of the Company’s variable rate debt. The swap agreements have an aggregate notional amount of $550.0 million and mature on November 30, 2022. Under the terms of the swap agreements, the Company pays a weighted-average fixed rate of 3.04% on the notional amount and receives payments from the counterparty based on the </w:t>
      </w:r>
      <w:r>
        <w:rPr>
          <w:rFonts w:ascii="Arial" w:cs="Arial" w:eastAsia="Arial" w:hAnsi="Arial"/>
          <w:sz w:val="20"/>
          <w:szCs w:val="20"/>
          <w:color w:val="000000"/>
        </w:rPr>
        <w:t xml:space="preserve">one-month LIBOR </w:t>
      </w:r>
      <w:r>
        <w:rPr>
          <w:rFonts w:ascii="Arial" w:cs="Arial" w:eastAsia="Arial" w:hAnsi="Arial"/>
          <w:sz w:val="20"/>
          <w:szCs w:val="20"/>
          <w:color w:val="252525"/>
        </w:rPr>
        <w:t>rate.</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52525"/>
        </w:rPr>
        <w:t xml:space="preserve">The Company’s swap agreements have been designated and qualify as cash flow hedges, are recognized on its Consolidated Balance Sheets at fair value and are classified based on the instruments’ maturity dates. The Company estimates $14.7 million will be reclassified to interest expense over the next 12 fiscal months. The following table presents the fair value and classification of the Company’s swap agreements, as of </w:t>
      </w:r>
      <w:r>
        <w:rPr>
          <w:rFonts w:ascii="Arial" w:cs="Arial" w:eastAsia="Arial" w:hAnsi="Arial"/>
          <w:sz w:val="20"/>
          <w:szCs w:val="20"/>
          <w:color w:val="000000"/>
        </w:rPr>
        <w:t>the periods indicated</w:t>
      </w:r>
      <w:r>
        <w:rPr>
          <w:rFonts w:ascii="Arial" w:cs="Arial" w:eastAsia="Arial" w:hAnsi="Arial"/>
          <w:sz w:val="20"/>
          <w:szCs w:val="20"/>
          <w:color w:val="252525"/>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rPr>
              <w:t>CONSOLIDATED BALANCE SHEET</w:t>
            </w:r>
          </w:p>
        </w:tc>
      </w:tr>
      <w:tr>
        <w:trPr>
          <w:trHeight w:val="205"/>
        </w:trPr>
        <w:tc>
          <w:tcPr>
            <w:tcW w:w="51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7"/>
                <w:szCs w:val="17"/>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29, 2020</w:t>
            </w: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DECEMBER 29, 2019</w:t>
            </w:r>
          </w:p>
        </w:tc>
        <w:tc>
          <w:tcPr>
            <w:tcW w:w="12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rPr>
              <w:t>CLASSIFICATION</w:t>
            </w:r>
          </w:p>
        </w:tc>
      </w:tr>
      <w:tr>
        <w:trPr>
          <w:trHeight w:val="236"/>
        </w:trPr>
        <w:tc>
          <w:tcPr>
            <w:tcW w:w="5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swaps - liability</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13,335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and other current liabilities</w:t>
            </w:r>
          </w:p>
        </w:tc>
      </w:tr>
      <w:tr>
        <w:trPr>
          <w:trHeight w:val="270"/>
        </w:trPr>
        <w:tc>
          <w:tcPr>
            <w:tcW w:w="5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rate swaps - liability</w:t>
            </w: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26,758</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16,835</w:t>
            </w:r>
          </w:p>
        </w:tc>
        <w:tc>
          <w:tcPr>
            <w:tcW w:w="120" w:type="dxa"/>
            <w:vAlign w:val="bottom"/>
            <w:tcBorders>
              <w:bottom w:val="single" w:sz="8" w:color="CCEEFF"/>
            </w:tcBorders>
          </w:tcPr>
          <w:p>
            <w:pPr>
              <w:spacing w:after="0"/>
              <w:rPr>
                <w:sz w:val="23"/>
                <w:szCs w:val="23"/>
                <w:color w:val="auto"/>
              </w:rPr>
            </w:pPr>
          </w:p>
        </w:tc>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 net</w:t>
            </w:r>
          </w:p>
        </w:tc>
      </w:tr>
      <w:tr>
        <w:trPr>
          <w:trHeight w:val="243"/>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fair value of derivative instruments - liabilities (1)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40,093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24,009</w:t>
            </w:r>
          </w:p>
        </w:tc>
        <w:tc>
          <w:tcPr>
            <w:tcW w:w="12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1"/>
                <w:szCs w:val="21"/>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84"/>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679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632</w:t>
            </w:r>
          </w:p>
        </w:tc>
        <w:tc>
          <w:tcPr>
            <w:tcW w:w="120" w:type="dxa"/>
            <w:vAlign w:val="bottom"/>
            <w:tcBorders>
              <w:bottom w:val="single" w:sz="8" w:color="CCEEFF"/>
            </w:tcBorders>
            <w:shd w:val="clear" w:color="auto" w:fill="CCEEFF"/>
          </w:tcPr>
          <w:p>
            <w:pPr>
              <w:spacing w:after="0"/>
              <w:rPr>
                <w:sz w:val="23"/>
                <w:szCs w:val="23"/>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and other current liabilities</w:t>
            </w:r>
          </w:p>
        </w:tc>
      </w:tr>
      <w:tr>
        <w:trPr>
          <w:trHeight w:val="187"/>
        </w:trPr>
        <w:tc>
          <w:tcPr>
            <w:tcW w:w="5180" w:type="dxa"/>
            <w:vAlign w:val="bottom"/>
          </w:tcPr>
          <w:p>
            <w:pPr>
              <w:spacing w:after="0"/>
              <w:rPr>
                <w:sz w:val="20"/>
                <w:szCs w:val="20"/>
                <w:color w:val="auto"/>
              </w:rPr>
            </w:pPr>
            <w:r>
              <w:rPr>
                <w:rFonts w:ascii="Arial" w:cs="Arial" w:eastAsia="Arial" w:hAnsi="Arial"/>
                <w:sz w:val="16"/>
                <w:szCs w:val="16"/>
                <w:color w:val="auto"/>
              </w:rPr>
              <w:t>____________________</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tcPr>
          <w:p>
            <w:pPr>
              <w:spacing w:after="0"/>
              <w:rPr>
                <w:sz w:val="16"/>
                <w:szCs w:val="16"/>
                <w:color w:val="auto"/>
              </w:rPr>
            </w:pPr>
          </w:p>
        </w:tc>
      </w:tr>
    </w:tbl>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252525"/>
        </w:rPr>
        <w:t xml:space="preserve">See Note </w:t>
      </w:r>
      <w:r>
        <w:rPr>
          <w:rFonts w:ascii="Arial" w:cs="Arial" w:eastAsia="Arial" w:hAnsi="Arial"/>
          <w:sz w:val="16"/>
          <w:szCs w:val="16"/>
          <w:color w:val="000000"/>
        </w:rPr>
        <w:t>15</w:t>
      </w:r>
      <w:r>
        <w:rPr>
          <w:rFonts w:ascii="Arial" w:cs="Arial" w:eastAsia="Arial" w:hAnsi="Arial"/>
          <w:sz w:val="16"/>
          <w:szCs w:val="16"/>
          <w:color w:val="252525"/>
        </w:rPr>
        <w:t xml:space="preserve"> - </w:t>
      </w:r>
      <w:r>
        <w:rPr>
          <w:rFonts w:ascii="Arial" w:cs="Arial" w:eastAsia="Arial" w:hAnsi="Arial"/>
          <w:sz w:val="16"/>
          <w:szCs w:val="16"/>
          <w:i w:val="1"/>
          <w:iCs w:val="1"/>
          <w:color w:val="000000"/>
        </w:rPr>
        <w:t>Fair Value Measurements</w:t>
      </w:r>
      <w:r>
        <w:rPr>
          <w:rFonts w:ascii="Arial" w:cs="Arial" w:eastAsia="Arial" w:hAnsi="Arial"/>
          <w:sz w:val="16"/>
          <w:szCs w:val="16"/>
          <w:color w:val="252525"/>
        </w:rPr>
        <w:t xml:space="preserve"> for fair value discussion of the interest rate swaps.</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 xml:space="preserve">On </w:t>
      </w:r>
      <w:r>
        <w:rPr>
          <w:rFonts w:ascii="Arial" w:cs="Arial" w:eastAsia="Arial" w:hAnsi="Arial"/>
          <w:sz w:val="20"/>
          <w:szCs w:val="20"/>
          <w:color w:val="000000"/>
        </w:rPr>
        <w:t>May 4, 2020</w:t>
      </w:r>
      <w:r>
        <w:rPr>
          <w:rFonts w:ascii="Arial" w:cs="Arial" w:eastAsia="Arial" w:hAnsi="Arial"/>
          <w:sz w:val="20"/>
          <w:szCs w:val="20"/>
          <w:color w:val="252525"/>
        </w:rPr>
        <w:t>, concurrent with entering into the Amended Credit Agreement, the Company elected to de-designate its interest rate swap hedge relationships and modify its interest rate swaps to more closely align with certain terms of the Amended Credit Agreement. On May 6, 2020, the Company re-designated the cash flow hedge relationship for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0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252525"/>
        </w:rPr>
        <w:t>original $550.0 million notional amount, resulting in no impact to the Company’s consolidated financial statements as a result of the hedge activity.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252525"/>
        </w:rPr>
        <w:t>The following table summarizes the effects of the swap agreements on Net (loss) income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4"/>
                <w:szCs w:val="14"/>
                <w:b w:val="1"/>
                <w:bCs w:val="1"/>
                <w:color w:val="auto"/>
              </w:rPr>
              <w:t>THIRTEEN WEEKS ENDED</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22"/>
                <w:szCs w:val="22"/>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2020</w:t>
            </w:r>
          </w:p>
        </w:tc>
        <w:tc>
          <w:tcPr>
            <w:tcW w:w="140" w:type="dxa"/>
            <w:vAlign w:val="bottom"/>
          </w:tcPr>
          <w:p>
            <w:pPr>
              <w:spacing w:after="0"/>
              <w:rPr>
                <w:sz w:val="22"/>
                <w:szCs w:val="22"/>
                <w:color w:val="auto"/>
              </w:rPr>
            </w:pPr>
          </w:p>
        </w:tc>
        <w:tc>
          <w:tcPr>
            <w:tcW w:w="1300" w:type="dxa"/>
            <w:vAlign w:val="bottom"/>
          </w:tcPr>
          <w:p>
            <w:pPr>
              <w:jc w:val="right"/>
              <w:ind w:right="101"/>
              <w:spacing w:after="0"/>
              <w:rPr>
                <w:sz w:val="20"/>
                <w:szCs w:val="20"/>
                <w:color w:val="auto"/>
              </w:rPr>
            </w:pPr>
            <w:r>
              <w:rPr>
                <w:rFonts w:ascii="Arial" w:cs="Arial" w:eastAsia="Arial" w:hAnsi="Arial"/>
                <w:sz w:val="14"/>
                <w:szCs w:val="14"/>
                <w:b w:val="1"/>
                <w:bCs w:val="1"/>
                <w:color w:val="auto"/>
                <w:w w:val="99"/>
              </w:rPr>
              <w:t>MARCH 31, 2019</w:t>
            </w:r>
          </w:p>
        </w:tc>
      </w:tr>
      <w:tr>
        <w:trPr>
          <w:trHeight w:val="236"/>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(expense) income recognized in Interest expense, net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491</w:t>
            </w:r>
          </w:p>
        </w:tc>
      </w:tr>
      <w:tr>
        <w:trPr>
          <w:trHeight w:val="270"/>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benefit (expense) recognized in Provision for income taxes</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484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r>
      <w:tr>
        <w:trPr>
          <w:trHeight w:val="244"/>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effects of the interest rate swaps on Net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364</w:t>
            </w:r>
          </w:p>
        </w:tc>
      </w:tr>
      <w:tr>
        <w:trPr>
          <w:trHeight w:val="20"/>
        </w:trPr>
        <w:tc>
          <w:tcPr>
            <w:tcW w:w="8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252525"/>
        </w:rPr>
        <w:t xml:space="preserve">By utilizing the interest rate swaps, 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w:t>
      </w:r>
      <w:r>
        <w:rPr>
          <w:rFonts w:ascii="Arial" w:cs="Arial" w:eastAsia="Arial" w:hAnsi="Arial"/>
          <w:sz w:val="19"/>
          <w:szCs w:val="19"/>
          <w:color w:val="000000"/>
        </w:rPr>
        <w:t>March 29, 2020</w:t>
      </w:r>
      <w:r>
        <w:rPr>
          <w:rFonts w:ascii="Arial" w:cs="Arial" w:eastAsia="Arial" w:hAnsi="Arial"/>
          <w:sz w:val="19"/>
          <w:szCs w:val="19"/>
          <w:color w:val="252525"/>
        </w:rPr>
        <w:t>, all counterparties to the interest rate swaps had performed in accordance with their contractual obligations.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The Company has agreements with each of its derivative counterparties that contain a provision where the Company could be declared in default on its derivative obligations if the repayment of the underlying indebtedness is accelerated by the lender due to the Company’s default on indebtedness.</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252525"/>
        </w:rPr>
        <w:t xml:space="preserve">As of </w:t>
      </w:r>
      <w:r>
        <w:rPr>
          <w:rFonts w:ascii="Arial" w:cs="Arial" w:eastAsia="Arial" w:hAnsi="Arial"/>
          <w:sz w:val="19"/>
          <w:szCs w:val="19"/>
          <w:color w:val="000000"/>
        </w:rPr>
        <w:t>March 29, 2020</w:t>
      </w:r>
      <w:r>
        <w:rPr>
          <w:rFonts w:ascii="Arial" w:cs="Arial" w:eastAsia="Arial" w:hAnsi="Arial"/>
          <w:sz w:val="19"/>
          <w:szCs w:val="19"/>
          <w:color w:val="252525"/>
        </w:rPr>
        <w:t xml:space="preserve"> and </w:t>
      </w:r>
      <w:r>
        <w:rPr>
          <w:rFonts w:ascii="Arial" w:cs="Arial" w:eastAsia="Arial" w:hAnsi="Arial"/>
          <w:sz w:val="19"/>
          <w:szCs w:val="19"/>
          <w:color w:val="000000"/>
        </w:rPr>
        <w:t>December 29, 2019</w:t>
      </w:r>
      <w:r>
        <w:rPr>
          <w:rFonts w:ascii="Arial" w:cs="Arial" w:eastAsia="Arial" w:hAnsi="Arial"/>
          <w:sz w:val="19"/>
          <w:szCs w:val="19"/>
          <w:color w:val="252525"/>
        </w:rPr>
        <w:t xml:space="preserve">, the fair value of the Company’s interest rate swaps was in a net liability position, including accrued interest but excluding any adjustment for nonperformance risk, of $41.0 million and $24.8 million, respectively. As of </w:t>
      </w:r>
      <w:r>
        <w:rPr>
          <w:rFonts w:ascii="Arial" w:cs="Arial" w:eastAsia="Arial" w:hAnsi="Arial"/>
          <w:sz w:val="19"/>
          <w:szCs w:val="19"/>
          <w:color w:val="000000"/>
        </w:rPr>
        <w:t>March 29,</w:t>
      </w:r>
      <w:r>
        <w:rPr>
          <w:rFonts w:ascii="Arial" w:cs="Arial" w:eastAsia="Arial" w:hAnsi="Arial"/>
          <w:sz w:val="19"/>
          <w:szCs w:val="19"/>
          <w:color w:val="252525"/>
        </w:rPr>
        <w:t xml:space="preserve"> </w:t>
      </w:r>
      <w:r>
        <w:rPr>
          <w:rFonts w:ascii="Arial" w:cs="Arial" w:eastAsia="Arial" w:hAnsi="Arial"/>
          <w:sz w:val="19"/>
          <w:szCs w:val="19"/>
          <w:color w:val="000000"/>
        </w:rPr>
        <w:t xml:space="preserve">2020 </w:t>
      </w:r>
      <w:r>
        <w:rPr>
          <w:rFonts w:ascii="Arial" w:cs="Arial" w:eastAsia="Arial" w:hAnsi="Arial"/>
          <w:sz w:val="19"/>
          <w:szCs w:val="19"/>
          <w:color w:val="252525"/>
        </w:rPr>
        <w:t>and</w:t>
      </w:r>
      <w:r>
        <w:rPr>
          <w:rFonts w:ascii="Arial" w:cs="Arial" w:eastAsia="Arial" w:hAnsi="Arial"/>
          <w:sz w:val="19"/>
          <w:szCs w:val="19"/>
          <w:color w:val="000000"/>
        </w:rPr>
        <w:t xml:space="preserve"> December 29, 2019</w:t>
      </w:r>
      <w:r>
        <w:rPr>
          <w:rFonts w:ascii="Arial" w:cs="Arial" w:eastAsia="Arial" w:hAnsi="Arial"/>
          <w:sz w:val="19"/>
          <w:szCs w:val="19"/>
          <w:color w:val="252525"/>
        </w:rPr>
        <w:t>, the Company has not posted any collateral related to these agreements. If the Company had breached any of</w:t>
      </w:r>
      <w:r>
        <w:rPr>
          <w:rFonts w:ascii="Arial" w:cs="Arial" w:eastAsia="Arial" w:hAnsi="Arial"/>
          <w:sz w:val="19"/>
          <w:szCs w:val="19"/>
          <w:color w:val="000000"/>
        </w:rPr>
        <w:t xml:space="preserve"> </w:t>
      </w:r>
      <w:r>
        <w:rPr>
          <w:rFonts w:ascii="Arial" w:cs="Arial" w:eastAsia="Arial" w:hAnsi="Arial"/>
          <w:sz w:val="19"/>
          <w:szCs w:val="19"/>
          <w:color w:val="252525"/>
        </w:rPr>
        <w:t xml:space="preserve">these provisions as of </w:t>
      </w:r>
      <w:r>
        <w:rPr>
          <w:rFonts w:ascii="Arial" w:cs="Arial" w:eastAsia="Arial" w:hAnsi="Arial"/>
          <w:sz w:val="19"/>
          <w:szCs w:val="19"/>
          <w:color w:val="000000"/>
        </w:rPr>
        <w:t>March 29, 2020</w:t>
      </w:r>
      <w:r>
        <w:rPr>
          <w:rFonts w:ascii="Arial" w:cs="Arial" w:eastAsia="Arial" w:hAnsi="Arial"/>
          <w:sz w:val="19"/>
          <w:szCs w:val="19"/>
          <w:color w:val="252525"/>
        </w:rPr>
        <w:t xml:space="preserve"> and </w:t>
      </w:r>
      <w:r>
        <w:rPr>
          <w:rFonts w:ascii="Arial" w:cs="Arial" w:eastAsia="Arial" w:hAnsi="Arial"/>
          <w:sz w:val="19"/>
          <w:szCs w:val="19"/>
          <w:color w:val="000000"/>
        </w:rPr>
        <w:t>December 29, 2019</w:t>
      </w:r>
      <w:r>
        <w:rPr>
          <w:rFonts w:ascii="Arial" w:cs="Arial" w:eastAsia="Arial" w:hAnsi="Arial"/>
          <w:sz w:val="19"/>
          <w:szCs w:val="19"/>
          <w:color w:val="252525"/>
        </w:rPr>
        <w:t>, it could have been required to settle its obligations under the agreements at their termination value of $41.0 million and $24.8 million, respectively.</w:t>
      </w:r>
    </w:p>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6"/>
          <w:szCs w:val="16"/>
          <w:color w:val="auto"/>
        </w:rPr>
        <w:t>Leases</w:t>
      </w:r>
    </w:p>
    <w:p>
      <w:pPr>
        <w:spacing w:after="0" w:line="229"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following table includes a detail of lease assets and liabilities included on the Company’s Consolidated Balance Sheets as of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CONSOLIDATED BALANCE SHEET CLASSIFICATION</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MARCH 29, 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DECEMBER 29, 2019</w:t>
            </w:r>
          </w:p>
        </w:tc>
        <w:tc>
          <w:tcPr>
            <w:tcW w:w="0" w:type="dxa"/>
            <w:vAlign w:val="bottom"/>
          </w:tcPr>
          <w:p>
            <w:pPr>
              <w:spacing w:after="0"/>
              <w:rPr>
                <w:sz w:val="1"/>
                <w:szCs w:val="1"/>
                <w:color w:val="auto"/>
              </w:rPr>
            </w:pPr>
          </w:p>
        </w:tc>
      </w:tr>
      <w:tr>
        <w:trPr>
          <w:trHeight w:val="236"/>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assets</w:t>
            </w:r>
          </w:p>
        </w:tc>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1,249,750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1,266,548</w:t>
            </w:r>
          </w:p>
        </w:tc>
        <w:tc>
          <w:tcPr>
            <w:tcW w:w="0" w:type="dxa"/>
            <w:vAlign w:val="bottom"/>
          </w:tcPr>
          <w:p>
            <w:pPr>
              <w:spacing w:after="0"/>
              <w:rPr>
                <w:sz w:val="1"/>
                <w:szCs w:val="1"/>
                <w:color w:val="auto"/>
              </w:rPr>
            </w:pPr>
          </w:p>
        </w:tc>
      </w:tr>
      <w:tr>
        <w:trPr>
          <w:trHeight w:val="270"/>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Finance lease right-of-use assets (1)</w:t>
            </w:r>
          </w:p>
        </w:tc>
        <w:tc>
          <w:tcPr>
            <w:tcW w:w="40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Property, fixtures and equipment, net</w:t>
            </w:r>
          </w:p>
        </w:tc>
        <w:tc>
          <w:tcPr>
            <w:tcW w:w="3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2,076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255"/>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lease assets, net</w:t>
            </w:r>
          </w:p>
        </w:tc>
        <w:tc>
          <w:tcPr>
            <w:tcW w:w="3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1,251,826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1,268,584</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0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operating lease liabilities (2)</w:t>
            </w:r>
          </w:p>
        </w:tc>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Accrued and other current liabilities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185,278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171,866</w:t>
            </w: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Current finance lease liabilities</w:t>
            </w:r>
          </w:p>
        </w:tc>
        <w:tc>
          <w:tcPr>
            <w:tcW w:w="4060" w:type="dxa"/>
            <w:vAlign w:val="bottom"/>
            <w:gridSpan w:val="2"/>
          </w:tcPr>
          <w:p>
            <w:pPr>
              <w:ind w:left="4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tcPr>
          <w:p>
            <w:pPr>
              <w:spacing w:after="0"/>
              <w:rPr>
                <w:sz w:val="20"/>
                <w:szCs w:val="20"/>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1,242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1,361</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operating lease liabilities</w:t>
            </w:r>
          </w:p>
        </w:tc>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Non-current 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1,281,372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1,279,051</w:t>
            </w:r>
          </w:p>
        </w:tc>
        <w:tc>
          <w:tcPr>
            <w:tcW w:w="0" w:type="dxa"/>
            <w:vAlign w:val="bottom"/>
          </w:tcPr>
          <w:p>
            <w:pPr>
              <w:spacing w:after="0"/>
              <w:rPr>
                <w:sz w:val="1"/>
                <w:szCs w:val="1"/>
                <w:color w:val="auto"/>
              </w:rPr>
            </w:pPr>
          </w:p>
        </w:tc>
      </w:tr>
      <w:tr>
        <w:trPr>
          <w:trHeight w:val="270"/>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Non-current finance lease liabilities</w:t>
            </w:r>
          </w:p>
        </w:tc>
        <w:tc>
          <w:tcPr>
            <w:tcW w:w="40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Long-term debt, net</w:t>
            </w:r>
          </w:p>
        </w:tc>
        <w:tc>
          <w:tcPr>
            <w:tcW w:w="3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1,086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947</w:t>
            </w:r>
          </w:p>
        </w:tc>
        <w:tc>
          <w:tcPr>
            <w:tcW w:w="0" w:type="dxa"/>
            <w:vAlign w:val="bottom"/>
          </w:tcPr>
          <w:p>
            <w:pPr>
              <w:spacing w:after="0"/>
              <w:rPr>
                <w:sz w:val="1"/>
                <w:szCs w:val="1"/>
                <w:color w:val="auto"/>
              </w:rPr>
            </w:pPr>
          </w:p>
        </w:tc>
      </w:tr>
      <w:tr>
        <w:trPr>
          <w:trHeight w:val="255"/>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lease liabilities</w:t>
            </w:r>
          </w:p>
        </w:tc>
        <w:tc>
          <w:tcPr>
            <w:tcW w:w="3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1,468,978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1,453,225</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040" w:type="dxa"/>
            <w:vAlign w:val="bottom"/>
            <w:vMerge w:val="continue"/>
          </w:tcPr>
          <w:p>
            <w:pPr>
              <w:spacing w:after="0"/>
              <w:rPr>
                <w:sz w:val="15"/>
                <w:szCs w:val="15"/>
                <w:color w:val="auto"/>
              </w:rPr>
            </w:pPr>
          </w:p>
        </w:tc>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Net of accumulated amortization of $1.6 million and $1.3 million as of March 29, 2020 and December 29, 2019, respectively.</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Excludes accrued contingent percentage rent.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expenses and income related to leases recognized in the Company’s Consolidated Statements of Operations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Comprehensive (Loss) Income for the periods indicated:</w:t>
      </w:r>
    </w:p>
    <w:p>
      <w:pPr>
        <w:spacing w:after="0" w:line="184"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THIRTEEN WEEKS ENDED</w:t>
      </w:r>
    </w:p>
    <w:tbl>
      <w:tblPr>
        <w:tblLayout w:type="fixed"/>
        <w:tblInd w:w="0" w:type="dxa"/>
        <w:tblCellMar>
          <w:top w:w="0" w:type="dxa"/>
          <w:left w:w="0" w:type="dxa"/>
          <w:bottom w:w="0" w:type="dxa"/>
          <w:right w:w="0" w:type="dxa"/>
        </w:tblCellMar>
      </w:tblPr>
      <w:tr>
        <w:trPr>
          <w:trHeight w:val="54"/>
        </w:trPr>
        <w:tc>
          <w:tcPr>
            <w:tcW w:w="3040" w:type="dxa"/>
            <w:vAlign w:val="bottom"/>
          </w:tcPr>
          <w:p>
            <w:pPr>
              <w:spacing w:after="0"/>
              <w:rPr>
                <w:sz w:val="4"/>
                <w:szCs w:val="4"/>
                <w:color w:val="auto"/>
              </w:rPr>
            </w:pPr>
          </w:p>
        </w:tc>
        <w:tc>
          <w:tcPr>
            <w:tcW w:w="4060" w:type="dxa"/>
            <w:vAlign w:val="bottom"/>
            <w:gridSpan w:val="2"/>
            <w:vMerge w:val="restart"/>
          </w:tcPr>
          <w:p>
            <w:pPr>
              <w:ind w:left="620"/>
              <w:spacing w:after="0" w:line="133" w:lineRule="exact"/>
              <w:rPr>
                <w:sz w:val="20"/>
                <w:szCs w:val="20"/>
                <w:color w:val="auto"/>
              </w:rPr>
            </w:pPr>
            <w:r>
              <w:rPr>
                <w:rFonts w:ascii="Arial" w:cs="Arial" w:eastAsia="Arial" w:hAnsi="Arial"/>
                <w:sz w:val="14"/>
                <w:szCs w:val="14"/>
                <w:b w:val="1"/>
                <w:bCs w:val="1"/>
                <w:color w:val="auto"/>
              </w:rPr>
              <w:t>CONSOLIDATED INCOME STATEMENT</w:t>
            </w:r>
          </w:p>
        </w:tc>
        <w:tc>
          <w:tcPr>
            <w:tcW w:w="30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3040" w:type="dxa"/>
            <w:vAlign w:val="bottom"/>
          </w:tcPr>
          <w:p>
            <w:pPr>
              <w:spacing w:after="0"/>
              <w:rPr>
                <w:sz w:val="5"/>
                <w:szCs w:val="5"/>
                <w:color w:val="auto"/>
              </w:rPr>
            </w:pPr>
          </w:p>
        </w:tc>
        <w:tc>
          <w:tcPr>
            <w:tcW w:w="40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94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MARCH 29, 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leases (1)</w:t>
            </w:r>
          </w:p>
        </w:tc>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restaurant operating</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45,882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45,233</w:t>
            </w: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Variable lease cost</w:t>
            </w:r>
          </w:p>
        </w:tc>
        <w:tc>
          <w:tcPr>
            <w:tcW w:w="4060" w:type="dxa"/>
            <w:vAlign w:val="bottom"/>
            <w:gridSpan w:val="2"/>
          </w:tcPr>
          <w:p>
            <w:pPr>
              <w:ind w:left="40"/>
              <w:spacing w:after="0"/>
              <w:rPr>
                <w:sz w:val="20"/>
                <w:szCs w:val="20"/>
                <w:color w:val="auto"/>
              </w:rPr>
            </w:pPr>
            <w:r>
              <w:rPr>
                <w:rFonts w:ascii="Arial" w:cs="Arial" w:eastAsia="Arial" w:hAnsi="Arial"/>
                <w:sz w:val="16"/>
                <w:szCs w:val="16"/>
                <w:color w:val="auto"/>
              </w:rPr>
              <w:t>Other restaurant operating</w:t>
            </w:r>
          </w:p>
        </w:tc>
        <w:tc>
          <w:tcPr>
            <w:tcW w:w="300" w:type="dxa"/>
            <w:vAlign w:val="bottom"/>
          </w:tcPr>
          <w:p>
            <w:pPr>
              <w:spacing w:after="0"/>
              <w:rPr>
                <w:sz w:val="20"/>
                <w:szCs w:val="20"/>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leases</w:t>
            </w:r>
          </w:p>
        </w:tc>
        <w:tc>
          <w:tcPr>
            <w:tcW w:w="3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180"/>
              <w:spacing w:after="0"/>
              <w:rPr>
                <w:sz w:val="20"/>
                <w:szCs w:val="20"/>
                <w:color w:val="auto"/>
              </w:rPr>
            </w:pPr>
            <w:r>
              <w:rPr>
                <w:rFonts w:ascii="Arial" w:cs="Arial" w:eastAsia="Arial" w:hAnsi="Arial"/>
                <w:sz w:val="16"/>
                <w:szCs w:val="16"/>
                <w:color w:val="auto"/>
              </w:rPr>
              <w:t>Amortization of leased assets</w:t>
            </w:r>
          </w:p>
        </w:tc>
        <w:tc>
          <w:tcPr>
            <w:tcW w:w="4060" w:type="dxa"/>
            <w:vAlign w:val="bottom"/>
            <w:gridSpan w:val="2"/>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on lease liabilities</w:t>
            </w:r>
          </w:p>
        </w:tc>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70"/>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Sublease revenue (2)</w:t>
            </w:r>
          </w:p>
        </w:tc>
        <w:tc>
          <w:tcPr>
            <w:tcW w:w="40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Franchise and other revenues</w:t>
            </w:r>
          </w:p>
        </w:tc>
        <w:tc>
          <w:tcPr>
            <w:tcW w:w="3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shd w:val="clear" w:color="auto" w:fill="CCEEFF"/>
          </w:tcPr>
          <w:p>
            <w:pPr>
              <w:jc w:val="right"/>
              <w:ind w:right="1660"/>
              <w:spacing w:after="0"/>
              <w:rPr>
                <w:sz w:val="20"/>
                <w:szCs w:val="20"/>
                <w:color w:val="auto"/>
              </w:rPr>
            </w:pPr>
            <w:r>
              <w:rPr>
                <w:rFonts w:ascii="Arial" w:cs="Arial" w:eastAsia="Arial" w:hAnsi="Arial"/>
                <w:sz w:val="16"/>
                <w:szCs w:val="16"/>
                <w:color w:val="auto"/>
              </w:rPr>
              <w:t>Lease costs, net</w:t>
            </w:r>
          </w:p>
        </w:tc>
        <w:tc>
          <w:tcPr>
            <w:tcW w:w="3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45,713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45,135</w:t>
            </w:r>
          </w:p>
        </w:tc>
        <w:tc>
          <w:tcPr>
            <w:tcW w:w="0" w:type="dxa"/>
            <w:vAlign w:val="bottom"/>
          </w:tcPr>
          <w:p>
            <w:pPr>
              <w:spacing w:after="0"/>
              <w:rPr>
                <w:sz w:val="1"/>
                <w:szCs w:val="1"/>
                <w:color w:val="auto"/>
              </w:rPr>
            </w:pPr>
          </w:p>
        </w:tc>
      </w:tr>
      <w:tr>
        <w:trPr>
          <w:trHeight w:val="20"/>
        </w:trPr>
        <w:tc>
          <w:tcPr>
            <w:tcW w:w="3040" w:type="dxa"/>
            <w:vAlign w:val="bottom"/>
            <w:vMerge w:val="restart"/>
          </w:tcPr>
          <w:p>
            <w:pPr>
              <w:jc w:val="right"/>
              <w:ind w:right="1660"/>
              <w:spacing w:after="0"/>
              <w:rPr>
                <w:sz w:val="20"/>
                <w:szCs w:val="20"/>
                <w:color w:val="auto"/>
              </w:rPr>
            </w:pPr>
            <w:r>
              <w:rPr>
                <w:rFonts w:ascii="Arial" w:cs="Arial" w:eastAsia="Arial" w:hAnsi="Arial"/>
                <w:sz w:val="16"/>
                <w:szCs w:val="16"/>
                <w:color w:val="auto"/>
                <w:w w:val="89"/>
              </w:rPr>
              <w:t>________________</w:t>
            </w:r>
          </w:p>
        </w:tc>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040" w:type="dxa"/>
            <w:vAlign w:val="bottom"/>
            <w:vMerge w:val="continue"/>
          </w:tcPr>
          <w:p>
            <w:pPr>
              <w:spacing w:after="0"/>
              <w:rPr>
                <w:sz w:val="15"/>
                <w:szCs w:val="15"/>
                <w:color w:val="auto"/>
              </w:rPr>
            </w:pPr>
          </w:p>
        </w:tc>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660" w:hanging="652"/>
        <w:spacing w:after="0" w:line="24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rent expense for office facilities and Company-owned closed or subleased properties for the thirteen weeks ended March 29, 2020 and March 31, 2019 of $3.6 million, which is included in General and administrative expense and certain supply chain related rent expense of $0.3 million, which is included in Cost of sales.</w:t>
      </w:r>
    </w:p>
    <w:p>
      <w:pPr>
        <w:spacing w:after="0" w:line="1" w:lineRule="exact"/>
        <w:rPr>
          <w:rFonts w:ascii="Arial" w:cs="Arial" w:eastAsia="Arial" w:hAnsi="Arial"/>
          <w:sz w:val="16"/>
          <w:szCs w:val="16"/>
          <w:color w:val="auto"/>
        </w:rPr>
      </w:pPr>
    </w:p>
    <w:p>
      <w:pPr>
        <w:ind w:left="660" w:right="20" w:hanging="652"/>
        <w:spacing w:after="0" w:line="257"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rental income from Company-owned properties for the thirteen weeks ended March 29, 2020 and March 31, 2019 of $0.2 million and $0.7 million, respectively.</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is a summary of other impacts to the Company’s Consolidated Financial Statements related to its leases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4"/>
          </w:tcPr>
          <w:p>
            <w:pPr>
              <w:jc w:val="right"/>
              <w:ind w:right="944"/>
              <w:spacing w:after="0"/>
              <w:rPr>
                <w:sz w:val="20"/>
                <w:szCs w:val="20"/>
                <w:color w:val="auto"/>
              </w:rPr>
            </w:pPr>
            <w:r>
              <w:rPr>
                <w:rFonts w:ascii="Arial" w:cs="Arial" w:eastAsia="Arial" w:hAnsi="Arial"/>
                <w:sz w:val="14"/>
                <w:szCs w:val="14"/>
                <w:b w:val="1"/>
                <w:bCs w:val="1"/>
                <w:color w:val="auto"/>
              </w:rPr>
              <w:t>THIRTEEN WEEKS ENDED</w:t>
            </w:r>
          </w:p>
        </w:tc>
      </w:tr>
      <w:tr>
        <w:trPr>
          <w:trHeight w:val="263"/>
        </w:trPr>
        <w:tc>
          <w:tcPr>
            <w:tcW w:w="73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22"/>
                <w:szCs w:val="22"/>
                <w:color w:val="auto"/>
              </w:rPr>
            </w:pP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29, 2020</w:t>
            </w:r>
          </w:p>
        </w:tc>
        <w:tc>
          <w:tcPr>
            <w:tcW w:w="260" w:type="dxa"/>
            <w:vAlign w:val="bottom"/>
          </w:tcPr>
          <w:p>
            <w:pPr>
              <w:spacing w:after="0"/>
              <w:rPr>
                <w:sz w:val="22"/>
                <w:szCs w:val="22"/>
                <w:color w:val="auto"/>
              </w:rPr>
            </w:pPr>
          </w:p>
        </w:tc>
        <w:tc>
          <w:tcPr>
            <w:tcW w:w="1640" w:type="dxa"/>
            <w:vAlign w:val="bottom"/>
          </w:tcPr>
          <w:p>
            <w:pPr>
              <w:jc w:val="right"/>
              <w:ind w:right="324"/>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6"/>
                <w:szCs w:val="16"/>
                <w:color w:val="auto"/>
              </w:rPr>
              <w:t>Cash paid for amounts included in the measurement of operating lease liabilities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45"/>
              <w:spacing w:after="0"/>
              <w:rPr>
                <w:sz w:val="20"/>
                <w:szCs w:val="20"/>
                <w:color w:val="auto"/>
              </w:rPr>
            </w:pPr>
            <w:r>
              <w:rPr>
                <w:rFonts w:ascii="Arial" w:cs="Arial" w:eastAsia="Arial" w:hAnsi="Arial"/>
                <w:sz w:val="16"/>
                <w:szCs w:val="16"/>
                <w:color w:val="auto"/>
              </w:rPr>
              <w:t>48,492</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4"/>
              <w:spacing w:after="0"/>
              <w:rPr>
                <w:sz w:val="20"/>
                <w:szCs w:val="20"/>
                <w:color w:val="auto"/>
              </w:rPr>
            </w:pPr>
            <w:r>
              <w:rPr>
                <w:rFonts w:ascii="Arial" w:cs="Arial" w:eastAsia="Arial" w:hAnsi="Arial"/>
                <w:sz w:val="16"/>
                <w:szCs w:val="16"/>
                <w:color w:val="auto"/>
              </w:rPr>
              <w:t>47,649</w:t>
            </w:r>
          </w:p>
        </w:tc>
      </w:tr>
    </w:tbl>
    <w:p>
      <w:pPr>
        <w:spacing w:after="0" w:line="200" w:lineRule="exact"/>
        <w:rPr>
          <w:sz w:val="20"/>
          <w:szCs w:val="20"/>
          <w:color w:val="auto"/>
        </w:rPr>
      </w:pP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color w:val="auto"/>
        </w:rPr>
        <w:t>Fair Value Measurements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Level 1</w:t>
            </w:r>
          </w:p>
        </w:tc>
        <w:tc>
          <w:tcPr>
            <w:tcW w:w="10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Unadjusted quoted market prices in active markets for identical assets or liabilities</w:t>
            </w:r>
          </w:p>
        </w:tc>
      </w:tr>
      <w:tr>
        <w:trPr>
          <w:trHeight w:val="223"/>
        </w:trPr>
        <w:tc>
          <w:tcPr>
            <w:tcW w:w="860" w:type="dxa"/>
            <w:vAlign w:val="bottom"/>
          </w:tcPr>
          <w:p>
            <w:pPr>
              <w:ind w:left="20"/>
              <w:spacing w:after="0"/>
              <w:rPr>
                <w:sz w:val="20"/>
                <w:szCs w:val="20"/>
                <w:color w:val="auto"/>
              </w:rPr>
            </w:pPr>
            <w:r>
              <w:rPr>
                <w:rFonts w:ascii="Arial" w:cs="Arial" w:eastAsia="Arial" w:hAnsi="Arial"/>
                <w:sz w:val="16"/>
                <w:szCs w:val="16"/>
                <w:color w:val="auto"/>
              </w:rPr>
              <w:t>Level 2</w:t>
            </w:r>
          </w:p>
        </w:tc>
        <w:tc>
          <w:tcPr>
            <w:tcW w:w="10340" w:type="dxa"/>
            <w:vAlign w:val="bottom"/>
          </w:tcPr>
          <w:p>
            <w:pPr>
              <w:ind w:left="360"/>
              <w:spacing w:after="0"/>
              <w:rPr>
                <w:sz w:val="20"/>
                <w:szCs w:val="20"/>
                <w:color w:val="auto"/>
              </w:rPr>
            </w:pPr>
            <w:r>
              <w:rPr>
                <w:rFonts w:ascii="Arial" w:cs="Arial" w:eastAsia="Arial" w:hAnsi="Arial"/>
                <w:sz w:val="16"/>
                <w:szCs w:val="16"/>
                <w:color w:val="auto"/>
              </w:rPr>
              <w:t>Observable inputs available at measurement date other than quoted prices included in Level 1</w:t>
            </w:r>
          </w:p>
        </w:tc>
      </w:tr>
      <w:tr>
        <w:trPr>
          <w:trHeight w:val="47"/>
        </w:trPr>
        <w:tc>
          <w:tcPr>
            <w:tcW w:w="860" w:type="dxa"/>
            <w:vAlign w:val="bottom"/>
          </w:tcPr>
          <w:p>
            <w:pPr>
              <w:spacing w:after="0"/>
              <w:rPr>
                <w:sz w:val="4"/>
                <w:szCs w:val="4"/>
                <w:color w:val="auto"/>
              </w:rPr>
            </w:pPr>
          </w:p>
        </w:tc>
        <w:tc>
          <w:tcPr>
            <w:tcW w:w="10340" w:type="dxa"/>
            <w:vAlign w:val="bottom"/>
          </w:tcPr>
          <w:p>
            <w:pPr>
              <w:spacing w:after="0"/>
              <w:rPr>
                <w:sz w:val="4"/>
                <w:szCs w:val="4"/>
                <w:color w:val="auto"/>
              </w:rPr>
            </w:pPr>
          </w:p>
        </w:tc>
      </w:tr>
      <w:tr>
        <w:trPr>
          <w:trHeight w:val="223"/>
        </w:trPr>
        <w:tc>
          <w:tcPr>
            <w:tcW w:w="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3</w:t>
            </w:r>
          </w:p>
        </w:tc>
        <w:tc>
          <w:tcPr>
            <w:tcW w:w="10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Unobservable inputs that cannot be corroborated by observable market data</w:t>
            </w:r>
          </w:p>
        </w:tc>
      </w:tr>
      <w:tr>
        <w:trPr>
          <w:trHeight w:val="47"/>
        </w:trPr>
        <w:tc>
          <w:tcPr>
            <w:tcW w:w="860" w:type="dxa"/>
            <w:vAlign w:val="bottom"/>
            <w:shd w:val="clear" w:color="auto" w:fill="CCEEFF"/>
          </w:tcPr>
          <w:p>
            <w:pPr>
              <w:spacing w:after="0"/>
              <w:rPr>
                <w:sz w:val="4"/>
                <w:szCs w:val="4"/>
                <w:color w:val="auto"/>
              </w:rPr>
            </w:pPr>
          </w:p>
        </w:tc>
        <w:tc>
          <w:tcPr>
            <w:tcW w:w="1034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00"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i w:val="1"/>
          <w:iCs w:val="1"/>
          <w:color w:val="auto"/>
        </w:rPr>
        <w:t xml:space="preserve">Fair Value Measurements on a Recurring Basis - </w:t>
      </w:r>
      <w:r>
        <w:rPr>
          <w:rFonts w:ascii="Arial" w:cs="Arial" w:eastAsia="Arial" w:hAnsi="Arial"/>
          <w:sz w:val="20"/>
          <w:szCs w:val="20"/>
          <w:color w:val="auto"/>
        </w:rPr>
        <w:t>The following table summarizes the Company’s financial assets and liabilities measured at</w:t>
      </w:r>
      <w:r>
        <w:rPr>
          <w:rFonts w:ascii="Arial" w:cs="Arial" w:eastAsia="Arial" w:hAnsi="Arial"/>
          <w:sz w:val="20"/>
          <w:szCs w:val="20"/>
          <w:i w:val="1"/>
          <w:iCs w:val="1"/>
          <w:color w:val="auto"/>
        </w:rPr>
        <w:t xml:space="preserve"> </w:t>
      </w:r>
      <w:r>
        <w:rPr>
          <w:rFonts w:ascii="Arial" w:cs="Arial" w:eastAsia="Arial" w:hAnsi="Arial"/>
          <w:sz w:val="20"/>
          <w:szCs w:val="20"/>
          <w:color w:val="auto"/>
        </w:rPr>
        <w:t>fair value by hierarchy level on a recurring basis as of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29, 2020</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b w:val="1"/>
                <w:bCs w:val="1"/>
                <w:color w:val="auto"/>
                <w:w w:val="99"/>
              </w:rPr>
              <w:t>DECEMBER 29, 2019</w:t>
            </w:r>
          </w:p>
        </w:tc>
        <w:tc>
          <w:tcPr>
            <w:tcW w:w="920" w:type="dxa"/>
            <w:vAlign w:val="bottom"/>
            <w:tcBorders>
              <w:bottom w:val="single" w:sz="8" w:color="auto"/>
            </w:tcBorders>
          </w:tcPr>
          <w:p>
            <w:pPr>
              <w:spacing w:after="0"/>
              <w:rPr>
                <w:sz w:val="17"/>
                <w:szCs w:val="17"/>
                <w:color w:val="auto"/>
              </w:rPr>
            </w:pPr>
          </w:p>
        </w:tc>
      </w:tr>
      <w:tr>
        <w:trPr>
          <w:trHeight w:val="263"/>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2"/>
                <w:szCs w:val="22"/>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2"/>
                <w:szCs w:val="22"/>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22"/>
                <w:szCs w:val="22"/>
                <w:color w:val="auto"/>
              </w:rPr>
            </w:pPr>
          </w:p>
        </w:tc>
        <w:tc>
          <w:tcPr>
            <w:tcW w:w="840" w:type="dxa"/>
            <w:vAlign w:val="bottom"/>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920" w:type="dxa"/>
            <w:vAlign w:val="bottom"/>
          </w:tcPr>
          <w:p>
            <w:pPr>
              <w:jc w:val="right"/>
              <w:ind w:right="180"/>
              <w:spacing w:after="0"/>
              <w:rPr>
                <w:sz w:val="20"/>
                <w:szCs w:val="20"/>
                <w:color w:val="auto"/>
              </w:rPr>
            </w:pPr>
            <w:r>
              <w:rPr>
                <w:rFonts w:ascii="Arial" w:cs="Arial" w:eastAsia="Arial" w:hAnsi="Arial"/>
                <w:sz w:val="14"/>
                <w:szCs w:val="14"/>
                <w:b w:val="1"/>
                <w:bCs w:val="1"/>
                <w:color w:val="auto"/>
              </w:rPr>
              <w:t>LEVEL 2</w:t>
            </w:r>
          </w:p>
        </w:tc>
      </w:tr>
      <w:tr>
        <w:trPr>
          <w:trHeight w:val="250"/>
        </w:trPr>
        <w:tc>
          <w:tcPr>
            <w:tcW w:w="3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Fixed income funds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39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Money market funds</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7,046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7,046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12,752</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12,752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43"/>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 recurring fair value measurements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9,370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9,370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13,789</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13,789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ind w:left="180"/>
              <w:spacing w:after="0"/>
              <w:rPr>
                <w:sz w:val="20"/>
                <w:szCs w:val="20"/>
                <w:color w:val="auto"/>
              </w:rPr>
            </w:pPr>
            <w:r>
              <w:rPr>
                <w:rFonts w:ascii="Arial" w:cs="Arial" w:eastAsia="Arial" w:hAnsi="Arial"/>
                <w:sz w:val="16"/>
                <w:szCs w:val="16"/>
                <w:color w:val="auto"/>
              </w:rPr>
              <w:t>Accrued and other current liabilities: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7,174</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7,174</w:t>
            </w:r>
          </w:p>
        </w:tc>
      </w:tr>
      <w:tr>
        <w:trPr>
          <w:trHeight w:val="237"/>
        </w:trPr>
        <w:tc>
          <w:tcPr>
            <w:tcW w:w="39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3"/>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26,758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26,758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16,835</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16,835</w:t>
            </w:r>
          </w:p>
        </w:tc>
      </w:tr>
      <w:tr>
        <w:trPr>
          <w:trHeight w:val="250"/>
        </w:trPr>
        <w:tc>
          <w:tcPr>
            <w:tcW w:w="3940" w:type="dxa"/>
            <w:vAlign w:val="bottom"/>
          </w:tcPr>
          <w:p>
            <w:pPr>
              <w:ind w:left="40"/>
              <w:spacing w:after="0"/>
              <w:rPr>
                <w:sz w:val="20"/>
                <w:szCs w:val="20"/>
                <w:color w:val="auto"/>
              </w:rPr>
            </w:pPr>
            <w:r>
              <w:rPr>
                <w:rFonts w:ascii="Arial" w:cs="Arial" w:eastAsia="Arial" w:hAnsi="Arial"/>
                <w:sz w:val="16"/>
                <w:szCs w:val="16"/>
                <w:color w:val="auto"/>
              </w:rPr>
              <w:t>Total liability recurring fair value measurements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40,093</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40,093</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24,009</w:t>
            </w:r>
          </w:p>
        </w:tc>
        <w:tc>
          <w:tcPr>
            <w:tcW w:w="3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24,009</w:t>
            </w:r>
          </w:p>
        </w:tc>
      </w:tr>
      <w:tr>
        <w:trPr>
          <w:trHeight w:val="20"/>
        </w:trPr>
        <w:tc>
          <w:tcPr>
            <w:tcW w:w="3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Fair value of each class of financial instrument is determined based on the following:</w:t>
      </w:r>
    </w:p>
    <w:p>
      <w:pPr>
        <w:spacing w:after="0" w:line="156" w:lineRule="exact"/>
        <w:rPr>
          <w:sz w:val="20"/>
          <w:szCs w:val="20"/>
          <w:color w:val="auto"/>
        </w:rPr>
      </w:pPr>
    </w:p>
    <w:p>
      <w:pPr>
        <w:ind w:left="40"/>
        <w:spacing w:after="0"/>
        <w:tabs>
          <w:tab w:leader="none" w:pos="2500" w:val="left"/>
        </w:tabs>
        <w:rPr>
          <w:sz w:val="20"/>
          <w:szCs w:val="20"/>
          <w:color w:val="auto"/>
        </w:rPr>
      </w:pPr>
      <w:r>
        <w:rPr>
          <w:rFonts w:ascii="Arial" w:cs="Arial" w:eastAsia="Arial" w:hAnsi="Arial"/>
          <w:sz w:val="14"/>
          <w:szCs w:val="14"/>
          <w:b w:val="1"/>
          <w:bCs w:val="1"/>
          <w:color w:val="auto"/>
        </w:rPr>
        <w:t>FINANCIAL INSTRUMENT</w:t>
      </w:r>
      <w:r>
        <w:rPr>
          <w:sz w:val="20"/>
          <w:szCs w:val="20"/>
          <w:color w:val="auto"/>
        </w:rPr>
        <w:tab/>
      </w:r>
      <w:r>
        <w:rPr>
          <w:rFonts w:ascii="Arial" w:cs="Arial" w:eastAsia="Arial" w:hAnsi="Arial"/>
          <w:sz w:val="14"/>
          <w:szCs w:val="14"/>
          <w:b w:val="1"/>
          <w:bCs w:val="1"/>
          <w:color w:val="auto"/>
        </w:rPr>
        <w:t>METHODS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35"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Fixed income funds and Money market funds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Carrying value approximates fair value because maturities are less than three months.</w:t>
      </w:r>
    </w:p>
    <w:p>
      <w:pPr>
        <w:spacing w:after="0" w:line="298" w:lineRule="exact"/>
        <w:rPr>
          <w:sz w:val="20"/>
          <w:szCs w:val="20"/>
          <w:color w:val="auto"/>
        </w:rPr>
      </w:pPr>
    </w:p>
    <w:p>
      <w:pPr>
        <w:sectPr>
          <w:pgSz w:w="11900" w:h="16838" w:orient="portrait"/>
          <w:cols w:equalWidth="0" w:num="2">
            <w:col w:w="2100" w:space="420"/>
            <w:col w:w="8720"/>
          </w:cols>
          <w:pgMar w:left="320" w:top="121" w:right="339" w:bottom="1440" w:gutter="0" w:footer="0" w:header="0"/>
          <w:type w:val="continuous"/>
        </w:sectPr>
      </w:pPr>
    </w:p>
    <w:p>
      <w:pPr>
        <w:ind w:left="40"/>
        <w:spacing w:after="0"/>
        <w:tabs>
          <w:tab w:leader="none" w:pos="2500" w:val="left"/>
        </w:tabs>
        <w:rPr>
          <w:sz w:val="20"/>
          <w:szCs w:val="20"/>
          <w:color w:val="auto"/>
        </w:rPr>
      </w:pPr>
      <w:r>
        <w:rPr>
          <w:rFonts w:ascii="Arial" w:cs="Arial" w:eastAsia="Arial" w:hAnsi="Arial"/>
          <w:sz w:val="16"/>
          <w:szCs w:val="16"/>
          <w:color w:val="auto"/>
        </w:rPr>
        <w:t>Derivative instruments</w:t>
      </w:r>
      <w:r>
        <w:rPr>
          <w:sz w:val="20"/>
          <w:szCs w:val="20"/>
          <w:color w:val="auto"/>
        </w:rPr>
        <w:tab/>
      </w:r>
      <w:r>
        <w:rPr>
          <w:rFonts w:ascii="Arial" w:cs="Arial" w:eastAsia="Arial" w:hAnsi="Arial"/>
          <w:sz w:val="14"/>
          <w:szCs w:val="14"/>
          <w:color w:val="auto"/>
        </w:rPr>
        <w:t>The Company’s derivative instruments include interest rate swaps. Fair value measurements are based on the contractual terms of the</w:t>
      </w:r>
    </w:p>
    <w:p>
      <w:pPr>
        <w:spacing w:after="0" w:line="22" w:lineRule="exact"/>
        <w:rPr>
          <w:sz w:val="20"/>
          <w:szCs w:val="20"/>
          <w:color w:val="auto"/>
        </w:rPr>
      </w:pPr>
    </w:p>
    <w:p>
      <w:pPr>
        <w:ind w:left="2520"/>
        <w:spacing w:after="0"/>
        <w:rPr>
          <w:sz w:val="20"/>
          <w:szCs w:val="20"/>
          <w:color w:val="auto"/>
        </w:rPr>
      </w:pPr>
      <w:r>
        <w:rPr>
          <w:rFonts w:ascii="Arial" w:cs="Arial" w:eastAsia="Arial" w:hAnsi="Arial"/>
          <w:sz w:val="14"/>
          <w:szCs w:val="14"/>
          <w:color w:val="auto"/>
        </w:rPr>
        <w:t>derivatives and use observable market-based inputs. The interest rate swaps are valued using a discounted cash flow analysis on the</w:t>
      </w:r>
    </w:p>
    <w:p>
      <w:pPr>
        <w:spacing w:after="0" w:line="42" w:lineRule="exact"/>
        <w:rPr>
          <w:sz w:val="20"/>
          <w:szCs w:val="20"/>
          <w:color w:val="auto"/>
        </w:rPr>
      </w:pPr>
    </w:p>
    <w:p>
      <w:pPr>
        <w:ind w:left="2520"/>
        <w:spacing w:after="0"/>
        <w:rPr>
          <w:sz w:val="20"/>
          <w:szCs w:val="20"/>
          <w:color w:val="auto"/>
        </w:rPr>
      </w:pPr>
      <w:r>
        <w:rPr>
          <w:rFonts w:ascii="Arial" w:cs="Arial" w:eastAsia="Arial" w:hAnsi="Arial"/>
          <w:sz w:val="14"/>
          <w:szCs w:val="14"/>
          <w:color w:val="auto"/>
        </w:rPr>
        <w:t>expected cash flows of each derivative using observable inputs including interest rate curves and credit spreads. The Company also</w:t>
      </w:r>
    </w:p>
    <w:p>
      <w:pPr>
        <w:spacing w:after="0" w:line="42" w:lineRule="exact"/>
        <w:rPr>
          <w:sz w:val="20"/>
          <w:szCs w:val="20"/>
          <w:color w:val="auto"/>
        </w:rPr>
      </w:pPr>
    </w:p>
    <w:p>
      <w:pPr>
        <w:ind w:left="2520"/>
        <w:spacing w:after="0"/>
        <w:rPr>
          <w:sz w:val="20"/>
          <w:szCs w:val="20"/>
          <w:color w:val="auto"/>
        </w:rPr>
      </w:pPr>
      <w:r>
        <w:rPr>
          <w:rFonts w:ascii="Arial" w:cs="Arial" w:eastAsia="Arial" w:hAnsi="Arial"/>
          <w:sz w:val="14"/>
          <w:szCs w:val="14"/>
          <w:color w:val="auto"/>
        </w:rPr>
        <w:t>considers its own nonperformance risk and the respective counterparty’s nonperformance risk in the fair value measurements. As of</w:t>
      </w:r>
    </w:p>
    <w:p>
      <w:pPr>
        <w:spacing w:after="0" w:line="4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March 29, 2020 and December 29, 2019, the Company has determined that the credit valuation adjustments are not significant to the</w:t>
      </w:r>
    </w:p>
    <w:p>
      <w:pPr>
        <w:spacing w:after="0" w:line="1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overall valuation of its derivatives.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Fair Value Measurements on a Nonrecurring Basis - </w:t>
      </w:r>
      <w:r>
        <w:rPr>
          <w:rFonts w:ascii="Arial" w:cs="Arial" w:eastAsia="Arial" w:hAnsi="Arial"/>
          <w:sz w:val="19"/>
          <w:szCs w:val="19"/>
          <w:color w:val="auto"/>
        </w:rPr>
        <w:t>Assets and liabilities that are measured at fair value on a nonrecurring basis relate</w:t>
      </w:r>
      <w:r>
        <w:rPr>
          <w:rFonts w:ascii="Arial" w:cs="Arial" w:eastAsia="Arial" w:hAnsi="Arial"/>
          <w:sz w:val="19"/>
          <w:szCs w:val="19"/>
          <w:i w:val="1"/>
          <w:iCs w:val="1"/>
          <w:color w:val="auto"/>
        </w:rPr>
        <w:t xml:space="preserve"> </w:t>
      </w:r>
      <w:r>
        <w:rPr>
          <w:rFonts w:ascii="Arial" w:cs="Arial" w:eastAsia="Arial" w:hAnsi="Arial"/>
          <w:sz w:val="19"/>
          <w:szCs w:val="19"/>
          <w:color w:val="auto"/>
        </w:rPr>
        <w:t>primarily to property, fixtures and equipment, operating lease right-of-use assets, goodwill and other intangible assets, which are remeasured when carrying value exceeds fair value. Carrying value after impairment approximates fair value. The following table summarizes the Company’s assets measured at fair value by hierarchy level on a nonrecurring basis, for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63"/>
        </w:trPr>
        <w:tc>
          <w:tcPr>
            <w:tcW w:w="55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MARCH 29, 2020</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4"/>
                <w:szCs w:val="14"/>
                <w:b w:val="1"/>
                <w:bCs w:val="1"/>
                <w:color w:val="auto"/>
              </w:rPr>
              <w:t>MARCH 31, 2019</w:t>
            </w:r>
          </w:p>
        </w:tc>
      </w:tr>
      <w:tr>
        <w:trPr>
          <w:trHeight w:val="153"/>
        </w:trPr>
        <w:tc>
          <w:tcPr>
            <w:tcW w:w="5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1180" w:type="dxa"/>
            <w:vAlign w:val="bottom"/>
          </w:tcPr>
          <w:p>
            <w:pPr>
              <w:jc w:val="right"/>
              <w:ind w:right="342"/>
              <w:spacing w:after="0" w:line="153" w:lineRule="exact"/>
              <w:rPr>
                <w:sz w:val="20"/>
                <w:szCs w:val="20"/>
                <w:color w:val="auto"/>
              </w:rPr>
            </w:pPr>
            <w:r>
              <w:rPr>
                <w:rFonts w:ascii="Arial" w:cs="Arial" w:eastAsia="Arial" w:hAnsi="Arial"/>
                <w:sz w:val="14"/>
                <w:szCs w:val="14"/>
                <w:b w:val="1"/>
                <w:bCs w:val="1"/>
                <w:color w:val="auto"/>
              </w:rPr>
              <w:t>TOTAL</w:t>
            </w:r>
          </w:p>
        </w:tc>
      </w:tr>
      <w:tr>
        <w:trPr>
          <w:trHeight w:val="205"/>
        </w:trPr>
        <w:tc>
          <w:tcPr>
            <w:tcW w:w="55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IMPAIRMENT</w:t>
            </w:r>
          </w:p>
        </w:tc>
        <w:tc>
          <w:tcPr>
            <w:tcW w:w="20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7"/>
                <w:szCs w:val="17"/>
                <w:color w:val="auto"/>
              </w:rPr>
            </w:pPr>
          </w:p>
        </w:tc>
        <w:tc>
          <w:tcPr>
            <w:tcW w:w="1180" w:type="dxa"/>
            <w:vAlign w:val="bottom"/>
          </w:tcPr>
          <w:p>
            <w:pPr>
              <w:jc w:val="right"/>
              <w:ind w:right="102"/>
              <w:spacing w:after="0"/>
              <w:rPr>
                <w:sz w:val="20"/>
                <w:szCs w:val="20"/>
                <w:color w:val="auto"/>
              </w:rPr>
            </w:pPr>
            <w:r>
              <w:rPr>
                <w:rFonts w:ascii="Arial" w:cs="Arial" w:eastAsia="Arial" w:hAnsi="Arial"/>
                <w:sz w:val="14"/>
                <w:szCs w:val="14"/>
                <w:b w:val="1"/>
                <w:bCs w:val="1"/>
                <w:color w:val="auto"/>
              </w:rPr>
              <w:t>IMPAIRMENT</w:t>
            </w:r>
          </w:p>
        </w:tc>
      </w:tr>
      <w:tr>
        <w:trPr>
          <w:trHeight w:val="237"/>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Assets held for sale </w:t>
            </w:r>
            <w:r>
              <w:rPr>
                <w:rFonts w:ascii="Arial" w:cs="Arial" w:eastAsia="Arial" w:hAnsi="Arial"/>
                <w:sz w:val="14"/>
                <w:szCs w:val="14"/>
                <w:color w:val="auto"/>
              </w:rPr>
              <w:t>(1)</w:t>
            </w: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215</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 xml:space="preserve">Operating lease right-of-use assets </w:t>
            </w:r>
            <w:r>
              <w:rPr>
                <w:rFonts w:ascii="Arial" w:cs="Arial" w:eastAsia="Arial" w:hAnsi="Arial"/>
                <w:sz w:val="14"/>
                <w:szCs w:val="14"/>
                <w:color w:val="auto"/>
              </w:rPr>
              <w:t>(2)</w:t>
            </w:r>
          </w:p>
        </w:tc>
        <w:tc>
          <w:tcPr>
            <w:tcW w:w="46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55,644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19,563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2,242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596</w:t>
            </w:r>
          </w:p>
        </w:tc>
      </w:tr>
      <w:tr>
        <w:trPr>
          <w:trHeight w:val="33"/>
        </w:trPr>
        <w:tc>
          <w:tcPr>
            <w:tcW w:w="5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Property, fixtures and equipment </w:t>
            </w:r>
            <w:r>
              <w:rPr>
                <w:rFonts w:ascii="Arial" w:cs="Arial" w:eastAsia="Arial" w:hAnsi="Arial"/>
                <w:sz w:val="14"/>
                <w:szCs w:val="14"/>
                <w:color w:val="auto"/>
              </w:rPr>
              <w:t>(3)</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21,693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18,398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2,671</w:t>
            </w:r>
          </w:p>
        </w:tc>
      </w:tr>
      <w:tr>
        <w:trPr>
          <w:trHeight w:val="270"/>
        </w:trPr>
        <w:tc>
          <w:tcPr>
            <w:tcW w:w="5520" w:type="dxa"/>
            <w:vAlign w:val="bottom"/>
          </w:tcPr>
          <w:p>
            <w:pPr>
              <w:ind w:left="40"/>
              <w:spacing w:after="0"/>
              <w:rPr>
                <w:sz w:val="20"/>
                <w:szCs w:val="20"/>
                <w:color w:val="auto"/>
              </w:rPr>
            </w:pPr>
            <w:r>
              <w:rPr>
                <w:rFonts w:ascii="Arial" w:cs="Arial" w:eastAsia="Arial" w:hAnsi="Arial"/>
                <w:sz w:val="16"/>
                <w:szCs w:val="16"/>
                <w:color w:val="auto"/>
              </w:rPr>
              <w:t>Goodwill and other assets (4)</w:t>
            </w:r>
          </w:p>
        </w:tc>
        <w:tc>
          <w:tcPr>
            <w:tcW w:w="46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1,044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2,388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55"/>
        </w:trPr>
        <w:tc>
          <w:tcPr>
            <w:tcW w:w="55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79,563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4,881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3,482</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Assets generally measured using third-party market appraisals or executed sales contracts (Level 2).</w:t>
      </w:r>
    </w:p>
    <w:p>
      <w:pPr>
        <w:spacing w:after="0" w:line="5" w:lineRule="exact"/>
        <w:rPr>
          <w:rFonts w:ascii="Arial" w:cs="Arial" w:eastAsia="Arial" w:hAnsi="Arial"/>
          <w:sz w:val="16"/>
          <w:szCs w:val="16"/>
          <w:color w:val="auto"/>
        </w:rPr>
      </w:pPr>
    </w:p>
    <w:p>
      <w:pPr>
        <w:jc w:val="both"/>
        <w:ind w:left="660" w:hanging="652"/>
        <w:spacing w:after="0" w:line="28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Carrying values measured using Level 3 inputs to estimate fair value totaled $55.6 million and $2.0 million during the thirteen weeks ended March 29, 2020 and March 31, 2019, respectively. All other assets were valued using Level 2 inputs. Third-party market appraisals (Level 2) and discounted cash flow models (Level</w:t>
      </w:r>
    </w:p>
    <w:p>
      <w:pPr>
        <w:spacing w:after="0" w:line="1" w:lineRule="exact"/>
        <w:rPr>
          <w:rFonts w:ascii="Arial" w:cs="Arial" w:eastAsia="Arial" w:hAnsi="Arial"/>
          <w:sz w:val="14"/>
          <w:szCs w:val="14"/>
          <w:color w:val="auto"/>
        </w:rPr>
      </w:pPr>
    </w:p>
    <w:p>
      <w:pPr>
        <w:ind w:left="840" w:hanging="184"/>
        <w:spacing w:after="0"/>
        <w:tabs>
          <w:tab w:leader="none" w:pos="8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were used to estimate fair value.</w:t>
      </w:r>
    </w:p>
    <w:p>
      <w:pPr>
        <w:spacing w:after="0" w:line="5" w:lineRule="exact"/>
        <w:rPr>
          <w:rFonts w:ascii="Arial" w:cs="Arial" w:eastAsia="Arial" w:hAnsi="Arial"/>
          <w:sz w:val="16"/>
          <w:szCs w:val="16"/>
          <w:color w:val="auto"/>
        </w:rPr>
      </w:pPr>
    </w:p>
    <w:p>
      <w:pPr>
        <w:jc w:val="both"/>
        <w:ind w:left="660" w:hanging="652"/>
        <w:spacing w:after="0" w:line="28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Carrying values measured using Level 3 inputs to estimate fair value totaled $19.2 million and $0.5 million during the thirteen weeks ended March 29, 2020 and March 31, 2019, respectively. All other assets were valued using Level 2 inputs. Third-party market appraisals (Level 2) and discounted cash flow models (Level</w:t>
      </w:r>
    </w:p>
    <w:p>
      <w:pPr>
        <w:spacing w:after="0" w:line="1" w:lineRule="exact"/>
        <w:rPr>
          <w:rFonts w:ascii="Arial" w:cs="Arial" w:eastAsia="Arial" w:hAnsi="Arial"/>
          <w:sz w:val="14"/>
          <w:szCs w:val="14"/>
          <w:color w:val="auto"/>
        </w:rPr>
      </w:pPr>
    </w:p>
    <w:p>
      <w:pPr>
        <w:ind w:left="840" w:hanging="184"/>
        <w:spacing w:after="0"/>
        <w:tabs>
          <w:tab w:leader="none" w:pos="8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were used to estimate fair value.</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 assets measured using the quoted market value of comparable assets (Level 2).</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See Note 4 - </w:t>
      </w:r>
      <w:r>
        <w:rPr>
          <w:rFonts w:ascii="Arial" w:cs="Arial" w:eastAsia="Arial" w:hAnsi="Arial"/>
          <w:sz w:val="19"/>
          <w:szCs w:val="19"/>
          <w:i w:val="1"/>
          <w:iCs w:val="1"/>
          <w:color w:val="auto"/>
        </w:rPr>
        <w:t>Impairments, Exit Costs and Disposals</w:t>
      </w:r>
      <w:r>
        <w:rPr>
          <w:rFonts w:ascii="Arial" w:cs="Arial" w:eastAsia="Arial" w:hAnsi="Arial"/>
          <w:sz w:val="19"/>
          <w:szCs w:val="19"/>
          <w:color w:val="auto"/>
        </w:rPr>
        <w:t xml:space="preserve"> for information regarding impairment charges resulting from the fair value measurement performed on a nonrecurring basis during the thirteen weeks ended March 29, 2020. Projected future cash flows, including discount rate and growth rate assumptions, are derived from current economic conditions, expectations of management and projected trends of current operating results. As a result, the Company has determined that the majority of the inputs used to value its long-lived assets held and used are unobservable inputs that fall within Level 3 of the fair value hierarchy.</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assessment of impairment for operating locations, the Company determined the fair values of individual operating locations using an income approach, which required discounting projected future cash flows. When determining the stream of projected future cash flows associated with an individual operating location, management made assumptions, including highest and best use and inputs from restaurant operations, where necessary, and about key variables including the following unobservable inputs: revenue growth rates, controllable and uncontrollable expenses, and asset residual values. In order to calculate the present value of those future cash flows, the Company discounted cash flow estimates at its weighted-average cost of capital applicable to the country in which the measured assets reside.</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presents quantitative information related to certain unobservable inputs used in the Company’s Level 3 fair value measurements of Operating lease right-of-use assets and Property, fixtures and equipment for the impairment losses incurred during the period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THIRTEEN WEEKS</w:t>
            </w:r>
          </w:p>
        </w:tc>
      </w:tr>
      <w:tr>
        <w:trPr>
          <w:trHeight w:val="186"/>
        </w:trPr>
        <w:tc>
          <w:tcPr>
            <w:tcW w:w="9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r>
      <w:tr>
        <w:trPr>
          <w:trHeight w:val="275"/>
        </w:trPr>
        <w:tc>
          <w:tcPr>
            <w:tcW w:w="9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UNOBSERVABLE INPUTS</w:t>
            </w:r>
          </w:p>
        </w:tc>
        <w:tc>
          <w:tcPr>
            <w:tcW w:w="12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MARCH 29, 2020</w:t>
            </w:r>
          </w:p>
        </w:tc>
      </w:tr>
      <w:tr>
        <w:trPr>
          <w:trHeight w:val="237"/>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cost of capital</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10.4%</w:t>
            </w:r>
          </w:p>
        </w:tc>
      </w:tr>
      <w:tr>
        <w:trPr>
          <w:trHeight w:val="237"/>
        </w:trPr>
        <w:tc>
          <w:tcPr>
            <w:tcW w:w="9560" w:type="dxa"/>
            <w:vAlign w:val="bottom"/>
            <w:gridSpan w:val="2"/>
          </w:tcPr>
          <w:p>
            <w:pPr>
              <w:ind w:left="40"/>
              <w:spacing w:after="0"/>
              <w:rPr>
                <w:sz w:val="20"/>
                <w:szCs w:val="20"/>
                <w:color w:val="auto"/>
              </w:rPr>
            </w:pPr>
            <w:r>
              <w:rPr>
                <w:rFonts w:ascii="Arial" w:cs="Arial" w:eastAsia="Arial" w:hAnsi="Arial"/>
                <w:sz w:val="16"/>
                <w:szCs w:val="16"/>
                <w:color w:val="auto"/>
              </w:rPr>
              <w:t>Long-term growth rate</w:t>
            </w:r>
          </w:p>
        </w:tc>
        <w:tc>
          <w:tcPr>
            <w:tcW w:w="1680" w:type="dxa"/>
            <w:vAlign w:val="bottom"/>
          </w:tcPr>
          <w:p>
            <w:pPr>
              <w:jc w:val="center"/>
              <w:spacing w:after="0"/>
              <w:rPr>
                <w:sz w:val="20"/>
                <w:szCs w:val="20"/>
                <w:color w:val="auto"/>
              </w:rPr>
            </w:pPr>
            <w:r>
              <w:rPr>
                <w:rFonts w:ascii="Arial" w:cs="Arial" w:eastAsia="Arial" w:hAnsi="Arial"/>
                <w:sz w:val="16"/>
                <w:szCs w:val="16"/>
                <w:color w:val="auto"/>
              </w:rPr>
              <w:t>1.5%    to    2.0%</w:t>
            </w:r>
          </w:p>
        </w:tc>
      </w:tr>
    </w:tbl>
    <w:p>
      <w:pPr>
        <w:spacing w:after="0" w:line="200" w:lineRule="exact"/>
        <w:rPr>
          <w:sz w:val="20"/>
          <w:szCs w:val="20"/>
          <w:color w:val="auto"/>
        </w:rPr>
      </w:pP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Interim Disclosures about Fair Value of Financial Instruments - </w:t>
      </w:r>
      <w:r>
        <w:rPr>
          <w:rFonts w:ascii="Arial" w:cs="Arial" w:eastAsia="Arial" w:hAnsi="Arial"/>
          <w:sz w:val="20"/>
          <w:szCs w:val="20"/>
          <w:color w:val="auto"/>
        </w:rPr>
        <w:t>The Company’s non-derivative financial instruments consist of cash</w:t>
      </w:r>
      <w:r>
        <w:rPr>
          <w:rFonts w:ascii="Arial" w:cs="Arial" w:eastAsia="Arial" w:hAnsi="Arial"/>
          <w:sz w:val="20"/>
          <w:szCs w:val="20"/>
          <w:i w:val="1"/>
          <w:iCs w:val="1"/>
          <w:color w:val="auto"/>
        </w:rPr>
        <w:t xml:space="preserve"> </w:t>
      </w:r>
      <w:r>
        <w:rPr>
          <w:rFonts w:ascii="Arial" w:cs="Arial" w:eastAsia="Arial" w:hAnsi="Arial"/>
          <w:sz w:val="20"/>
          <w:szCs w:val="20"/>
          <w:color w:val="auto"/>
        </w:rPr>
        <w:t>equivalents, accounts receivable, accounts payable and current and long-term debt. The fair values 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cash equivalents, accounts receivable and accounts payable approximate their carrying amounts reported on its Consolidated Balance Sheets due to their short duration.</w:t>
      </w:r>
    </w:p>
    <w:p>
      <w:pPr>
        <w:spacing w:after="0" w:line="19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Debt is carried at amortized cost; however, the Company estimates the fair value of debt for disclosure purposes. The following table includes the carrying value and fair value of the Company’s debt by hierarchy level as of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684"/>
              <w:spacing w:after="0"/>
              <w:rPr>
                <w:sz w:val="20"/>
                <w:szCs w:val="20"/>
                <w:color w:val="auto"/>
              </w:rPr>
            </w:pPr>
            <w:r>
              <w:rPr>
                <w:rFonts w:ascii="Arial" w:cs="Arial" w:eastAsia="Arial" w:hAnsi="Arial"/>
                <w:sz w:val="14"/>
                <w:szCs w:val="14"/>
                <w:b w:val="1"/>
                <w:bCs w:val="1"/>
                <w:color w:val="auto"/>
              </w:rPr>
              <w:t>MARCH 29, 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DECEMBER 29, 2019</w:t>
            </w:r>
          </w:p>
        </w:tc>
      </w:tr>
      <w:tr>
        <w:trPr>
          <w:trHeight w:val="328"/>
        </w:trPr>
        <w:tc>
          <w:tcPr>
            <w:tcW w:w="5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24"/>
                <w:szCs w:val="24"/>
                <w:color w:val="auto"/>
              </w:rPr>
            </w:pPr>
          </w:p>
        </w:tc>
        <w:tc>
          <w:tcPr>
            <w:tcW w:w="1080" w:type="dxa"/>
            <w:vAlign w:val="bottom"/>
          </w:tcPr>
          <w:p>
            <w:pPr>
              <w:jc w:val="right"/>
              <w:ind w:right="104"/>
              <w:spacing w:after="0"/>
              <w:rPr>
                <w:sz w:val="20"/>
                <w:szCs w:val="20"/>
                <w:color w:val="auto"/>
              </w:rPr>
            </w:pPr>
            <w:r>
              <w:rPr>
                <w:rFonts w:ascii="Arial" w:cs="Arial" w:eastAsia="Arial" w:hAnsi="Arial"/>
                <w:sz w:val="14"/>
                <w:szCs w:val="14"/>
                <w:b w:val="1"/>
                <w:bCs w:val="1"/>
                <w:color w:val="auto"/>
              </w:rPr>
              <w:t>FAIR VALUE</w:t>
            </w:r>
          </w:p>
        </w:tc>
      </w:tr>
      <w:tr>
        <w:trPr>
          <w:trHeight w:val="205"/>
        </w:trPr>
        <w:tc>
          <w:tcPr>
            <w:tcW w:w="59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7"/>
                <w:szCs w:val="17"/>
                <w:color w:val="auto"/>
              </w:rPr>
            </w:pPr>
          </w:p>
        </w:tc>
        <w:tc>
          <w:tcPr>
            <w:tcW w:w="1080" w:type="dxa"/>
            <w:vAlign w:val="bottom"/>
          </w:tcPr>
          <w:p>
            <w:pPr>
              <w:jc w:val="right"/>
              <w:ind w:right="224"/>
              <w:spacing w:after="0"/>
              <w:rPr>
                <w:sz w:val="20"/>
                <w:szCs w:val="20"/>
                <w:color w:val="auto"/>
              </w:rPr>
            </w:pPr>
            <w:r>
              <w:rPr>
                <w:rFonts w:ascii="Arial" w:cs="Arial" w:eastAsia="Arial" w:hAnsi="Arial"/>
                <w:sz w:val="14"/>
                <w:szCs w:val="14"/>
                <w:b w:val="1"/>
                <w:bCs w:val="1"/>
                <w:color w:val="auto"/>
              </w:rPr>
              <w:t>LEVEL 2</w:t>
            </w: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Term loan 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4"/>
              <w:spacing w:after="0"/>
              <w:rPr>
                <w:sz w:val="20"/>
                <w:szCs w:val="20"/>
                <w:color w:val="auto"/>
              </w:rPr>
            </w:pPr>
            <w:r>
              <w:rPr>
                <w:rFonts w:ascii="Arial" w:cs="Arial" w:eastAsia="Arial" w:hAnsi="Arial"/>
                <w:sz w:val="16"/>
                <w:szCs w:val="16"/>
                <w:color w:val="auto"/>
              </w:rPr>
              <w:t>443,750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397,156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ind w:left="420"/>
              <w:spacing w:after="0"/>
              <w:rPr>
                <w:sz w:val="20"/>
                <w:szCs w:val="20"/>
                <w:color w:val="auto"/>
              </w:rPr>
            </w:pPr>
            <w:r>
              <w:rPr>
                <w:rFonts w:ascii="Arial" w:cs="Arial" w:eastAsia="Arial" w:hAnsi="Arial"/>
                <w:sz w:val="16"/>
                <w:szCs w:val="16"/>
                <w:color w:val="auto"/>
              </w:rPr>
              <w:t>450,000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450,563</w:t>
            </w:r>
          </w:p>
        </w:tc>
      </w:tr>
      <w:tr>
        <w:trPr>
          <w:trHeight w:val="33"/>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5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Revolving credit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975,000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832,777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599,000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599,000</w:t>
            </w:r>
          </w:p>
        </w:tc>
      </w:tr>
      <w:tr>
        <w:trPr>
          <w:trHeight w:val="33"/>
        </w:trPr>
        <w:tc>
          <w:tcPr>
            <w:tcW w:w="59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color w:val="auto"/>
        </w:rPr>
        <w:t>Allowance for Expected Credit Losses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rollforward of the allowance for trade receivable expected credit losses for the period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jc w:val="right"/>
              <w:ind w:right="62"/>
              <w:spacing w:after="0"/>
              <w:rPr>
                <w:sz w:val="20"/>
                <w:szCs w:val="20"/>
                <w:color w:val="auto"/>
              </w:rPr>
            </w:pPr>
            <w:r>
              <w:rPr>
                <w:rFonts w:ascii="Arial" w:cs="Arial" w:eastAsia="Arial" w:hAnsi="Arial"/>
                <w:sz w:val="14"/>
                <w:szCs w:val="14"/>
                <w:b w:val="1"/>
                <w:bCs w:val="1"/>
                <w:color w:val="auto"/>
              </w:rPr>
              <w:t>THIRTEEN WEEKS ENDED</w:t>
            </w:r>
          </w:p>
        </w:tc>
      </w:tr>
      <w:tr>
        <w:trPr>
          <w:trHeight w:val="222"/>
        </w:trPr>
        <w:tc>
          <w:tcPr>
            <w:tcW w:w="9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MARCH 29, 2020</w:t>
            </w:r>
          </w:p>
        </w:tc>
      </w:tr>
      <w:tr>
        <w:trPr>
          <w:trHeight w:val="237"/>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credit losses, beginning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199</w:t>
            </w:r>
          </w:p>
        </w:tc>
      </w:tr>
      <w:tr>
        <w:trPr>
          <w:trHeight w:val="223"/>
        </w:trPr>
        <w:tc>
          <w:tcPr>
            <w:tcW w:w="9100" w:type="dxa"/>
            <w:vAlign w:val="bottom"/>
          </w:tcPr>
          <w:p>
            <w:pPr>
              <w:ind w:left="280"/>
              <w:spacing w:after="0"/>
              <w:rPr>
                <w:sz w:val="20"/>
                <w:szCs w:val="20"/>
                <w:color w:val="auto"/>
              </w:rPr>
            </w:pPr>
            <w:r>
              <w:rPr>
                <w:rFonts w:ascii="Arial" w:cs="Arial" w:eastAsia="Arial" w:hAnsi="Arial"/>
                <w:sz w:val="16"/>
                <w:szCs w:val="16"/>
                <w:color w:val="auto"/>
              </w:rPr>
              <w:t>Adjustment for adoption of ASU No. 2016-13</w:t>
            </w:r>
          </w:p>
        </w:tc>
        <w:tc>
          <w:tcPr>
            <w:tcW w:w="120" w:type="dxa"/>
            <w:vAlign w:val="bottom"/>
          </w:tcPr>
          <w:p>
            <w:pPr>
              <w:spacing w:after="0"/>
              <w:rPr>
                <w:sz w:val="19"/>
                <w:szCs w:val="19"/>
                <w:color w:val="auto"/>
              </w:rPr>
            </w:pPr>
          </w:p>
        </w:tc>
        <w:tc>
          <w:tcPr>
            <w:tcW w:w="2020" w:type="dxa"/>
            <w:vAlign w:val="bottom"/>
          </w:tcPr>
          <w:p>
            <w:pPr>
              <w:jc w:val="right"/>
              <w:ind w:right="22"/>
              <w:spacing w:after="0"/>
              <w:rPr>
                <w:sz w:val="20"/>
                <w:szCs w:val="20"/>
                <w:color w:val="auto"/>
              </w:rPr>
            </w:pPr>
            <w:r>
              <w:rPr>
                <w:rFonts w:ascii="Arial" w:cs="Arial" w:eastAsia="Arial" w:hAnsi="Arial"/>
                <w:sz w:val="16"/>
                <w:szCs w:val="16"/>
                <w:color w:val="auto"/>
              </w:rPr>
              <w:t>1,018</w:t>
            </w:r>
          </w:p>
        </w:tc>
      </w:tr>
      <w:tr>
        <w:trPr>
          <w:trHeight w:val="33"/>
        </w:trPr>
        <w:tc>
          <w:tcPr>
            <w:tcW w:w="9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63"/>
        </w:trPr>
        <w:tc>
          <w:tcPr>
            <w:tcW w:w="9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expected credit losses</w:t>
            </w:r>
          </w:p>
        </w:tc>
        <w:tc>
          <w:tcPr>
            <w:tcW w:w="120" w:type="dxa"/>
            <w:vAlign w:val="bottom"/>
            <w:tcBorders>
              <w:bottom w:val="single" w:sz="8" w:color="auto"/>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3,334</w:t>
            </w:r>
          </w:p>
        </w:tc>
      </w:tr>
      <w:tr>
        <w:trPr>
          <w:trHeight w:val="250"/>
        </w:trPr>
        <w:tc>
          <w:tcPr>
            <w:tcW w:w="9100" w:type="dxa"/>
            <w:vAlign w:val="bottom"/>
          </w:tcPr>
          <w:p>
            <w:pPr>
              <w:ind w:left="40"/>
              <w:spacing w:after="0"/>
              <w:rPr>
                <w:sz w:val="20"/>
                <w:szCs w:val="20"/>
                <w:color w:val="auto"/>
              </w:rPr>
            </w:pPr>
            <w:r>
              <w:rPr>
                <w:rFonts w:ascii="Arial" w:cs="Arial" w:eastAsia="Arial" w:hAnsi="Arial"/>
                <w:sz w:val="16"/>
                <w:szCs w:val="16"/>
                <w:color w:val="auto"/>
              </w:rPr>
              <w:t>Allowance for credit losses,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4,551</w:t>
            </w:r>
          </w:p>
        </w:tc>
      </w:tr>
      <w:tr>
        <w:trPr>
          <w:trHeight w:val="20"/>
        </w:trPr>
        <w:tc>
          <w:tcPr>
            <w:tcW w:w="9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The Company is exposed to credit losses through its trade accounts receivable consisting primarily of amounts due for gift card, credit card, vendor, franchise and other receivables. Gift card, vendor and other receivables consist primarily of amounts due from gift card resellers and vendor rebates. Amounts due from franchisees consist of initial franchise fees, royalty income, and advertising fees. See Note 7 -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Current Assets, Net </w:t>
      </w:r>
      <w:r>
        <w:rPr>
          <w:rFonts w:ascii="Arial" w:cs="Arial" w:eastAsia="Arial" w:hAnsi="Arial"/>
          <w:sz w:val="18"/>
          <w:szCs w:val="18"/>
          <w:color w:val="auto"/>
        </w:rPr>
        <w:t>for disclosure of trades receivables by category as of March 29, 2020 and December 29, 2019. Credit card receivables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U.S. are recorded within Cash and cash equivalents based on their short duration and reasonably assured settlement.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Company evaluates the collectability of trade receivables based on historical loss experience and risk pool and records periodic adjustments for factors such as deterioration of economic conditions, specific customer circumstances and changes in the aging of accounts receivable balances. For risk pools where there was no established loss history, S&amp;P speculative-grade default rates are utilized to calculate an estimated loss rate. Losses are charged off in the period in which they are determined to be uncollectable.</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The financial condition of the Company’s franchisees is largely dependent on the underlying business trends of its brands and market conditions within the casual dining restaurant industry. In March 2020, the Company fully reserved substantially all of its outstanding franchise receivables in response to the economic impact of the COVID-19 pandemic. See Note 2 - </w:t>
      </w:r>
      <w:r>
        <w:rPr>
          <w:rFonts w:ascii="Arial" w:cs="Arial" w:eastAsia="Arial" w:hAnsi="Arial"/>
          <w:sz w:val="20"/>
          <w:szCs w:val="20"/>
          <w:i w:val="1"/>
          <w:iCs w:val="1"/>
          <w:color w:val="auto"/>
        </w:rPr>
        <w:t>COVID-19 Impact</w:t>
      </w:r>
      <w:r>
        <w:rPr>
          <w:rFonts w:ascii="Arial" w:cs="Arial" w:eastAsia="Arial" w:hAnsi="Arial"/>
          <w:sz w:val="20"/>
          <w:szCs w:val="20"/>
          <w:color w:val="auto"/>
        </w:rPr>
        <w:t xml:space="preserve"> for details regarding the impact of the COVID-19 pandemic on the Company’s financial results.</w:t>
      </w:r>
    </w:p>
    <w:p>
      <w:pPr>
        <w:spacing w:after="0" w:line="205"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 xml:space="preserve">The Company is also exposed to credit losses from off-balance sheet lease guarantees primarily related to the divestiture of certain formerly Company-owned restaurant sites. See Note 18 -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details regarding these lease guarantees.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0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6"/>
          <w:szCs w:val="16"/>
          <w:color w:val="auto"/>
        </w:rPr>
        <w:t>Income Taxes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4"/>
          </w:tcPr>
          <w:p>
            <w:pPr>
              <w:jc w:val="right"/>
              <w:ind w:right="1101"/>
              <w:spacing w:after="0"/>
              <w:rPr>
                <w:sz w:val="20"/>
                <w:szCs w:val="20"/>
                <w:color w:val="auto"/>
              </w:rPr>
            </w:pPr>
            <w:r>
              <w:rPr>
                <w:rFonts w:ascii="Arial" w:cs="Arial" w:eastAsia="Arial" w:hAnsi="Arial"/>
                <w:sz w:val="14"/>
                <w:szCs w:val="14"/>
                <w:b w:val="1"/>
                <w:bCs w:val="1"/>
                <w:color w:val="auto"/>
              </w:rPr>
              <w:t>THIRTEEN WEEKS ENDED</w:t>
            </w:r>
          </w:p>
        </w:tc>
      </w:tr>
      <w:tr>
        <w:trPr>
          <w:trHeight w:val="263"/>
        </w:trPr>
        <w:tc>
          <w:tcPr>
            <w:tcW w:w="70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22"/>
                <w:szCs w:val="22"/>
                <w:color w:val="auto"/>
              </w:rPr>
            </w:pPr>
          </w:p>
        </w:tc>
        <w:tc>
          <w:tcPr>
            <w:tcW w:w="18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29, 2020</w:t>
            </w:r>
          </w:p>
        </w:tc>
        <w:tc>
          <w:tcPr>
            <w:tcW w:w="300" w:type="dxa"/>
            <w:vAlign w:val="bottom"/>
          </w:tcPr>
          <w:p>
            <w:pPr>
              <w:spacing w:after="0"/>
              <w:rPr>
                <w:sz w:val="22"/>
                <w:szCs w:val="22"/>
                <w:color w:val="auto"/>
              </w:rPr>
            </w:pPr>
          </w:p>
        </w:tc>
        <w:tc>
          <w:tcPr>
            <w:tcW w:w="1760" w:type="dxa"/>
            <w:vAlign w:val="bottom"/>
          </w:tcPr>
          <w:p>
            <w:pPr>
              <w:jc w:val="right"/>
              <w:ind w:right="401"/>
              <w:spacing w:after="0"/>
              <w:rPr>
                <w:sz w:val="20"/>
                <w:szCs w:val="20"/>
                <w:color w:val="auto"/>
              </w:rPr>
            </w:pPr>
            <w:r>
              <w:rPr>
                <w:rFonts w:ascii="Arial" w:cs="Arial" w:eastAsia="Arial" w:hAnsi="Arial"/>
                <w:sz w:val="14"/>
                <w:szCs w:val="14"/>
                <w:b w:val="1"/>
                <w:bCs w:val="1"/>
                <w:color w:val="auto"/>
              </w:rPr>
              <w:t>MARCH 31, 2019</w:t>
            </w:r>
          </w:p>
        </w:tc>
      </w:tr>
      <w:tr>
        <w:trPr>
          <w:trHeight w:val="237"/>
        </w:trPr>
        <w:tc>
          <w:tcPr>
            <w:tcW w:w="7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before (benefit) provision for income taxes</w:t>
            </w: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(54,069)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71,145</w:t>
            </w:r>
          </w:p>
        </w:tc>
      </w:tr>
      <w:tr>
        <w:trPr>
          <w:trHeight w:val="237"/>
        </w:trPr>
        <w:tc>
          <w:tcPr>
            <w:tcW w:w="7000" w:type="dxa"/>
            <w:vAlign w:val="bottom"/>
          </w:tcPr>
          <w:p>
            <w:pPr>
              <w:ind w:left="40"/>
              <w:spacing w:after="0"/>
              <w:rPr>
                <w:sz w:val="20"/>
                <w:szCs w:val="20"/>
                <w:color w:val="auto"/>
              </w:rPr>
            </w:pPr>
            <w:r>
              <w:rPr>
                <w:rFonts w:ascii="Arial" w:cs="Arial" w:eastAsia="Arial" w:hAnsi="Arial"/>
                <w:sz w:val="16"/>
                <w:szCs w:val="16"/>
                <w:color w:val="auto"/>
              </w:rPr>
              <w:t>(Benefit) provision for income taxes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23"/>
              <w:spacing w:after="0"/>
              <w:rPr>
                <w:sz w:val="20"/>
                <w:szCs w:val="20"/>
                <w:color w:val="auto"/>
              </w:rPr>
            </w:pPr>
            <w:r>
              <w:rPr>
                <w:rFonts w:ascii="Arial" w:cs="Arial" w:eastAsia="Arial" w:hAnsi="Arial"/>
                <w:sz w:val="16"/>
                <w:szCs w:val="16"/>
                <w:color w:val="auto"/>
              </w:rPr>
              <w:t>(19,655)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81"/>
              <w:spacing w:after="0"/>
              <w:rPr>
                <w:sz w:val="20"/>
                <w:szCs w:val="20"/>
                <w:color w:val="auto"/>
              </w:rPr>
            </w:pPr>
            <w:r>
              <w:rPr>
                <w:rFonts w:ascii="Arial" w:cs="Arial" w:eastAsia="Arial" w:hAnsi="Arial"/>
                <w:sz w:val="16"/>
                <w:szCs w:val="16"/>
                <w:color w:val="auto"/>
              </w:rPr>
              <w:t>5,496</w:t>
            </w:r>
          </w:p>
        </w:tc>
      </w:tr>
      <w:tr>
        <w:trPr>
          <w:trHeight w:val="33"/>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7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income tax rate</w:t>
            </w:r>
          </w:p>
        </w:tc>
        <w:tc>
          <w:tcPr>
            <w:tcW w:w="3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33"/>
        </w:trPr>
        <w:tc>
          <w:tcPr>
            <w:tcW w:w="7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On March 27, 2020, the President of the United States signed into law the Coronavirus Aid, Relief and Economic Security Act (the “CARES Act”). Accordingly, the applicable provisions of the CARES Act have been reflected in the Company’s tax provision for the thirteen weeks ended March 29, 2020. The CARES Act, among other items, includes U.S. corporate tax provisions related to the deferment of employer social security payments, net operating loss (“NOL”) carryback periods, alternative minimum tax credits, modifications to interest deduction limitations and technical corrections on tax depreciation methods for qualified improvement property (“QIP”).</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effective income tax rate for the thirteen weeks ended March 29, 2020 increased by 28.7 percentage points as compared to the thirteen weeks ended March 31, 2019. The increase was primarily due to the benefit of the five-year carryback of the forecasted 2020 NOL under the CARES Act and favorable discrete items recorded in the thirteen weeks ended March 29, 2020.</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December 29, 2019, the Company had $128.6 million in general business tax credits carryforwards, which have a 20-year carryforward period and are utilized on a first-in, first-out basis. The Company expects to increase its general business credit carryforwards in 2020 by approximately $50 million to $80 million as a result of the carryback of the forecasted 2020 NOL, additional credits generated in 2020 and the application of the QIP technical correction enacted as part of the CARES Act. The Company currently expects to utilize these tax credit carryforwards within a seven to nine year period. However, the Company’s ability to utilize these tax credits could be adversely impacted by, among other items, a future “ownership change” as defined under Section 382 of the Internal Revenue Code.</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has a blended federal and state statutory rate of approximately 26%. The effective income tax rate for the thirteen weeks ended March 29, 2020 was higher than the statutory rate primarily due to the benefit of the five-year carryback of the forecasted 2020 NOL under the CARES Act and tax credits for FICA taxes on certain employees’ tips.</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6"/>
          <w:szCs w:val="16"/>
          <w:color w:val="auto"/>
        </w:rPr>
        <w:t>Commitments and Contingencies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Litigation and Other Matters - </w:t>
      </w:r>
      <w:r>
        <w:rPr>
          <w:rFonts w:ascii="Arial" w:cs="Arial" w:eastAsia="Arial" w:hAnsi="Arial"/>
          <w:sz w:val="20"/>
          <w:szCs w:val="20"/>
          <w:color w:val="auto"/>
        </w:rPr>
        <w:t>The Company had $3.3 million and $3.0 million of liabilities recorded for various legal matters as of</w:t>
      </w:r>
      <w:r>
        <w:rPr>
          <w:rFonts w:ascii="Arial" w:cs="Arial" w:eastAsia="Arial" w:hAnsi="Arial"/>
          <w:sz w:val="20"/>
          <w:szCs w:val="20"/>
          <w:i w:val="1"/>
          <w:iCs w:val="1"/>
          <w:color w:val="auto"/>
        </w:rPr>
        <w:t xml:space="preserve"> </w:t>
      </w:r>
      <w:r>
        <w:rPr>
          <w:rFonts w:ascii="Arial" w:cs="Arial" w:eastAsia="Arial" w:hAnsi="Arial"/>
          <w:sz w:val="20"/>
          <w:szCs w:val="20"/>
          <w:color w:val="auto"/>
        </w:rPr>
        <w:t>March 29, 2020 and December 29, 2019, respectively.</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Company is subject to legal proceedings, claims and liabilities, such as liquor liability, slip and fall cases, wage-and-hour and other employment-related litigation, which arise in the ordinary course of business and are generally covered by insurance if they exceed specified retention or deductible amounts. In the opinion of management, the amount of ultimate liability with respect to those actions will not have a material adverse impact on the Company’s financial position or results of operations and cash flows.</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Lease Guarantees </w:t>
      </w:r>
      <w:r>
        <w:rPr>
          <w:rFonts w:ascii="Arial" w:cs="Arial" w:eastAsia="Arial" w:hAnsi="Arial"/>
          <w:sz w:val="20"/>
          <w:szCs w:val="20"/>
          <w:color w:val="auto"/>
        </w:rPr>
        <w:t>- The Company assigned its interest, and is contingently liable, under certain real estate leases. These leases have varying</w:t>
      </w:r>
      <w:r>
        <w:rPr>
          <w:rFonts w:ascii="Arial" w:cs="Arial" w:eastAsia="Arial" w:hAnsi="Arial"/>
          <w:sz w:val="20"/>
          <w:szCs w:val="20"/>
          <w:i w:val="1"/>
          <w:iCs w:val="1"/>
          <w:color w:val="auto"/>
        </w:rPr>
        <w:t xml:space="preserve"> </w:t>
      </w:r>
      <w:r>
        <w:rPr>
          <w:rFonts w:ascii="Arial" w:cs="Arial" w:eastAsia="Arial" w:hAnsi="Arial"/>
          <w:sz w:val="20"/>
          <w:szCs w:val="20"/>
          <w:color w:val="auto"/>
        </w:rPr>
        <w:t>terms, the latest of which expires in 2032. As of March 29, 2020, the undiscounted payments that the Company could be required to make in the event of non-payment by the primary lessees was approximately $31.3 million. The present value of these potential payments discounted at the Company’s incremental borrowing rate as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(UNAUDITED) - Continued</w:t>
      </w:r>
    </w:p>
    <w:p>
      <w:pPr>
        <w:spacing w:after="0" w:line="20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March 29, 2020 was approximately $24.9 million. In the event of default, the indemnity clauses in the Company’s purchase and sale agreements govern its ability to pursue and recover damages incurred.</w:t>
      </w:r>
    </w:p>
    <w:p>
      <w:pPr>
        <w:spacing w:after="0" w:line="19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 xml:space="preserve">In March 2020, the Company recorded $4.2 million of additional contingent lease liability in response to the economic impact of the COVID-19 pandemic. As of March 29, 2020, the Company’s recorded contingent lease liability was $9.7 million. See Note 2 - </w:t>
      </w:r>
      <w:r>
        <w:rPr>
          <w:rFonts w:ascii="Arial" w:cs="Arial" w:eastAsia="Arial" w:hAnsi="Arial"/>
          <w:sz w:val="20"/>
          <w:szCs w:val="20"/>
          <w:i w:val="1"/>
          <w:iCs w:val="1"/>
          <w:color w:val="auto"/>
        </w:rPr>
        <w:t>COVID-19</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Impact </w:t>
      </w:r>
      <w:r>
        <w:rPr>
          <w:rFonts w:ascii="Arial" w:cs="Arial" w:eastAsia="Arial" w:hAnsi="Arial"/>
          <w:sz w:val="20"/>
          <w:szCs w:val="20"/>
          <w:color w:val="auto"/>
        </w:rPr>
        <w:t>for details regarding the impact of the COVID-19 pandemic on the Company’s financial results.</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6"/>
          <w:szCs w:val="16"/>
          <w:color w:val="auto"/>
        </w:rPr>
        <w:t>Segment Reporting</w:t>
      </w:r>
    </w:p>
    <w:p>
      <w:pPr>
        <w:spacing w:after="0" w:line="229"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The Company considers its restaurant concepts and international markets as operating segments, which reflects how the Company manages its business, reviews operating performance and allocates resources. Resources are allocated and performance is assessed by the Company’s Chief Executive Officer (“CEO”), whom the Company has determined to be its Chief Operating Decision Maker (“CODM”). The Company aggregates its operating segments into two reportable segments, U.S. and international. The U.S. segment includes all restaurants operating in the U.S. while restaurants operating outside the U.S. are included in the international segment. The following is a summary of reporting segments:</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600" w:type="dxa"/>
            <w:vAlign w:val="bottom"/>
          </w:tcPr>
          <w:p>
            <w:pPr>
              <w:ind w:left="40"/>
              <w:spacing w:after="0"/>
              <w:rPr>
                <w:sz w:val="20"/>
                <w:szCs w:val="20"/>
                <w:color w:val="auto"/>
              </w:rPr>
            </w:pPr>
            <w:r>
              <w:rPr>
                <w:rFonts w:ascii="Arial" w:cs="Arial" w:eastAsia="Arial" w:hAnsi="Arial"/>
                <w:sz w:val="14"/>
                <w:szCs w:val="14"/>
                <w:b w:val="1"/>
                <w:bCs w:val="1"/>
                <w:color w:val="auto"/>
              </w:rPr>
              <w:t>REPORTABLE SEGMENT (1)</w:t>
            </w:r>
          </w:p>
        </w:tc>
        <w:tc>
          <w:tcPr>
            <w:tcW w:w="120" w:type="dxa"/>
            <w:vAlign w:val="bottom"/>
          </w:tcPr>
          <w:p>
            <w:pPr>
              <w:spacing w:after="0"/>
              <w:rPr>
                <w:sz w:val="17"/>
                <w:szCs w:val="17"/>
                <w:color w:val="auto"/>
              </w:rPr>
            </w:pPr>
          </w:p>
        </w:tc>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CONCEPT</w:t>
            </w:r>
          </w:p>
        </w:tc>
        <w:tc>
          <w:tcPr>
            <w:tcW w:w="3800" w:type="dxa"/>
            <w:vAlign w:val="bottom"/>
          </w:tcPr>
          <w:p>
            <w:pPr>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23"/>
        </w:trPr>
        <w:tc>
          <w:tcPr>
            <w:tcW w:w="260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62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Outback Steakhouse</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380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00" w:type="dxa"/>
            <w:vAlign w:val="bottom"/>
            <w:tcBorders>
              <w:left w:val="single" w:sz="8" w:color="auto"/>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6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Carrabba’s Italian Grill</w:t>
            </w:r>
          </w:p>
        </w:tc>
        <w:tc>
          <w:tcPr>
            <w:tcW w:w="120" w:type="dxa"/>
            <w:vAlign w:val="bottom"/>
            <w:tcBorders>
              <w:right w:val="single" w:sz="8" w:color="auto"/>
            </w:tcBorders>
            <w:shd w:val="clear" w:color="auto" w:fill="CCEEFF"/>
          </w:tcPr>
          <w:p>
            <w:pPr>
              <w:spacing w:after="0"/>
              <w:rPr>
                <w:sz w:val="23"/>
                <w:szCs w:val="23"/>
                <w:color w:val="auto"/>
              </w:rPr>
            </w:pPr>
          </w:p>
        </w:tc>
        <w:tc>
          <w:tcPr>
            <w:tcW w:w="380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35"/>
        </w:trPr>
        <w:tc>
          <w:tcPr>
            <w:tcW w:w="2600" w:type="dxa"/>
            <w:vAlign w:val="bottom"/>
            <w:tcBorders>
              <w:left w:val="single" w:sz="8" w:color="auto"/>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Bonefish Grill</w:t>
            </w:r>
          </w:p>
        </w:tc>
        <w:tc>
          <w:tcPr>
            <w:tcW w:w="120" w:type="dxa"/>
            <w:vAlign w:val="bottom"/>
            <w:tcBorders>
              <w:right w:val="single" w:sz="8" w:color="auto"/>
            </w:tcBorders>
            <w:shd w:val="clear" w:color="auto" w:fill="CCEEFF"/>
          </w:tcPr>
          <w:p>
            <w:pPr>
              <w:spacing w:after="0"/>
              <w:rPr>
                <w:sz w:val="11"/>
                <w:szCs w:val="11"/>
                <w:color w:val="auto"/>
              </w:rPr>
            </w:pPr>
          </w:p>
        </w:tc>
        <w:tc>
          <w:tcPr>
            <w:tcW w:w="380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Borders>
              <w:left w:val="single" w:sz="8" w:color="auto"/>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2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80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260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46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Fleming’s Prime Steakhouse &amp; Wine Bar</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380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International</w:t>
            </w:r>
          </w:p>
        </w:tc>
        <w:tc>
          <w:tcPr>
            <w:tcW w:w="120" w:type="dxa"/>
            <w:vAlign w:val="bottom"/>
            <w:tcBorders>
              <w:right w:val="single" w:sz="8" w:color="auto"/>
            </w:tcBorders>
          </w:tcPr>
          <w:p>
            <w:pPr>
              <w:spacing w:after="0"/>
              <w:rPr>
                <w:sz w:val="18"/>
                <w:szCs w:val="18"/>
                <w:color w:val="auto"/>
              </w:rPr>
            </w:pPr>
          </w:p>
        </w:tc>
        <w:tc>
          <w:tcPr>
            <w:tcW w:w="4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Outback Steakhouse</w:t>
            </w:r>
          </w:p>
        </w:tc>
        <w:tc>
          <w:tcPr>
            <w:tcW w:w="120" w:type="dxa"/>
            <w:vAlign w:val="bottom"/>
            <w:tcBorders>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Kong/China</w:t>
            </w:r>
          </w:p>
        </w:tc>
        <w:tc>
          <w:tcPr>
            <w:tcW w:w="0" w:type="dxa"/>
            <w:vAlign w:val="bottom"/>
          </w:tcPr>
          <w:p>
            <w:pPr>
              <w:spacing w:after="0"/>
              <w:rPr>
                <w:sz w:val="1"/>
                <w:szCs w:val="1"/>
                <w:color w:val="auto"/>
              </w:rPr>
            </w:pPr>
          </w:p>
        </w:tc>
      </w:tr>
      <w:tr>
        <w:trPr>
          <w:trHeight w:val="33"/>
        </w:trPr>
        <w:tc>
          <w:tcPr>
            <w:tcW w:w="2600" w:type="dxa"/>
            <w:vAlign w:val="bottom"/>
            <w:tcBorders>
              <w:left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2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0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Carrabba’s Italian Grill (Abbraccio)</w:t>
            </w:r>
          </w:p>
        </w:tc>
        <w:tc>
          <w:tcPr>
            <w:tcW w:w="12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33"/>
        </w:trPr>
        <w:tc>
          <w:tcPr>
            <w:tcW w:w="26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2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600" w:type="dxa"/>
            <w:vAlign w:val="bottom"/>
          </w:tcPr>
          <w:p>
            <w:pPr>
              <w:jc w:val="right"/>
              <w:ind w:right="1141"/>
              <w:spacing w:after="0"/>
              <w:rPr>
                <w:sz w:val="20"/>
                <w:szCs w:val="20"/>
                <w:color w:val="auto"/>
              </w:rPr>
            </w:pPr>
            <w:r>
              <w:rPr>
                <w:rFonts w:ascii="Arial" w:cs="Arial" w:eastAsia="Arial" w:hAnsi="Arial"/>
                <w:sz w:val="16"/>
                <w:szCs w:val="16"/>
                <w:color w:val="auto"/>
                <w:w w:val="89"/>
              </w:rPr>
              <w:t>_________________</w:t>
            </w:r>
          </w:p>
        </w:tc>
        <w:tc>
          <w:tcPr>
            <w:tcW w:w="1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franchise locations.</w:t>
      </w:r>
    </w:p>
    <w:p>
      <w:pPr>
        <w:spacing w:after="0" w:line="21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Segment accounting policies are the same as those described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Company’s Annual Report on Form 10-K for the year ended December 29, 2019. Revenues for all segments include only transactions with customers and exclude intersegment revenues. Excluded from Income from operations for U.S. and international are certain legal and corporate costs not directly related to the performance of the segments, most stock-based compensation expenses and certain bonus expenses.</w:t>
      </w:r>
    </w:p>
    <w:p>
      <w:pPr>
        <w:spacing w:after="0" w:line="175" w:lineRule="exact"/>
        <w:rPr>
          <w:sz w:val="20"/>
          <w:szCs w:val="20"/>
          <w:color w:val="auto"/>
        </w:rPr>
      </w:pPr>
    </w:p>
    <w:p>
      <w:pPr>
        <w:jc w:val="both"/>
        <w:ind w:right="20"/>
        <w:spacing w:after="0" w:line="328" w:lineRule="auto"/>
        <w:rPr>
          <w:sz w:val="20"/>
          <w:szCs w:val="20"/>
          <w:color w:val="auto"/>
        </w:rPr>
      </w:pPr>
      <w:r>
        <w:rPr>
          <w:rFonts w:ascii="Arial" w:cs="Arial" w:eastAsia="Arial" w:hAnsi="Arial"/>
          <w:sz w:val="16"/>
          <w:szCs w:val="16"/>
          <w:color w:val="auto"/>
        </w:rPr>
        <w:t>During the thirteen weeks ended March 29, 2020, the Company recorded $22.2 million of pre-tax charges as a part of transformational initiatives implemented in connection with its previously announced review of strategic alternatives. These costs were primarily recorded within General and administrative expense and Provision for impaired assets and restaurant closings and were not allocated to the Company’s segments since the Company’s CODM does not consider the impact of transformational initiatives when assessing segment performance.</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Total revenue by segment,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4"/>
                <w:szCs w:val="14"/>
                <w:b w:val="1"/>
                <w:bCs w:val="1"/>
                <w:color w:val="auto"/>
              </w:rPr>
              <w:t>THIRTEEN WEEKS ENDED</w:t>
            </w:r>
          </w:p>
        </w:tc>
      </w:tr>
      <w:tr>
        <w:trPr>
          <w:trHeight w:val="264"/>
        </w:trPr>
        <w:tc>
          <w:tcPr>
            <w:tcW w:w="4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22"/>
                <w:szCs w:val="22"/>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2020</w:t>
            </w:r>
          </w:p>
        </w:tc>
        <w:tc>
          <w:tcPr>
            <w:tcW w:w="140" w:type="dxa"/>
            <w:vAlign w:val="bottom"/>
          </w:tcPr>
          <w:p>
            <w:pPr>
              <w:spacing w:after="0"/>
              <w:rPr>
                <w:sz w:val="22"/>
                <w:szCs w:val="22"/>
                <w:color w:val="auto"/>
              </w:rPr>
            </w:pPr>
          </w:p>
        </w:tc>
        <w:tc>
          <w:tcPr>
            <w:tcW w:w="1300" w:type="dxa"/>
            <w:vAlign w:val="bottom"/>
          </w:tcPr>
          <w:p>
            <w:pPr>
              <w:jc w:val="right"/>
              <w:ind w:right="101"/>
              <w:spacing w:after="0"/>
              <w:rPr>
                <w:sz w:val="20"/>
                <w:szCs w:val="20"/>
                <w:color w:val="auto"/>
              </w:rPr>
            </w:pPr>
            <w:r>
              <w:rPr>
                <w:rFonts w:ascii="Arial" w:cs="Arial" w:eastAsia="Arial" w:hAnsi="Arial"/>
                <w:sz w:val="14"/>
                <w:szCs w:val="14"/>
                <w:b w:val="1"/>
                <w:bCs w:val="1"/>
                <w:color w:val="auto"/>
                <w:w w:val="99"/>
              </w:rPr>
              <w:t>MARCH 31, 2019</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6"/>
                <w:shd w:val="clear" w:color="auto" w:fill="CCEEFF"/>
              </w:rPr>
              <w:t>Total revenues</w:t>
            </w:r>
          </w:p>
        </w:tc>
        <w:tc>
          <w:tcPr>
            <w:tcW w:w="7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3"/>
        </w:trPr>
        <w:tc>
          <w:tcPr>
            <w:tcW w:w="40" w:type="dxa"/>
            <w:vAlign w:val="bottom"/>
          </w:tcPr>
          <w:p>
            <w:pPr>
              <w:spacing w:after="0"/>
              <w:rPr>
                <w:sz w:val="19"/>
                <w:szCs w:val="19"/>
                <w:color w:val="auto"/>
              </w:rPr>
            </w:pPr>
          </w:p>
        </w:tc>
        <w:tc>
          <w:tcPr>
            <w:tcW w:w="8180" w:type="dxa"/>
            <w:vAlign w:val="bottom"/>
            <w:gridSpan w:val="2"/>
          </w:tcPr>
          <w:p>
            <w:pPr>
              <w:ind w:left="240"/>
              <w:spacing w:after="0"/>
              <w:rPr>
                <w:sz w:val="20"/>
                <w:szCs w:val="20"/>
                <w:color w:val="auto"/>
              </w:rPr>
            </w:pPr>
            <w:r>
              <w:rPr>
                <w:rFonts w:ascii="Arial" w:cs="Arial" w:eastAsia="Arial" w:hAnsi="Arial"/>
                <w:sz w:val="16"/>
                <w:szCs w:val="16"/>
                <w:color w:val="auto"/>
              </w:rPr>
              <w:t>U.S.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894,497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1,014,507</w:t>
            </w:r>
          </w:p>
        </w:tc>
      </w:tr>
      <w:tr>
        <w:trPr>
          <w:trHeight w:val="33"/>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1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113,840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113,624</w:t>
            </w:r>
          </w:p>
        </w:tc>
      </w:tr>
      <w:tr>
        <w:trPr>
          <w:trHeight w:val="250"/>
        </w:trPr>
        <w:tc>
          <w:tcPr>
            <w:tcW w:w="40" w:type="dxa"/>
            <w:vAlign w:val="bottom"/>
          </w:tcPr>
          <w:p>
            <w:pPr>
              <w:spacing w:after="0"/>
              <w:rPr>
                <w:sz w:val="21"/>
                <w:szCs w:val="21"/>
                <w:color w:val="auto"/>
              </w:rPr>
            </w:pPr>
          </w:p>
        </w:tc>
        <w:tc>
          <w:tcPr>
            <w:tcW w:w="8180" w:type="dxa"/>
            <w:vAlign w:val="bottom"/>
            <w:gridSpan w:val="2"/>
          </w:tcPr>
          <w:p>
            <w:pPr>
              <w:ind w:left="46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1,008,337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1,128,131</w:t>
            </w: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60"/>
          </w:cols>
          <w:pgMar w:left="320" w:top="121" w:right="31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is a reconciliation of Segment income from operations to (Loss) income before (benefit) provision for income taxes,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THIRTEEN WEEKS ENDED</w:t>
            </w:r>
          </w:p>
        </w:tc>
      </w:tr>
      <w:tr>
        <w:trPr>
          <w:trHeight w:val="263"/>
        </w:trPr>
        <w:tc>
          <w:tcPr>
            <w:tcW w:w="79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29, 2020</w:t>
            </w:r>
          </w:p>
        </w:tc>
        <w:tc>
          <w:tcPr>
            <w:tcW w:w="180" w:type="dxa"/>
            <w:vAlign w:val="bottom"/>
          </w:tcPr>
          <w:p>
            <w:pPr>
              <w:spacing w:after="0"/>
              <w:rPr>
                <w:sz w:val="22"/>
                <w:szCs w:val="22"/>
                <w:color w:val="auto"/>
              </w:rPr>
            </w:pPr>
          </w:p>
        </w:tc>
        <w:tc>
          <w:tcPr>
            <w:tcW w:w="1380" w:type="dxa"/>
            <w:vAlign w:val="bottom"/>
          </w:tcPr>
          <w:p>
            <w:pPr>
              <w:jc w:val="right"/>
              <w:ind w:right="140"/>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income from operations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180"/>
              <w:spacing w:after="0"/>
              <w:rPr>
                <w:sz w:val="20"/>
                <w:szCs w:val="20"/>
                <w:color w:val="auto"/>
              </w:rPr>
            </w:pPr>
            <w:r>
              <w:rPr>
                <w:rFonts w:ascii="Arial" w:cs="Arial" w:eastAsia="Arial" w:hAnsi="Arial"/>
                <w:sz w:val="16"/>
                <w:szCs w:val="16"/>
                <w:color w:val="auto"/>
              </w:rPr>
              <w:t>U.S.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11,379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113,035</w:t>
            </w:r>
          </w:p>
        </w:tc>
      </w:tr>
      <w:tr>
        <w:trPr>
          <w:trHeight w:val="33"/>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6,787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13,720</w:t>
            </w:r>
          </w:p>
        </w:tc>
      </w:tr>
      <w:tr>
        <w:trPr>
          <w:trHeight w:val="224"/>
        </w:trPr>
        <w:tc>
          <w:tcPr>
            <w:tcW w:w="7980" w:type="dxa"/>
            <w:vAlign w:val="bottom"/>
          </w:tcPr>
          <w:p>
            <w:pPr>
              <w:ind w:left="380"/>
              <w:spacing w:after="0"/>
              <w:rPr>
                <w:sz w:val="20"/>
                <w:szCs w:val="20"/>
                <w:color w:val="auto"/>
              </w:rPr>
            </w:pPr>
            <w:r>
              <w:rPr>
                <w:rFonts w:ascii="Arial" w:cs="Arial" w:eastAsia="Arial" w:hAnsi="Arial"/>
                <w:sz w:val="16"/>
                <w:szCs w:val="16"/>
                <w:color w:val="auto"/>
              </w:rPr>
              <w:t>Total segment income from operations</w:t>
            </w:r>
          </w:p>
        </w:tc>
        <w:tc>
          <w:tcPr>
            <w:tcW w:w="18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18,166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126,755</w:t>
            </w:r>
          </w:p>
        </w:tc>
      </w:tr>
      <w:tr>
        <w:trPr>
          <w:trHeight w:val="33"/>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Unallocated corporate operating expense</w:t>
            </w: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(44,261)</w:t>
            </w:r>
          </w:p>
        </w:tc>
      </w:tr>
      <w:tr>
        <w:trPr>
          <w:trHeight w:val="224"/>
        </w:trPr>
        <w:tc>
          <w:tcPr>
            <w:tcW w:w="7980" w:type="dxa"/>
            <w:vAlign w:val="bottom"/>
          </w:tcPr>
          <w:p>
            <w:pPr>
              <w:ind w:left="380"/>
              <w:spacing w:after="0"/>
              <w:rPr>
                <w:sz w:val="20"/>
                <w:szCs w:val="20"/>
                <w:color w:val="auto"/>
              </w:rPr>
            </w:pPr>
            <w:r>
              <w:rPr>
                <w:rFonts w:ascii="Arial" w:cs="Arial" w:eastAsia="Arial" w:hAnsi="Arial"/>
                <w:sz w:val="16"/>
                <w:szCs w:val="16"/>
                <w:color w:val="auto"/>
              </w:rPr>
              <w:t>Total (loss) income from operations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(41,568)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82,494</w:t>
            </w:r>
          </w:p>
        </w:tc>
      </w:tr>
      <w:tr>
        <w:trPr>
          <w:trHeight w:val="33"/>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70"/>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Interest expense, net</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(11,181)</w:t>
            </w:r>
          </w:p>
        </w:tc>
      </w:tr>
      <w:tr>
        <w:trPr>
          <w:trHeight w:val="243"/>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(Loss) income before (benefit) provision for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71,145</w:t>
            </w:r>
          </w:p>
        </w:tc>
      </w:tr>
      <w:tr>
        <w:trPr>
          <w:trHeight w:val="20"/>
        </w:trPr>
        <w:tc>
          <w:tcPr>
            <w:tcW w:w="7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Depreciation and amortization expense by segment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4"/>
                <w:szCs w:val="14"/>
                <w:b w:val="1"/>
                <w:bCs w:val="1"/>
                <w:color w:val="auto"/>
              </w:rPr>
              <w:t>THIRTEEN WEEKS ENDED</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22"/>
                <w:szCs w:val="22"/>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2020</w:t>
            </w:r>
          </w:p>
        </w:tc>
        <w:tc>
          <w:tcPr>
            <w:tcW w:w="140" w:type="dxa"/>
            <w:vAlign w:val="bottom"/>
          </w:tcPr>
          <w:p>
            <w:pPr>
              <w:spacing w:after="0"/>
              <w:rPr>
                <w:sz w:val="22"/>
                <w:szCs w:val="22"/>
                <w:color w:val="auto"/>
              </w:rPr>
            </w:pPr>
          </w:p>
        </w:tc>
        <w:tc>
          <w:tcPr>
            <w:tcW w:w="1300" w:type="dxa"/>
            <w:vAlign w:val="bottom"/>
          </w:tcPr>
          <w:p>
            <w:pPr>
              <w:jc w:val="right"/>
              <w:ind w:right="101"/>
              <w:spacing w:after="0"/>
              <w:rPr>
                <w:sz w:val="20"/>
                <w:szCs w:val="20"/>
                <w:color w:val="auto"/>
              </w:rPr>
            </w:pPr>
            <w:r>
              <w:rPr>
                <w:rFonts w:ascii="Arial" w:cs="Arial" w:eastAsia="Arial" w:hAnsi="Arial"/>
                <w:sz w:val="14"/>
                <w:szCs w:val="14"/>
                <w:b w:val="1"/>
                <w:bCs w:val="1"/>
                <w:color w:val="auto"/>
                <w:w w:val="99"/>
              </w:rPr>
              <w:t>MARCH 31, 2019</w:t>
            </w: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U.S.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37,640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38,786</w:t>
            </w:r>
          </w:p>
        </w:tc>
      </w:tr>
      <w:tr>
        <w:trPr>
          <w:trHeight w:val="33"/>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6,758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6,456</w:t>
            </w:r>
          </w:p>
        </w:tc>
      </w:tr>
      <w:tr>
        <w:trPr>
          <w:trHeight w:val="270"/>
        </w:trPr>
        <w:tc>
          <w:tcPr>
            <w:tcW w:w="82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3,870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4,240</w:t>
            </w:r>
          </w:p>
        </w:tc>
      </w:tr>
      <w:tr>
        <w:trPr>
          <w:trHeight w:val="243"/>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depreciation and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48,268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49,482</w:t>
            </w:r>
          </w:p>
        </w:tc>
      </w:tr>
      <w:tr>
        <w:trPr>
          <w:trHeight w:val="20"/>
        </w:trPr>
        <w:tc>
          <w:tcPr>
            <w:tcW w:w="8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20.</w:t>
      </w:r>
      <w:r>
        <w:rPr>
          <w:sz w:val="20"/>
          <w:szCs w:val="20"/>
          <w:color w:val="auto"/>
        </w:rPr>
        <w:tab/>
      </w:r>
      <w:r>
        <w:rPr>
          <w:rFonts w:ascii="Arial" w:cs="Arial" w:eastAsia="Arial" w:hAnsi="Arial"/>
          <w:sz w:val="16"/>
          <w:szCs w:val="16"/>
          <w:color w:val="auto"/>
        </w:rPr>
        <w:t>Subsequent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auto"/>
        </w:rPr>
        <w:t xml:space="preserve">Convertible Notes </w:t>
      </w:r>
      <w:r>
        <w:rPr>
          <w:rFonts w:ascii="Arial" w:cs="Arial" w:eastAsia="Arial" w:hAnsi="Arial"/>
          <w:sz w:val="19"/>
          <w:szCs w:val="19"/>
          <w:color w:val="auto"/>
        </w:rPr>
        <w:t>- On May 8, 2020, the Company completed a $200.0 million principal amount private offering of 5.00% convertible senior</w:t>
      </w:r>
      <w:r>
        <w:rPr>
          <w:rFonts w:ascii="Arial" w:cs="Arial" w:eastAsia="Arial" w:hAnsi="Arial"/>
          <w:sz w:val="19"/>
          <w:szCs w:val="19"/>
          <w:i w:val="1"/>
          <w:iCs w:val="1"/>
          <w:color w:val="auto"/>
        </w:rPr>
        <w:t xml:space="preserve"> </w:t>
      </w:r>
      <w:r>
        <w:rPr>
          <w:rFonts w:ascii="Arial" w:cs="Arial" w:eastAsia="Arial" w:hAnsi="Arial"/>
          <w:sz w:val="19"/>
          <w:szCs w:val="19"/>
          <w:color w:val="auto"/>
        </w:rPr>
        <w:t>notes due 2025 and on May 12, 2020, issued an additional $30.0 million principal amount in connection with the overallotment option granted to the initial purchasers as part of the offering (collectively, the “2025 Notes”). The 2025 Notes are governed by the terms of an indenture between the Company and Wells Fargo Bank, National Association, as the Trustee. The 2025 Notes will mature on May 1, 2025, unless earlier converted, redeemed or purchased by the Company. The 2025 Notes bear cash interest at an annual rate of 5.00%, payable semi-annually in arrears on May 1 and November 1 of each year, beginning on November 1, 2020.</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2025 Notes are unsecured obligations and do not contain any financial covenants or restrictions on incurring additional indebtedness, paying dividends or issuing or repurchasing any securities. Events of default under the indenture for the 2025 Notes include, among other things, a default in the payment when due of the principal of, or the redemption price for, any note and a default for 30 days in the payment when due of interest on any note. If an event of default, the principal amount of, and all accrued and unpaid interest on, all of the notes then outstanding will immediately become due and payable.</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initial conversion rate applicable to the 2025 Notes is 84.122 shares of common stock per $1,000 principal amount of 2025 Notes, or a total of approximately 19.348 million shares for the total $230.0 million principal amount. This initial conversion rate is equivalent to an initial conversion price of approximately $11.89 per share. The conversion rate will be subject to adjustment upon the occurrence of certain specified events. Noteholders may convert their notes at their option only in the circumstances described in the indenture.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0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Company will settle conversions by paying or delivering, as applicable, cash, shares of its common stock or a combination of cash and shares of its common stock, at the Company’s election, based on the applicable conversion rate.</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Net proceeds from this offering were approximately $221.4 million, after deducting the initial purchaser’s discounts and commissions and the Company’s offering expenses. The Company intends to use the net proceeds of this offering for general corporate purposes. Upon issuance, the principal amount is separated into a liability and an equity component, such that interest expense reflects the Company’s nonconvertible debt interest rate.</w:t>
      </w:r>
    </w:p>
    <w:p>
      <w:pPr>
        <w:spacing w:after="0" w:line="20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Debt issuance costs related to the 2025 Notes were comprised of discounts upon original issuance of $6.9 million and estimated third party offering costs of $1.7 million. In accounting for the debt issuance costs related to the issuance of the 2025 Notes, the Company allocated the total amount incurred to the liability and equity components based on their relative values. Debt issuance costs attributable to the liability component are amortized to interest expense using the effective interest method over the expected life of the 2025 Notes, and debt issuance costs attributable to the equity component are netted with the equity component in stockholders’ equity.</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Discounts and third party offering costs attributable to the liability component are recorded as a contra-liability and are presented net against the convertible senior notes due 2025 balance on the consolidated balance sheets.</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Convertible Note Hedge and Warrant Transactions </w:t>
      </w:r>
      <w:r>
        <w:rPr>
          <w:rFonts w:ascii="Arial" w:cs="Arial" w:eastAsia="Arial" w:hAnsi="Arial"/>
          <w:sz w:val="20"/>
          <w:szCs w:val="20"/>
          <w:color w:val="252525"/>
        </w:rPr>
        <w:t>- In connection with the offering of the</w:t>
      </w:r>
      <w:r>
        <w:rPr>
          <w:rFonts w:ascii="Arial" w:cs="Arial" w:eastAsia="Arial" w:hAnsi="Arial"/>
          <w:sz w:val="20"/>
          <w:szCs w:val="20"/>
          <w:i w:val="1"/>
          <w:iCs w:val="1"/>
          <w:color w:val="auto"/>
        </w:rPr>
        <w:t xml:space="preserve"> </w:t>
      </w:r>
      <w:r>
        <w:rPr>
          <w:rFonts w:ascii="Arial" w:cs="Arial" w:eastAsia="Arial" w:hAnsi="Arial"/>
          <w:sz w:val="20"/>
          <w:szCs w:val="20"/>
          <w:color w:val="auto"/>
        </w:rPr>
        <w:t>2025 Notes</w:t>
      </w:r>
      <w:r>
        <w:rPr>
          <w:rFonts w:ascii="Arial" w:cs="Arial" w:eastAsia="Arial" w:hAnsi="Arial"/>
          <w:sz w:val="20"/>
          <w:szCs w:val="20"/>
          <w:color w:val="252525"/>
        </w:rPr>
        <w:t>, the Company entered into convertible</w:t>
      </w:r>
      <w:r>
        <w:rPr>
          <w:rFonts w:ascii="Arial" w:cs="Arial" w:eastAsia="Arial" w:hAnsi="Arial"/>
          <w:sz w:val="20"/>
          <w:szCs w:val="20"/>
          <w:i w:val="1"/>
          <w:iCs w:val="1"/>
          <w:color w:val="auto"/>
        </w:rPr>
        <w:t xml:space="preserve"> </w:t>
      </w:r>
      <w:r>
        <w:rPr>
          <w:rFonts w:ascii="Arial" w:cs="Arial" w:eastAsia="Arial" w:hAnsi="Arial"/>
          <w:sz w:val="20"/>
          <w:szCs w:val="20"/>
          <w:color w:val="252525"/>
        </w:rPr>
        <w:t xml:space="preserve">note hedge transactions (the “Convertible Note Hedge Transactions”) with certain of the initial purchasers of the </w:t>
      </w:r>
      <w:r>
        <w:rPr>
          <w:rFonts w:ascii="Arial" w:cs="Arial" w:eastAsia="Arial" w:hAnsi="Arial"/>
          <w:sz w:val="20"/>
          <w:szCs w:val="20"/>
          <w:color w:val="000000"/>
        </w:rPr>
        <w:t>2025 Notes</w:t>
      </w:r>
      <w:r>
        <w:rPr>
          <w:rFonts w:ascii="Arial" w:cs="Arial" w:eastAsia="Arial" w:hAnsi="Arial"/>
          <w:sz w:val="20"/>
          <w:szCs w:val="20"/>
          <w:color w:val="252525"/>
        </w:rPr>
        <w:t xml:space="preserve"> and/or their respective affiliates and other financial institutions (in this capacity, the “Hedge Counterparties”). Concurrently with the Company’s entry into the Convertible Note Hedge Transactions, the Company also entered into separate, warrant transactions with the Hedge Counterparties collectively relating to the same number of shares of the Company’s common stock, subject to customary anti-dilution adjustments, and for which the Company received premiums that partially offset the cost of entering into the Convertible Note Hedge Transactions (the “Warrant Transactions”).</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52525"/>
        </w:rPr>
        <w:t xml:space="preserve">The Convertible Note Hedge Transactions cover, subject to customary anti-dilution adjustments, the number of shares of the Company’s common stock that will initially underlie the </w:t>
      </w:r>
      <w:r>
        <w:rPr>
          <w:rFonts w:ascii="Arial" w:cs="Arial" w:eastAsia="Arial" w:hAnsi="Arial"/>
          <w:sz w:val="20"/>
          <w:szCs w:val="20"/>
          <w:color w:val="000000"/>
        </w:rPr>
        <w:t>2025 Notes</w:t>
      </w:r>
      <w:r>
        <w:rPr>
          <w:rFonts w:ascii="Arial" w:cs="Arial" w:eastAsia="Arial" w:hAnsi="Arial"/>
          <w:sz w:val="20"/>
          <w:szCs w:val="20"/>
          <w:color w:val="252525"/>
        </w:rPr>
        <w:t xml:space="preserve">, and are expected generally to reduce the potential equity dilution, and/or offset any cash payments in excess of the principal amount due, as the case may be, upon conversion of the </w:t>
      </w:r>
      <w:r>
        <w:rPr>
          <w:rFonts w:ascii="Arial" w:cs="Arial" w:eastAsia="Arial" w:hAnsi="Arial"/>
          <w:sz w:val="20"/>
          <w:szCs w:val="20"/>
          <w:color w:val="000000"/>
        </w:rPr>
        <w:t>2025 Notes</w:t>
      </w:r>
      <w:r>
        <w:rPr>
          <w:rFonts w:ascii="Arial" w:cs="Arial" w:eastAsia="Arial" w:hAnsi="Arial"/>
          <w:sz w:val="20"/>
          <w:szCs w:val="20"/>
          <w:color w:val="252525"/>
        </w:rPr>
        <w:t>. The Warrant Transactions could have a dilutive effect on the Company’s common stock to the extent that the price of its common stock exceeds the strike price of the Warrant Transactions. The strike price will initially be $16.64 per share and is subject to certain adjustments under the terms of the Warrant Transactions.</w:t>
      </w:r>
    </w:p>
    <w:p>
      <w:pPr>
        <w:spacing w:after="0" w:line="20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252525"/>
        </w:rPr>
        <w:t xml:space="preserve">The portion of the net proceeds to the Company from the offering of the </w:t>
      </w:r>
      <w:r>
        <w:rPr>
          <w:rFonts w:ascii="Arial" w:cs="Arial" w:eastAsia="Arial" w:hAnsi="Arial"/>
          <w:sz w:val="20"/>
          <w:szCs w:val="20"/>
          <w:color w:val="000000"/>
        </w:rPr>
        <w:t>2025 Notes</w:t>
      </w:r>
      <w:r>
        <w:rPr>
          <w:rFonts w:ascii="Arial" w:cs="Arial" w:eastAsia="Arial" w:hAnsi="Arial"/>
          <w:sz w:val="20"/>
          <w:szCs w:val="20"/>
          <w:color w:val="252525"/>
        </w:rPr>
        <w:t xml:space="preserve"> that was used to pay the premium on the Convertible Note Hedge Transactions (calculated after taking into account the proceeds to the Company from the Warrant Transactions) was approximately $19.6 million. The net costs incurred in connection with the Convertible Note Hedge Transactions and Warrant Transactions will be recorded as a reduction to additional paid-in capital on the Company’s Consolidated Balance Sheet during the thirteen weeks ended June 28, 2020.</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As of the date of this filing, the Company’s accounting for the 2025 Notes, </w:t>
      </w:r>
      <w:r>
        <w:rPr>
          <w:rFonts w:ascii="Arial" w:cs="Arial" w:eastAsia="Arial" w:hAnsi="Arial"/>
          <w:sz w:val="20"/>
          <w:szCs w:val="20"/>
          <w:color w:val="252525"/>
        </w:rPr>
        <w:t>Convertible Note Hedge Transactions and Warrant Transactions</w:t>
      </w:r>
      <w:r>
        <w:rPr>
          <w:rFonts w:ascii="Arial" w:cs="Arial" w:eastAsia="Arial" w:hAnsi="Arial"/>
          <w:sz w:val="20"/>
          <w:szCs w:val="20"/>
          <w:color w:val="auto"/>
        </w:rPr>
        <w:t xml:space="preserve"> was still ongoing. Any impact will be reflected in the Company’s consolidated financial statements during the thirteen weeks ended June 28, 2020.</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and Section 21E of the Securities Exchange Act of 1934, as amended.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spacing w:after="0" w:line="168" w:lineRule="exact"/>
        <w:rPr>
          <w:sz w:val="20"/>
          <w:szCs w:val="20"/>
          <w:color w:val="auto"/>
        </w:rPr>
      </w:pPr>
    </w:p>
    <w:p>
      <w:pPr>
        <w:jc w:val="both"/>
        <w:ind w:left="660" w:hanging="652"/>
        <w:spacing w:after="0" w:line="250"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severity, extent and duration of the COVID-19 pandemic, its impacts on our business and results of operations, financial condition and liquidity, including any adverse impact on our stock price and on the other factors listed below, and the responses of domestic and foreign federal, state and local governments to the pandemic;</w:t>
      </w:r>
    </w:p>
    <w:p>
      <w:pPr>
        <w:spacing w:after="0" w:line="199" w:lineRule="exact"/>
        <w:rPr>
          <w:rFonts w:ascii="Arial" w:cs="Arial" w:eastAsia="Arial" w:hAnsi="Arial"/>
          <w:sz w:val="20"/>
          <w:szCs w:val="20"/>
          <w:color w:val="auto"/>
        </w:rPr>
      </w:pPr>
    </w:p>
    <w:p>
      <w:pPr>
        <w:ind w:left="660" w:hanging="652"/>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Consumer reactions to public health and food safety issues;</w:t>
      </w:r>
    </w:p>
    <w:p>
      <w:pPr>
        <w:spacing w:after="0" w:line="229"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ability to compete in the highly competitive restaurant industry with many well-established competitors and new market entrants;</w:t>
      </w:r>
    </w:p>
    <w:p>
      <w:pPr>
        <w:spacing w:after="0" w:line="190" w:lineRule="exact"/>
        <w:rPr>
          <w:rFonts w:ascii="Arial" w:cs="Arial" w:eastAsia="Arial" w:hAnsi="Arial"/>
          <w:sz w:val="20"/>
          <w:szCs w:val="20"/>
          <w:color w:val="auto"/>
        </w:rPr>
      </w:pPr>
    </w:p>
    <w:p>
      <w:pPr>
        <w:ind w:left="660" w:hanging="652"/>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Minimum wage increases and additional mandated employee benefits;</w:t>
      </w:r>
    </w:p>
    <w:p>
      <w:pPr>
        <w:spacing w:after="0" w:line="229"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Economic conditions and their effects on consumer confidence and discretionary spending, consumer traffic, the cost and availability of credit and interest rates;</w:t>
      </w:r>
    </w:p>
    <w:p>
      <w:pPr>
        <w:spacing w:after="0" w:line="190"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ability to protect our information technology systems from interruption or security breach, including cyber security threats, and to protect consumer data and personal employee information;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Fluctuations in the price and availability of commodities;</w:t>
      </w:r>
    </w:p>
    <w:p>
      <w:pPr>
        <w:spacing w:after="0" w:line="229"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ability to comply with governmental laws and regulations, the costs of compliance with such laws and regulations and the effects of changes to applicable laws and regulations, including tax laws and unanticipated liabilities;</w:t>
      </w:r>
    </w:p>
    <w:p>
      <w:pPr>
        <w:spacing w:after="0" w:line="190" w:lineRule="exact"/>
        <w:rPr>
          <w:rFonts w:ascii="Arial" w:cs="Arial" w:eastAsia="Arial" w:hAnsi="Arial"/>
          <w:sz w:val="20"/>
          <w:szCs w:val="20"/>
          <w:color w:val="auto"/>
        </w:rPr>
      </w:pPr>
    </w:p>
    <w:p>
      <w:pPr>
        <w:ind w:left="660" w:hanging="652"/>
        <w:spacing w:after="0"/>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ability to effectively respond to changes in patterns of consumer traffic, consumer tastes and dietary habits;</w:t>
      </w:r>
    </w:p>
    <w:p>
      <w:pPr>
        <w:spacing w:after="0" w:line="229" w:lineRule="exact"/>
        <w:rPr>
          <w:rFonts w:ascii="Arial" w:cs="Arial" w:eastAsia="Arial" w:hAnsi="Arial"/>
          <w:sz w:val="20"/>
          <w:szCs w:val="20"/>
          <w:color w:val="auto"/>
        </w:rPr>
      </w:pPr>
    </w:p>
    <w:p>
      <w:pPr>
        <w:jc w:val="both"/>
        <w:ind w:left="660" w:hanging="652"/>
        <w:spacing w:after="0" w:line="269" w:lineRule="auto"/>
        <w:tabs>
          <w:tab w:leader="none" w:pos="6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w:t>
      </w:r>
    </w:p>
    <w:p>
      <w:pPr>
        <w:spacing w:after="0" w:line="183" w:lineRule="exact"/>
        <w:rPr>
          <w:rFonts w:ascii="Arial" w:cs="Arial" w:eastAsia="Arial" w:hAnsi="Arial"/>
          <w:sz w:val="19"/>
          <w:szCs w:val="19"/>
          <w:color w:val="auto"/>
        </w:rPr>
      </w:pPr>
    </w:p>
    <w:p>
      <w:pPr>
        <w:ind w:left="660" w:hanging="652"/>
        <w:spacing w:after="0" w:line="260"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effects of international economic, political and social conditions and legal systems on our foreign operations and on foreign currency exchange rates;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ability to preserve and grow the reputation and value of our brands, particularly in light of changes in consumer engagement with social media platforms;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Any impairment in the carrying value of our goodwill or other intangible or long-lived assets and its effect on our financial condition and results of operations;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Seasonal and periodic fluctuations in our results and the effects of significant adverse weather conditions and other disasters or unforeseen events;</w:t>
      </w:r>
    </w:p>
    <w:p>
      <w:pPr>
        <w:spacing w:after="0" w:line="190" w:lineRule="exact"/>
        <w:rPr>
          <w:rFonts w:ascii="Arial" w:cs="Arial" w:eastAsia="Arial" w:hAnsi="Arial"/>
          <w:sz w:val="20"/>
          <w:szCs w:val="20"/>
          <w:color w:val="auto"/>
        </w:rPr>
      </w:pPr>
    </w:p>
    <w:p>
      <w:pPr>
        <w:jc w:val="both"/>
        <w:ind w:left="660" w:hanging="652"/>
        <w:spacing w:after="0" w:line="269" w:lineRule="auto"/>
        <w:tabs>
          <w:tab w:leader="none" w:pos="6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effects of our substantial leverage and restrictive covenants in our various credit facilities on our ability to raise additional capital to fund our operations, to make capital expenditures to invest in new or renovate restaurants and to react to changes in the economy or our industry, and our exposure to interest rate risk in connection with our variable-rate debt;</w:t>
      </w:r>
    </w:p>
    <w:p>
      <w:pPr>
        <w:spacing w:after="0" w:line="183" w:lineRule="exact"/>
        <w:rPr>
          <w:rFonts w:ascii="Arial" w:cs="Arial" w:eastAsia="Arial" w:hAnsi="Arial"/>
          <w:sz w:val="19"/>
          <w:szCs w:val="19"/>
          <w:color w:val="auto"/>
        </w:rPr>
      </w:pPr>
    </w:p>
    <w:p>
      <w:pPr>
        <w:ind w:left="660" w:hanging="652"/>
        <w:spacing w:after="0" w:line="260"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adequacy of our cash flow and earnings and other conditions which may affect our ability to pay dividends and repurchase shares of our common stock; and</w:t>
      </w:r>
    </w:p>
    <w:p>
      <w:pPr>
        <w:spacing w:after="0" w:line="190"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Such other factors as discussed in Part I, Item IA. Risk Factors of our Annual Report on Form 10-K for the year ended December 29, 2019.</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light of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previously disclosed in the Current Report on Form 8-K filed by the Company with the SEC on May 5, 2020, the filing of the Company’s Quarterly Report on Form 10-Q for the period ended March 29, 2020 (the “Form 10-Q”), was delayed due to circumstances related to the COVID-19 pandemic. The COVID-19 pandemic has had a material and adverse effect on our business operations. Forecasting our operations and financial results has grown increasingly complex due to the various uncertainties presented by the COVID-19 pandemic. In particular, the COVID-19 pandemic has made developing forecasts for, and the accounting of, valuation of goodwill and certain other assets slower and more difficult. In addition, our management has had to devote significant time and attention to the Amended Credit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Agreement and 2025 Notes offering discussed in this Report, which has diverted resources from the preparation of the Form 10-Q.</w:t>
      </w: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consideration of the impacts of COVID-19, described above, we were unable to compile and review certain information required in order to timely file the Form 10-Q by May 8, 2020, the original filing deadline of the Form 10-Q. We relied on the SEC’s Order Under Section 36 of the Securities Exchange Act of 1934 Modifying Exemptions from the Reporting and Proxy Delivery Requirements for Public Companies, SEC Release No. 34-88465, dated March 25, 2020, to delay the filing of this Form 10-Q.</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one of the largest casual dining restaurant companies in the world with a portfolio of leading, differentiated restaurant concepts. As of March 29, 2020, we owned and operated 1,172 restaurants and franchised 300 restaurants across 48 states, Puerto Rico, Guam and 20 countries. We have four founder-inspired concepts: Outback Steakhouse, Carrabba’s Italian Grill, Bonefish Grill and Fleming’s Prime Steakhouse &amp; Wine Bar.</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Our financial results for the thirteen weeks ended March 29, 2020 (“first quarter of 2020”) include the following:</w:t>
      </w:r>
    </w:p>
    <w:p>
      <w:pPr>
        <w:spacing w:after="0" w:line="229" w:lineRule="exact"/>
        <w:rPr>
          <w:sz w:val="20"/>
          <w:szCs w:val="20"/>
          <w:color w:val="auto"/>
        </w:rPr>
      </w:pPr>
    </w:p>
    <w:p>
      <w:pPr>
        <w:jc w:val="both"/>
        <w:ind w:left="660" w:hanging="328"/>
        <w:spacing w:after="0" w:line="246"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decrease in Total revenues of 10.6% in the first quarter of 2020, as compared to the first quarter of 2019, primarily due to: (i) lower U.S. comparable restaurant sales, (ii) domestic refranchising, (iii) foreign currency translation of the Brazil Real relative to the U.S. dollar and (iv) a decrease in franchise revenues driven by the COVID-19 pandemic, partially offset by the net impact of restaurant openings and closures.</w:t>
      </w:r>
    </w:p>
    <w:p>
      <w:pPr>
        <w:spacing w:after="0" w:line="204" w:lineRule="exact"/>
        <w:rPr>
          <w:rFonts w:ascii="Arial" w:cs="Arial" w:eastAsia="Arial" w:hAnsi="Arial"/>
          <w:sz w:val="20"/>
          <w:szCs w:val="20"/>
          <w:color w:val="auto"/>
        </w:rPr>
      </w:pPr>
    </w:p>
    <w:p>
      <w:pPr>
        <w:jc w:val="both"/>
        <w:ind w:left="660" w:hanging="328"/>
        <w:spacing w:after="0" w:line="263" w:lineRule="auto"/>
        <w:tabs>
          <w:tab w:leader="none" w:pos="6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Loss from operations of $41.6 million in the first quarter of 2020, as compared to income from operations of $82.5 million in the first quarter of 2019, was primarily due to: (i) lower comparable restaurant sales and costs incurred in connection with the COVID-19 pandemic, including asset impairment charges, relief pay, inventory obsolescence and incremental operating costs, (ii) the impact of restructuring and transformation initiatives and (iii) commodity and labor inflation.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Developments - COVID-19</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 response to the COVID-19 pandemic, governmental authorities have taken dramatic action in an effort to slow down the spread of the disease. Along with many other restaurant businesses across the country, we temporarily limited our services in the U.S. to carry-out and delivery only, effective March 20, 2020. This has resulted in significantly reduced traffic in our restaurants.</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We have reopened a significant portion of our restaurant dining rooms in compliance with state and local regulations and plan to continue to do so as cond</w:t>
      </w:r>
      <w:r>
        <w:rPr>
          <w:rFonts w:ascii="Arial" w:cs="Arial" w:eastAsia="Arial" w:hAnsi="Arial"/>
          <w:sz w:val="19"/>
          <w:szCs w:val="19"/>
          <w:color w:val="212529"/>
        </w:rPr>
        <w:t>itions and regulations allow. When we are able to reopen more of our dining rooms, it is uncertain whether customer traffic will</w:t>
      </w:r>
      <w:r>
        <w:rPr>
          <w:rFonts w:ascii="Arial" w:cs="Arial" w:eastAsia="Arial" w:hAnsi="Arial"/>
          <w:sz w:val="19"/>
          <w:szCs w:val="19"/>
          <w:color w:val="auto"/>
        </w:rPr>
        <w:t xml:space="preserve"> </w:t>
      </w:r>
      <w:r>
        <w:rPr>
          <w:rFonts w:ascii="Arial" w:cs="Arial" w:eastAsia="Arial" w:hAnsi="Arial"/>
          <w:sz w:val="19"/>
          <w:szCs w:val="19"/>
          <w:color w:val="212529"/>
        </w:rPr>
        <w:t xml:space="preserve">return to levels prior to the outbreak of COVID-19. Even if consumer demand recovers, governmental restrictions may limit the capacity of our dining rooms or services we may provide. As a result, we expect our results for the foreseeable future will be significantly adversely impacted. </w:t>
      </w:r>
      <w:r>
        <w:rPr>
          <w:rFonts w:ascii="Arial" w:cs="Arial" w:eastAsia="Arial" w:hAnsi="Arial"/>
          <w:sz w:val="19"/>
          <w:szCs w:val="19"/>
          <w:color w:val="000000"/>
        </w:rPr>
        <w:t>Due to these unprecedented conditions, we have withdrawn our financial guidance for 2020.</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response to the pandemic, we have tightly managed expenses while taking steps to secure our liquidity position</w:t>
      </w:r>
      <w:r>
        <w:rPr>
          <w:rFonts w:ascii="Arial" w:cs="Arial" w:eastAsia="Arial" w:hAnsi="Arial"/>
          <w:sz w:val="20"/>
          <w:szCs w:val="20"/>
          <w:color w:val="212529"/>
        </w:rPr>
        <w:t>.</w:t>
      </w:r>
      <w:r>
        <w:rPr>
          <w:rFonts w:ascii="Arial" w:cs="Arial" w:eastAsia="Arial" w:hAnsi="Arial"/>
          <w:sz w:val="20"/>
          <w:szCs w:val="20"/>
          <w:color w:val="auto"/>
        </w:rPr>
        <w:t xml:space="preserve"> See the subsection below entitled “</w:t>
      </w:r>
      <w:r>
        <w:rPr>
          <w:rFonts w:ascii="Arial" w:cs="Arial" w:eastAsia="Arial" w:hAnsi="Arial"/>
          <w:sz w:val="20"/>
          <w:szCs w:val="20"/>
          <w:i w:val="1"/>
          <w:iCs w:val="1"/>
          <w:color w:val="auto"/>
        </w:rPr>
        <w:t>Liquidity and Capital Resources</w:t>
      </w:r>
      <w:r>
        <w:rPr>
          <w:rFonts w:ascii="Arial" w:cs="Arial" w:eastAsia="Arial" w:hAnsi="Arial"/>
          <w:sz w:val="20"/>
          <w:szCs w:val="20"/>
          <w:color w:val="auto"/>
        </w:rPr>
        <w:t>” for further details.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Strategic Alternatives Review Update</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In November 2019, we announced that we were exploring and evaluating strategic alternatives that have the potential to maximize value for our stockholders. In February 2020, in connection with our year-end earnings release and conference call, we provided an update on that process and discussed certain actions that we planned to take. While we have implemented the 2020 cost savings measures described at the time and remain committed to our plan to support a growth-focused, operations centric organization over the long term, we have suspended further activity with respect to the strategic review process as we prioritize our response to the COVID-19 pandemic. This includes a suspension of discussions with interested parties with respect to a sale of our Brazil business.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Indicators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Key measures that we use in evaluating our restaurants and assessing our business include the following:</w:t>
      </w:r>
    </w:p>
    <w:p>
      <w:pPr>
        <w:spacing w:after="0" w:line="229" w:lineRule="exact"/>
        <w:rPr>
          <w:sz w:val="20"/>
          <w:szCs w:val="20"/>
          <w:color w:val="auto"/>
        </w:rPr>
      </w:pPr>
    </w:p>
    <w:p>
      <w:pPr>
        <w:ind w:left="660" w:hanging="328"/>
        <w:spacing w:after="0" w:line="260"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auto"/>
        </w:rPr>
        <w:t>Average restaurant unit volumes</w:t>
      </w:r>
      <w:r>
        <w:rPr>
          <w:rFonts w:ascii="Arial" w:cs="Arial" w:eastAsia="Arial" w:hAnsi="Arial"/>
          <w:sz w:val="20"/>
          <w:szCs w:val="20"/>
          <w:color w:val="auto"/>
        </w:rPr>
        <w:t>—average sales (excluding gift card breakage) per restaurant to measure changes in customer traffic,</w:t>
      </w:r>
      <w:r>
        <w:rPr>
          <w:rFonts w:ascii="Arial" w:cs="Arial" w:eastAsia="Arial" w:hAnsi="Arial"/>
          <w:sz w:val="20"/>
          <w:szCs w:val="20"/>
          <w:i w:val="1"/>
          <w:iCs w:val="1"/>
          <w:color w:val="auto"/>
        </w:rPr>
        <w:t xml:space="preserve"> </w:t>
      </w:r>
      <w:r>
        <w:rPr>
          <w:rFonts w:ascii="Arial" w:cs="Arial" w:eastAsia="Arial" w:hAnsi="Arial"/>
          <w:sz w:val="20"/>
          <w:szCs w:val="20"/>
          <w:color w:val="auto"/>
        </w:rPr>
        <w:t>pricing and development of the brand;</w:t>
      </w:r>
    </w:p>
    <w:p>
      <w:pPr>
        <w:spacing w:after="0" w:line="190"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25"/>
        </w:numPr>
        <w:rPr>
          <w:rFonts w:ascii="Arial" w:cs="Arial" w:eastAsia="Arial" w:hAnsi="Arial"/>
          <w:sz w:val="20"/>
          <w:szCs w:val="20"/>
          <w:i w:val="1"/>
          <w:iCs w:val="1"/>
          <w:color w:val="auto"/>
        </w:rPr>
      </w:pPr>
      <w:r>
        <w:rPr>
          <w:rFonts w:ascii="Arial" w:cs="Arial" w:eastAsia="Arial" w:hAnsi="Arial"/>
          <w:sz w:val="20"/>
          <w:szCs w:val="20"/>
          <w:i w:val="1"/>
          <w:iCs w:val="1"/>
          <w:color w:val="auto"/>
        </w:rPr>
        <w:t>Comparable restaurant sales</w:t>
      </w:r>
      <w:r>
        <w:rPr>
          <w:rFonts w:ascii="Arial" w:cs="Arial" w:eastAsia="Arial" w:hAnsi="Arial"/>
          <w:sz w:val="20"/>
          <w:szCs w:val="20"/>
          <w:color w:val="auto"/>
        </w:rPr>
        <w:t>—year-over-year comparison of sales volumes (excluding gift card breakage) for Company-owned</w:t>
      </w:r>
      <w:r>
        <w:rPr>
          <w:rFonts w:ascii="Arial" w:cs="Arial" w:eastAsia="Arial" w:hAnsi="Arial"/>
          <w:sz w:val="20"/>
          <w:szCs w:val="20"/>
          <w:i w:val="1"/>
          <w:iCs w:val="1"/>
          <w:color w:val="auto"/>
        </w:rPr>
        <w:t xml:space="preserve"> </w:t>
      </w:r>
      <w:r>
        <w:rPr>
          <w:rFonts w:ascii="Arial" w:cs="Arial" w:eastAsia="Arial" w:hAnsi="Arial"/>
          <w:sz w:val="20"/>
          <w:szCs w:val="20"/>
          <w:color w:val="auto"/>
        </w:rPr>
        <w:t>restaurants that are open 18 months or more in order to remove the impact of new restaurant openings in comparing the operations of existing restaurants;</w:t>
      </w:r>
    </w:p>
    <w:p>
      <w:pPr>
        <w:spacing w:after="0" w:line="199" w:lineRule="exact"/>
        <w:rPr>
          <w:rFonts w:ascii="Arial" w:cs="Arial" w:eastAsia="Arial" w:hAnsi="Arial"/>
          <w:sz w:val="20"/>
          <w:szCs w:val="20"/>
          <w:i w:val="1"/>
          <w:iCs w:val="1"/>
          <w:color w:val="auto"/>
        </w:rPr>
      </w:pPr>
    </w:p>
    <w:p>
      <w:pPr>
        <w:ind w:left="660" w:hanging="328"/>
        <w:spacing w:after="0" w:line="260"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auto"/>
        </w:rPr>
        <w:t>System-wide sales</w:t>
      </w:r>
      <w:r>
        <w:rPr>
          <w:rFonts w:ascii="Arial" w:cs="Arial" w:eastAsia="Arial" w:hAnsi="Arial"/>
          <w:sz w:val="20"/>
          <w:szCs w:val="20"/>
          <w:color w:val="auto"/>
        </w:rPr>
        <w:t>—total restaurant sales volume for all Company-owned and franchise restaurants, regardless of ownership, to</w:t>
      </w:r>
      <w:r>
        <w:rPr>
          <w:rFonts w:ascii="Arial" w:cs="Arial" w:eastAsia="Arial" w:hAnsi="Arial"/>
          <w:sz w:val="20"/>
          <w:szCs w:val="20"/>
          <w:i w:val="1"/>
          <w:iCs w:val="1"/>
          <w:color w:val="auto"/>
        </w:rPr>
        <w:t xml:space="preserve"> </w:t>
      </w:r>
      <w:r>
        <w:rPr>
          <w:rFonts w:ascii="Arial" w:cs="Arial" w:eastAsia="Arial" w:hAnsi="Arial"/>
          <w:sz w:val="20"/>
          <w:szCs w:val="20"/>
          <w:color w:val="auto"/>
        </w:rPr>
        <w:t>interpret the overall health of our brands;</w:t>
      </w:r>
    </w:p>
    <w:p>
      <w:pPr>
        <w:spacing w:after="0" w:line="190"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25"/>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Restaurant-level operating margin, Income from operations, Net income and Diluted earnings per share </w:t>
      </w:r>
      <w:r>
        <w:rPr>
          <w:rFonts w:ascii="Arial" w:cs="Arial" w:eastAsia="Arial" w:hAnsi="Arial"/>
          <w:sz w:val="20"/>
          <w:szCs w:val="20"/>
          <w:color w:val="auto"/>
        </w:rPr>
        <w:t>— financial measures</w:t>
      </w:r>
      <w:r>
        <w:rPr>
          <w:rFonts w:ascii="Arial" w:cs="Arial" w:eastAsia="Arial" w:hAnsi="Arial"/>
          <w:sz w:val="20"/>
          <w:szCs w:val="20"/>
          <w:i w:val="1"/>
          <w:iCs w:val="1"/>
          <w:color w:val="auto"/>
        </w:rPr>
        <w:t xml:space="preserve"> </w:t>
      </w:r>
      <w:r>
        <w:rPr>
          <w:rFonts w:ascii="Arial" w:cs="Arial" w:eastAsia="Arial" w:hAnsi="Arial"/>
          <w:sz w:val="20"/>
          <w:szCs w:val="20"/>
          <w:color w:val="auto"/>
        </w:rPr>
        <w:t>utilized to evaluate our operating performance.</w:t>
      </w:r>
    </w:p>
    <w:p>
      <w:pPr>
        <w:spacing w:after="0" w:line="190" w:lineRule="exact"/>
        <w:rPr>
          <w:rFonts w:ascii="Arial" w:cs="Arial" w:eastAsia="Arial" w:hAnsi="Arial"/>
          <w:sz w:val="20"/>
          <w:szCs w:val="20"/>
          <w:i w:val="1"/>
          <w:iCs w:val="1"/>
          <w:color w:val="auto"/>
        </w:rPr>
      </w:pPr>
    </w:p>
    <w:p>
      <w:pPr>
        <w:jc w:val="both"/>
        <w:ind w:left="660"/>
        <w:spacing w:after="0" w:line="243" w:lineRule="auto"/>
        <w:rPr>
          <w:rFonts w:ascii="Arial" w:cs="Arial" w:eastAsia="Arial" w:hAnsi="Arial"/>
          <w:sz w:val="20"/>
          <w:szCs w:val="20"/>
          <w:i w:val="1"/>
          <w:iCs w:val="1"/>
          <w:color w:val="auto"/>
        </w:rPr>
      </w:pPr>
      <w:r>
        <w:rPr>
          <w:rFonts w:ascii="Arial" w:cs="Arial" w:eastAsia="Arial" w:hAnsi="Arial"/>
          <w:sz w:val="20"/>
          <w:szCs w:val="20"/>
          <w:color w:val="auto"/>
        </w:rPr>
        <w:t>Restaurant-level operating margin is widely regarded in the industry as a useful metric to evaluate restaurant level operating efficiency and performance of ongoing restaurant-level operations, and we use it for these purposes, overall and particularly within our two segments. Our restaurant-level operating margin is expressed as the percentage of our Restaurant sales that Cost of sales, Labor and other related and Other restaurant operating (including advertising expenses) represent, in each case as such items are reflected in our Consolidated Statements of Operations. The following categories of our revenue and operating expenses are not included in restaurant-level operating margin because we do not consider them reflective of operating performance at the restaurant-level within a period:</w:t>
      </w:r>
    </w:p>
    <w:p>
      <w:pPr>
        <w:spacing w:after="0" w:line="206" w:lineRule="exact"/>
        <w:rPr>
          <w:rFonts w:ascii="Arial" w:cs="Arial" w:eastAsia="Arial" w:hAnsi="Arial"/>
          <w:sz w:val="20"/>
          <w:szCs w:val="20"/>
          <w:i w:val="1"/>
          <w:iCs w:val="1"/>
          <w:color w:val="auto"/>
        </w:rPr>
      </w:pPr>
    </w:p>
    <w:p>
      <w:pPr>
        <w:ind w:left="1300" w:hanging="644"/>
        <w:spacing w:after="0" w:line="247" w:lineRule="auto"/>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Franchise and other revenues which are earned primarily from franchise royalties and other non-food and beverage revenue streams, such as rental and sublease income.</w:t>
      </w:r>
    </w:p>
    <w:p>
      <w:pPr>
        <w:spacing w:after="0" w:line="1" w:lineRule="exact"/>
        <w:rPr>
          <w:rFonts w:ascii="Arial" w:cs="Arial" w:eastAsia="Arial" w:hAnsi="Arial"/>
          <w:sz w:val="20"/>
          <w:szCs w:val="20"/>
          <w:color w:val="auto"/>
        </w:rPr>
      </w:pPr>
    </w:p>
    <w:p>
      <w:pPr>
        <w:ind w:left="1300" w:hanging="644"/>
        <w:spacing w:after="0" w:line="239" w:lineRule="auto"/>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Depreciation and amortization which, although substantially all of which is related to restaurant-level assets, represent historical sunk costs rather than cash outlays for the restaurants.</w:t>
      </w:r>
    </w:p>
    <w:p>
      <w:pPr>
        <w:ind w:left="1300" w:right="20" w:hanging="644"/>
        <w:spacing w:after="0" w:line="239" w:lineRule="auto"/>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General and administrative expense which includes primarily non-restaurant-level costs associated with support of the restaurants and other activities at our corporate offices.</w:t>
      </w:r>
    </w:p>
    <w:p>
      <w:pPr>
        <w:ind w:left="1300" w:hanging="644"/>
        <w:spacing w:after="0" w:line="244" w:lineRule="auto"/>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Asset impairment charges and restaurant closing costs which are not reflective of ongoing restaurant performance in a period.</w:t>
      </w:r>
    </w:p>
    <w:p>
      <w:pPr>
        <w:spacing w:after="0" w:line="205" w:lineRule="exact"/>
        <w:rPr>
          <w:sz w:val="20"/>
          <w:szCs w:val="20"/>
          <w:color w:val="auto"/>
        </w:rPr>
      </w:pPr>
    </w:p>
    <w:p>
      <w:pPr>
        <w:jc w:val="both"/>
        <w:ind w:left="660"/>
        <w:spacing w:after="0" w:line="260" w:lineRule="auto"/>
        <w:rPr>
          <w:sz w:val="20"/>
          <w:szCs w:val="20"/>
          <w:color w:val="auto"/>
        </w:rPr>
      </w:pPr>
      <w:r>
        <w:rPr>
          <w:rFonts w:ascii="Arial" w:cs="Arial" w:eastAsia="Arial" w:hAnsi="Arial"/>
          <w:sz w:val="19"/>
          <w:szCs w:val="19"/>
          <w:color w:val="auto"/>
        </w:rPr>
        <w:t>Restaurant-level operating margin excludes various expenses, as discussed above, that are essential to support the operations of our restaurants and may materially impact our Consolidated Statement of Operations. As a result, restaurant-level operating margin is not indicative of our consolidated results of operations and is presented exclusively as a supplement to, and not a substitute for, Net income or Income from operations. In addition, our presentation of restaurant-level operating margin may not be comparable to similarly titled measures used by other companies in our industry;</w:t>
      </w:r>
    </w:p>
    <w:p>
      <w:pPr>
        <w:spacing w:after="0" w:line="194" w:lineRule="exact"/>
        <w:rPr>
          <w:sz w:val="20"/>
          <w:szCs w:val="20"/>
          <w:color w:val="auto"/>
        </w:rPr>
      </w:pPr>
    </w:p>
    <w:p>
      <w:pPr>
        <w:ind w:left="660" w:right="20" w:hanging="328"/>
        <w:spacing w:after="0" w:line="260" w:lineRule="auto"/>
        <w:tabs>
          <w:tab w:leader="none" w:pos="660" w:val="left"/>
        </w:tabs>
        <w:numPr>
          <w:ilvl w:val="0"/>
          <w:numId w:val="26"/>
        </w:numPr>
        <w:rPr>
          <w:rFonts w:ascii="Arial" w:cs="Arial" w:eastAsia="Arial" w:hAnsi="Arial"/>
          <w:sz w:val="20"/>
          <w:szCs w:val="20"/>
          <w:i w:val="1"/>
          <w:iCs w:val="1"/>
          <w:color w:val="auto"/>
        </w:rPr>
      </w:pPr>
      <w:r>
        <w:rPr>
          <w:rFonts w:ascii="Arial" w:cs="Arial" w:eastAsia="Arial" w:hAnsi="Arial"/>
          <w:sz w:val="20"/>
          <w:szCs w:val="20"/>
          <w:i w:val="1"/>
          <w:iCs w:val="1"/>
          <w:color w:val="auto"/>
        </w:rPr>
        <w:t>Adjusted restaurant-level operating margin, Adjusted income from operations, Adjusted net income and Adjusted diluted earnings per share</w:t>
      </w:r>
      <w:r>
        <w:rPr>
          <w:rFonts w:ascii="Arial" w:cs="Arial" w:eastAsia="Arial" w:hAnsi="Arial"/>
          <w:sz w:val="20"/>
          <w:szCs w:val="20"/>
          <w:color w:val="auto"/>
        </w:rPr>
        <w:t>—non-GAAP financial measures utilized to evaluate our operating performance.</w:t>
      </w:r>
    </w:p>
    <w:p>
      <w:pPr>
        <w:spacing w:after="0" w:line="190" w:lineRule="exact"/>
        <w:rPr>
          <w:rFonts w:ascii="Arial" w:cs="Arial" w:eastAsia="Arial" w:hAnsi="Arial"/>
          <w:sz w:val="20"/>
          <w:szCs w:val="20"/>
          <w:i w:val="1"/>
          <w:iCs w:val="1"/>
          <w:color w:val="auto"/>
        </w:rPr>
      </w:pPr>
    </w:p>
    <w:p>
      <w:pPr>
        <w:jc w:val="both"/>
        <w:ind w:left="660"/>
        <w:spacing w:after="0" w:line="246" w:lineRule="auto"/>
        <w:rPr>
          <w:rFonts w:ascii="Arial" w:cs="Arial" w:eastAsia="Arial" w:hAnsi="Arial"/>
          <w:sz w:val="20"/>
          <w:szCs w:val="20"/>
          <w:i w:val="1"/>
          <w:iCs w:val="1"/>
          <w:color w:val="auto"/>
        </w:rPr>
      </w:pPr>
      <w:r>
        <w:rPr>
          <w:rFonts w:ascii="Arial" w:cs="Arial" w:eastAsia="Arial" w:hAnsi="Arial"/>
          <w:sz w:val="20"/>
          <w:szCs w:val="20"/>
          <w:color w:val="auto"/>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jc w:val="both"/>
        <w:ind w:left="660"/>
        <w:spacing w:after="0" w:line="328" w:lineRule="auto"/>
        <w:rPr>
          <w:sz w:val="20"/>
          <w:szCs w:val="20"/>
          <w:color w:val="auto"/>
        </w:rPr>
      </w:pPr>
      <w:r>
        <w:rPr>
          <w:rFonts w:ascii="Arial" w:cs="Arial" w:eastAsia="Arial" w:hAnsi="Arial"/>
          <w:sz w:val="16"/>
          <w:szCs w:val="16"/>
          <w:color w:val="auto"/>
        </w:rPr>
        <w:t>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of Directors (the “Board”) evaluate our operating performance, allocate resources and administer employee incentive plans; and</w:t>
      </w:r>
    </w:p>
    <w:p>
      <w:pPr>
        <w:spacing w:after="0" w:line="14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i w:val="1"/>
          <w:iCs w:val="1"/>
          <w:color w:val="auto"/>
        </w:rPr>
        <w:t>Customer satisfaction scores</w:t>
      </w:r>
      <w:r>
        <w:rPr>
          <w:rFonts w:ascii="Arial" w:cs="Arial" w:eastAsia="Arial" w:hAnsi="Arial"/>
          <w:sz w:val="20"/>
          <w:szCs w:val="20"/>
          <w:color w:val="auto"/>
        </w:rPr>
        <w:t>—measurement of our customers’ experiences in a variety of key areas.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Selected Operating Data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presents the number of our restaurants in operation as of the periods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tcPr>
          <w:p>
            <w:pPr>
              <w:ind w:left="40"/>
              <w:spacing w:after="0"/>
              <w:rPr>
                <w:sz w:val="20"/>
                <w:szCs w:val="20"/>
                <w:color w:val="auto"/>
              </w:rPr>
            </w:pPr>
            <w:r>
              <w:rPr>
                <w:rFonts w:ascii="Arial" w:cs="Arial" w:eastAsia="Arial" w:hAnsi="Arial"/>
                <w:sz w:val="16"/>
                <w:szCs w:val="16"/>
                <w:b w:val="1"/>
                <w:bCs w:val="1"/>
                <w:color w:val="auto"/>
              </w:rPr>
              <w:t>Number of restaurants (at end of the period):</w:t>
            </w:r>
          </w:p>
        </w:tc>
        <w:tc>
          <w:tcPr>
            <w:tcW w:w="202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29, 2020</w:t>
            </w:r>
          </w:p>
        </w:tc>
        <w:tc>
          <w:tcPr>
            <w:tcW w:w="1900" w:type="dxa"/>
            <w:vAlign w:val="bottom"/>
          </w:tcPr>
          <w:p>
            <w:pPr>
              <w:jc w:val="right"/>
              <w:ind w:right="319"/>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6"/>
                <w:szCs w:val="16"/>
                <w:color w:val="auto"/>
              </w:rPr>
              <w:t>Outback Steakhouse</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Franchised</w:t>
            </w: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tcPr>
          <w:p>
            <w:pPr>
              <w:spacing w:after="0"/>
              <w:rPr>
                <w:sz w:val="23"/>
                <w:szCs w:val="23"/>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720</w:t>
            </w: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231"/>
        </w:trPr>
        <w:tc>
          <w:tcPr>
            <w:tcW w:w="7320" w:type="dxa"/>
            <w:vAlign w:val="bottom"/>
          </w:tcPr>
          <w:p>
            <w:pPr>
              <w:ind w:left="180"/>
              <w:spacing w:after="0"/>
              <w:rPr>
                <w:sz w:val="20"/>
                <w:szCs w:val="20"/>
                <w:color w:val="auto"/>
              </w:rPr>
            </w:pPr>
            <w:r>
              <w:rPr>
                <w:rFonts w:ascii="Arial" w:cs="Arial" w:eastAsia="Arial" w:hAnsi="Arial"/>
                <w:sz w:val="16"/>
                <w:szCs w:val="16"/>
                <w:color w:val="auto"/>
              </w:rPr>
              <w:t>Carrabba’s Italian Grill</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Franchised</w:t>
            </w: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23"/>
                <w:szCs w:val="23"/>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30"/>
        </w:trPr>
        <w:tc>
          <w:tcPr>
            <w:tcW w:w="7320" w:type="dxa"/>
            <w:vAlign w:val="bottom"/>
          </w:tcPr>
          <w:p>
            <w:pPr>
              <w:ind w:left="180"/>
              <w:spacing w:after="0"/>
              <w:rPr>
                <w:sz w:val="20"/>
                <w:szCs w:val="20"/>
                <w:color w:val="auto"/>
              </w:rPr>
            </w:pPr>
            <w:r>
              <w:rPr>
                <w:rFonts w:ascii="Arial" w:cs="Arial" w:eastAsia="Arial" w:hAnsi="Arial"/>
                <w:sz w:val="16"/>
                <w:szCs w:val="16"/>
                <w:color w:val="auto"/>
              </w:rPr>
              <w:t>Bonefish Grill</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Franchised</w:t>
            </w: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23"/>
                <w:szCs w:val="23"/>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30"/>
        </w:trPr>
        <w:tc>
          <w:tcPr>
            <w:tcW w:w="7320" w:type="dxa"/>
            <w:vAlign w:val="bottom"/>
          </w:tcPr>
          <w:p>
            <w:pPr>
              <w:ind w:left="180"/>
              <w:spacing w:after="0"/>
              <w:rPr>
                <w:sz w:val="20"/>
                <w:szCs w:val="20"/>
                <w:color w:val="auto"/>
              </w:rPr>
            </w:pPr>
            <w:r>
              <w:rPr>
                <w:rFonts w:ascii="Arial" w:cs="Arial" w:eastAsia="Arial" w:hAnsi="Arial"/>
                <w:sz w:val="16"/>
                <w:szCs w:val="16"/>
                <w:color w:val="auto"/>
              </w:rPr>
              <w:t>Fleming’s Prime Steakhouse &amp; Wine Bar</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rPr>
                <w:sz w:val="20"/>
                <w:szCs w:val="20"/>
                <w:color w:val="auto"/>
              </w:rPr>
            </w:pPr>
            <w:r>
              <w:rPr>
                <w:rFonts w:ascii="Arial" w:cs="Arial" w:eastAsia="Arial" w:hAnsi="Arial"/>
                <w:sz w:val="16"/>
                <w:szCs w:val="16"/>
                <w:color w:val="auto"/>
              </w:rPr>
              <w:t>Other</w:t>
            </w: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3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U.S. total</w:t>
            </w:r>
          </w:p>
        </w:tc>
        <w:tc>
          <w:tcPr>
            <w:tcW w:w="1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1,213</w:t>
            </w:r>
          </w:p>
        </w:tc>
        <w:tc>
          <w:tcPr>
            <w:tcW w:w="120" w:type="dxa"/>
            <w:vAlign w:val="bottom"/>
            <w:tcBorders>
              <w:top w:val="single" w:sz="8" w:color="CCEEFF"/>
            </w:tcBorders>
          </w:tcPr>
          <w:p>
            <w:pPr>
              <w:spacing w:after="0"/>
              <w:rPr>
                <w:sz w:val="18"/>
                <w:szCs w:val="18"/>
                <w:color w:val="auto"/>
              </w:rPr>
            </w:pPr>
          </w:p>
        </w:tc>
        <w:tc>
          <w:tcPr>
            <w:tcW w:w="1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1,226</w:t>
            </w:r>
          </w:p>
        </w:tc>
        <w:tc>
          <w:tcPr>
            <w:tcW w:w="0" w:type="dxa"/>
            <w:vAlign w:val="bottom"/>
          </w:tcPr>
          <w:p>
            <w:pPr>
              <w:spacing w:after="0"/>
              <w:rPr>
                <w:sz w:val="1"/>
                <w:szCs w:val="1"/>
                <w:color w:val="auto"/>
              </w:rPr>
            </w:pPr>
          </w:p>
        </w:tc>
      </w:tr>
      <w:tr>
        <w:trPr>
          <w:trHeight w:val="40"/>
        </w:trPr>
        <w:tc>
          <w:tcPr>
            <w:tcW w:w="7320" w:type="dxa"/>
            <w:vAlign w:val="bottom"/>
            <w:tcBorders>
              <w:bottom w:val="single" w:sz="8" w:color="CCEEFF"/>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6"/>
                <w:szCs w:val="16"/>
                <w:color w:val="auto"/>
              </w:rPr>
              <w:t>Company-owned</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3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Outback Steakhouse - Brazil (1)</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37"/>
        </w:trPr>
        <w:tc>
          <w:tcPr>
            <w:tcW w:w="7320" w:type="dxa"/>
            <w:vAlign w:val="bottom"/>
          </w:tcPr>
          <w:p>
            <w:pPr>
              <w:ind w:left="280"/>
              <w:spacing w:after="0"/>
              <w:rPr>
                <w:sz w:val="20"/>
                <w:szCs w:val="20"/>
                <w:color w:val="auto"/>
              </w:rPr>
            </w:pPr>
            <w:r>
              <w:rPr>
                <w:rFonts w:ascii="Arial" w:cs="Arial" w:eastAsia="Arial" w:hAnsi="Arial"/>
                <w:sz w:val="16"/>
                <w:szCs w:val="16"/>
                <w:color w:val="auto"/>
              </w:rPr>
              <w:t>Other</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Franchised</w:t>
            </w: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280"/>
              <w:spacing w:after="0"/>
              <w:rPr>
                <w:sz w:val="20"/>
                <w:szCs w:val="20"/>
                <w:color w:val="auto"/>
              </w:rPr>
            </w:pPr>
            <w:r>
              <w:rPr>
                <w:rFonts w:ascii="Arial" w:cs="Arial" w:eastAsia="Arial" w:hAnsi="Arial"/>
                <w:sz w:val="16"/>
                <w:szCs w:val="16"/>
                <w:color w:val="auto"/>
              </w:rPr>
              <w:t>Outback Steakhouse - South Korea</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1"/>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International total</w:t>
            </w:r>
          </w:p>
        </w:tc>
        <w:tc>
          <w:tcPr>
            <w:tcW w:w="1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259</w:t>
            </w:r>
          </w:p>
        </w:tc>
        <w:tc>
          <w:tcPr>
            <w:tcW w:w="120" w:type="dxa"/>
            <w:vAlign w:val="bottom"/>
            <w:tcBorders>
              <w:top w:val="single" w:sz="8" w:color="CCEEFF"/>
            </w:tcBorders>
          </w:tcPr>
          <w:p>
            <w:pPr>
              <w:spacing w:after="0"/>
              <w:rPr>
                <w:sz w:val="18"/>
                <w:szCs w:val="18"/>
                <w:color w:val="auto"/>
              </w:rPr>
            </w:pPr>
          </w:p>
        </w:tc>
        <w:tc>
          <w:tcPr>
            <w:tcW w:w="1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40"/>
        </w:trPr>
        <w:tc>
          <w:tcPr>
            <w:tcW w:w="7320" w:type="dxa"/>
            <w:vAlign w:val="bottom"/>
            <w:tcBorders>
              <w:bottom w:val="single" w:sz="8" w:color="CCEEFF"/>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System-wide total</w:t>
            </w:r>
          </w:p>
        </w:tc>
        <w:tc>
          <w:tcPr>
            <w:tcW w:w="1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1,472</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1,481</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320" w:type="dxa"/>
            <w:vAlign w:val="bottom"/>
            <w:vMerge w:val="continue"/>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57"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restaurant counts for Brazil are reported as of February 29, 2020 and February 28, 2019, respectively, to correspond with the balance sheet dates of this subsidiary.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sets forth, for the periods indicated, the percentages of certain items in our Consolidated Statements of Operations in relation to Total revenues or Restaurant sales, as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40" w:type="dxa"/>
            <w:vAlign w:val="bottom"/>
          </w:tcPr>
          <w:p>
            <w:pPr>
              <w:spacing w:after="0"/>
              <w:rPr>
                <w:sz w:val="17"/>
                <w:szCs w:val="17"/>
                <w:color w:val="auto"/>
              </w:rPr>
            </w:pPr>
          </w:p>
        </w:tc>
        <w:tc>
          <w:tcPr>
            <w:tcW w:w="320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THIRTEEN WEEKS ENDED</w:t>
            </w:r>
          </w:p>
        </w:tc>
      </w:tr>
      <w:tr>
        <w:trPr>
          <w:trHeight w:val="263"/>
        </w:trPr>
        <w:tc>
          <w:tcPr>
            <w:tcW w:w="8040" w:type="dxa"/>
            <w:vAlign w:val="bottom"/>
          </w:tcPr>
          <w:p>
            <w:pPr>
              <w:spacing w:after="0"/>
              <w:rPr>
                <w:sz w:val="22"/>
                <w:szCs w:val="22"/>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29, 2020</w:t>
            </w:r>
          </w:p>
        </w:tc>
        <w:tc>
          <w:tcPr>
            <w:tcW w:w="1540" w:type="dxa"/>
            <w:vAlign w:val="bottom"/>
          </w:tcPr>
          <w:p>
            <w:pPr>
              <w:jc w:val="right"/>
              <w:ind w:right="140"/>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8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04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1560" w:type="dxa"/>
            <w:vAlign w:val="bottom"/>
          </w:tcPr>
          <w:p>
            <w:pPr>
              <w:jc w:val="right"/>
              <w:spacing w:after="0"/>
              <w:rPr>
                <w:sz w:val="20"/>
                <w:szCs w:val="20"/>
                <w:color w:val="auto"/>
              </w:rPr>
            </w:pPr>
            <w:r>
              <w:rPr>
                <w:rFonts w:ascii="Arial" w:cs="Arial" w:eastAsia="Arial" w:hAnsi="Arial"/>
                <w:sz w:val="16"/>
                <w:szCs w:val="16"/>
                <w:color w:val="auto"/>
              </w:rPr>
              <w:t>98.8 %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98.5 %</w:t>
            </w:r>
          </w:p>
        </w:tc>
      </w:tr>
      <w:tr>
        <w:trPr>
          <w:trHeight w:val="33"/>
        </w:trPr>
        <w:tc>
          <w:tcPr>
            <w:tcW w:w="8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63"/>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15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r>
      <w:tr>
        <w:trPr>
          <w:trHeight w:val="224"/>
        </w:trPr>
        <w:tc>
          <w:tcPr>
            <w:tcW w:w="8040" w:type="dxa"/>
            <w:vAlign w:val="bottom"/>
          </w:tcPr>
          <w:p>
            <w:pPr>
              <w:ind w:left="820"/>
              <w:spacing w:after="0"/>
              <w:rPr>
                <w:sz w:val="20"/>
                <w:szCs w:val="20"/>
                <w:color w:val="auto"/>
              </w:rPr>
            </w:pPr>
            <w:r>
              <w:rPr>
                <w:rFonts w:ascii="Arial" w:cs="Arial" w:eastAsia="Arial" w:hAnsi="Arial"/>
                <w:sz w:val="16"/>
                <w:szCs w:val="16"/>
                <w:color w:val="auto"/>
              </w:rPr>
              <w:t>Total revenues</w:t>
            </w: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100.0</w:t>
            </w:r>
          </w:p>
        </w:tc>
      </w:tr>
      <w:tr>
        <w:trPr>
          <w:trHeight w:val="33"/>
        </w:trPr>
        <w:tc>
          <w:tcPr>
            <w:tcW w:w="8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8040" w:type="dxa"/>
            <w:vAlign w:val="bottom"/>
          </w:tcPr>
          <w:p>
            <w:pPr>
              <w:ind w:left="180"/>
              <w:spacing w:after="0"/>
              <w:rPr>
                <w:sz w:val="20"/>
                <w:szCs w:val="20"/>
                <w:color w:val="auto"/>
              </w:rPr>
            </w:pPr>
            <w:r>
              <w:rPr>
                <w:rFonts w:ascii="Arial" w:cs="Arial" w:eastAsia="Arial" w:hAnsi="Arial"/>
                <w:sz w:val="16"/>
                <w:szCs w:val="16"/>
                <w:color w:val="auto"/>
              </w:rPr>
              <w:t>Cost of sales (1)</w:t>
            </w: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0"/>
                <w:szCs w:val="20"/>
                <w:color w:val="auto"/>
              </w:rPr>
            </w:pP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31.7</w:t>
            </w:r>
          </w:p>
        </w:tc>
      </w:tr>
      <w:tr>
        <w:trPr>
          <w:trHeight w:val="33"/>
        </w:trPr>
        <w:tc>
          <w:tcPr>
            <w:tcW w:w="8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Labor and other related (1)</w:t>
            </w:r>
          </w:p>
        </w:tc>
        <w:tc>
          <w:tcPr>
            <w:tcW w:w="15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28.7</w:t>
            </w:r>
          </w:p>
        </w:tc>
      </w:tr>
      <w:tr>
        <w:trPr>
          <w:trHeight w:val="237"/>
        </w:trPr>
        <w:tc>
          <w:tcPr>
            <w:tcW w:w="8040" w:type="dxa"/>
            <w:vAlign w:val="bottom"/>
          </w:tcPr>
          <w:p>
            <w:pPr>
              <w:ind w:left="180"/>
              <w:spacing w:after="0"/>
              <w:rPr>
                <w:sz w:val="20"/>
                <w:szCs w:val="20"/>
                <w:color w:val="auto"/>
              </w:rPr>
            </w:pPr>
            <w:r>
              <w:rPr>
                <w:rFonts w:ascii="Arial" w:cs="Arial" w:eastAsia="Arial" w:hAnsi="Arial"/>
                <w:sz w:val="16"/>
                <w:szCs w:val="16"/>
                <w:color w:val="auto"/>
              </w:rPr>
              <w:t>Other restaurant operating (1)</w:t>
            </w: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0"/>
                <w:szCs w:val="20"/>
                <w:color w:val="auto"/>
              </w:rPr>
            </w:pP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22.6</w:t>
            </w:r>
          </w:p>
        </w:tc>
      </w:tr>
      <w:tr>
        <w:trPr>
          <w:trHeight w:val="33"/>
        </w:trPr>
        <w:tc>
          <w:tcPr>
            <w:tcW w:w="8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15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4.4</w:t>
            </w:r>
          </w:p>
        </w:tc>
      </w:tr>
      <w:tr>
        <w:trPr>
          <w:trHeight w:val="237"/>
        </w:trPr>
        <w:tc>
          <w:tcPr>
            <w:tcW w:w="804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6.3</w:t>
            </w:r>
          </w:p>
        </w:tc>
      </w:tr>
      <w:tr>
        <w:trPr>
          <w:trHeight w:val="33"/>
        </w:trPr>
        <w:tc>
          <w:tcPr>
            <w:tcW w:w="8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63"/>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impaired assets and restaurant closings</w:t>
            </w:r>
          </w:p>
        </w:tc>
        <w:tc>
          <w:tcPr>
            <w:tcW w:w="15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0.3</w:t>
            </w:r>
          </w:p>
        </w:tc>
      </w:tr>
      <w:tr>
        <w:trPr>
          <w:trHeight w:val="270"/>
        </w:trPr>
        <w:tc>
          <w:tcPr>
            <w:tcW w:w="804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costs and expenses</w:t>
            </w:r>
          </w:p>
        </w:tc>
        <w:tc>
          <w:tcPr>
            <w:tcW w:w="15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104.1</w:t>
            </w:r>
          </w:p>
        </w:tc>
        <w:tc>
          <w:tcPr>
            <w:tcW w:w="10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92.7</w:t>
            </w:r>
          </w:p>
        </w:tc>
      </w:tr>
      <w:tr>
        <w:trPr>
          <w:trHeight w:val="217"/>
        </w:trPr>
        <w:tc>
          <w:tcPr>
            <w:tcW w:w="8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income from operations</w:t>
            </w:r>
          </w:p>
        </w:tc>
        <w:tc>
          <w:tcPr>
            <w:tcW w:w="15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7.3</w:t>
            </w:r>
          </w:p>
        </w:tc>
      </w:tr>
      <w:tr>
        <w:trPr>
          <w:trHeight w:val="33"/>
        </w:trPr>
        <w:tc>
          <w:tcPr>
            <w:tcW w:w="80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3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40"/>
        <w:spacing w:after="0"/>
        <w:rPr>
          <w:sz w:val="20"/>
          <w:szCs w:val="20"/>
          <w:color w:val="auto"/>
        </w:rPr>
      </w:pPr>
      <w:r>
        <w:rPr>
          <w:rFonts w:ascii="Arial" w:cs="Arial" w:eastAsia="Arial" w:hAnsi="Arial"/>
          <w:sz w:val="16"/>
          <w:szCs w:val="16"/>
          <w:color w:val="auto"/>
        </w:rPr>
        <w:t>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9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(Loss) income before (benefit)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(Benefit) provision for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Less: net income attributable to noncontrolling interests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 income attributable to Bloomin’ Brands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(0.1)</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100" w:lineRule="exact"/>
        <w:rPr>
          <w:sz w:val="20"/>
          <w:szCs w:val="20"/>
          <w:color w:val="auto"/>
        </w:rPr>
      </w:pPr>
    </w:p>
    <w:p>
      <w:pPr>
        <w:jc w:val="right"/>
        <w:ind w:right="620"/>
        <w:spacing w:after="0"/>
        <w:rPr>
          <w:sz w:val="20"/>
          <w:szCs w:val="20"/>
          <w:color w:val="auto"/>
        </w:rPr>
      </w:pPr>
      <w:r>
        <w:rPr>
          <w:rFonts w:ascii="Arial" w:cs="Arial" w:eastAsia="Arial" w:hAnsi="Arial"/>
          <w:sz w:val="15"/>
          <w:szCs w:val="15"/>
          <w:color w:val="auto"/>
        </w:rPr>
        <w:t>(3.4)</w:t>
      </w:r>
    </w:p>
    <w:p>
      <w:pPr>
        <w:spacing w:after="0" w:line="84" w:lineRule="exact"/>
        <w:rPr>
          <w:sz w:val="20"/>
          <w:szCs w:val="20"/>
          <w:color w:val="auto"/>
        </w:rPr>
      </w:pPr>
    </w:p>
    <w:p>
      <w:pPr>
        <w:jc w:val="right"/>
        <w:ind w:right="680"/>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49530</wp:posOffset>
            </wp:positionV>
            <wp:extent cx="985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6"/>
          <w:szCs w:val="16"/>
          <w:color w:val="auto"/>
        </w:rPr>
        <w: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6.3</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0.5</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5.8</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0.1</w:t>
      </w:r>
    </w:p>
    <w:p>
      <w:pPr>
        <w:spacing w:after="0" w:line="10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34925</wp:posOffset>
            </wp:positionV>
            <wp:extent cx="9772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3">
            <w:col w:w="8400" w:space="720"/>
            <w:col w:w="940" w:space="720"/>
            <w:col w:w="460"/>
          </w:cols>
          <w:pgMar w:left="320" w:top="121" w:right="339" w:bottom="1440" w:gutter="0" w:footer="0" w:header="0"/>
          <w:type w:val="continuous"/>
        </w:sectPr>
      </w:pPr>
    </w:p>
    <w:p>
      <w:pPr>
        <w:spacing w:after="0"/>
        <w:rPr>
          <w:sz w:val="20"/>
          <w:szCs w:val="20"/>
          <w:color w:val="auto"/>
        </w:rPr>
      </w:pPr>
      <w:r>
        <w:rPr>
          <w:rFonts w:ascii="Arial" w:cs="Arial" w:eastAsia="Arial" w:hAnsi="Arial"/>
          <w:sz w:val="20"/>
          <w:szCs w:val="20"/>
          <w:color w:val="auto"/>
        </w:rPr>
        <w:t>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-143510</wp:posOffset>
            </wp:positionV>
            <wp:extent cx="20313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ind w:left="660" w:hanging="652"/>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a percentage of Restaurant sales.</w:t>
      </w:r>
    </w:p>
    <w:p>
      <w:pPr>
        <w:ind w:left="660" w:hanging="652"/>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Less than 1/10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of one percent of Total revenues.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Restaurant sales for the period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THIRTEEN WEEKS ENDED</w:t>
            </w:r>
          </w:p>
        </w:tc>
      </w:tr>
      <w:tr>
        <w:trPr>
          <w:trHeight w:val="23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 ended March 31, 2019</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1,111.6</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3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37"/>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Comparable restaurant sales</w:t>
            </w:r>
          </w:p>
        </w:tc>
        <w:tc>
          <w:tcPr>
            <w:tcW w:w="3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w:t>
            </w:r>
          </w:p>
        </w:tc>
      </w:tr>
      <w:tr>
        <w:trPr>
          <w:trHeight w:val="223"/>
        </w:trPr>
        <w:tc>
          <w:tcPr>
            <w:tcW w:w="8440" w:type="dxa"/>
            <w:vAlign w:val="bottom"/>
          </w:tcPr>
          <w:p>
            <w:pPr>
              <w:ind w:left="380"/>
              <w:spacing w:after="0"/>
              <w:rPr>
                <w:sz w:val="20"/>
                <w:szCs w:val="20"/>
                <w:color w:val="auto"/>
              </w:rPr>
            </w:pPr>
            <w:r>
              <w:rPr>
                <w:rFonts w:ascii="Arial" w:cs="Arial" w:eastAsia="Arial" w:hAnsi="Arial"/>
                <w:sz w:val="16"/>
                <w:szCs w:val="16"/>
                <w:color w:val="auto"/>
              </w:rPr>
              <w:t>Divestiture of restaurants through refranchising transactions</w:t>
            </w:r>
          </w:p>
        </w:tc>
        <w:tc>
          <w:tcPr>
            <w:tcW w:w="30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37"/>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foreign currency translation</w:t>
            </w:r>
          </w:p>
        </w:tc>
        <w:tc>
          <w:tcPr>
            <w:tcW w:w="3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23"/>
        </w:trPr>
        <w:tc>
          <w:tcPr>
            <w:tcW w:w="8440" w:type="dxa"/>
            <w:vAlign w:val="bottom"/>
          </w:tcPr>
          <w:p>
            <w:pPr>
              <w:ind w:left="380"/>
              <w:spacing w:after="0"/>
              <w:rPr>
                <w:sz w:val="20"/>
                <w:szCs w:val="20"/>
                <w:color w:val="auto"/>
              </w:rPr>
            </w:pPr>
            <w:r>
              <w:rPr>
                <w:rFonts w:ascii="Arial" w:cs="Arial" w:eastAsia="Arial" w:hAnsi="Arial"/>
                <w:sz w:val="16"/>
                <w:szCs w:val="16"/>
                <w:color w:val="auto"/>
              </w:rPr>
              <w:t>Restaurant closures</w:t>
            </w:r>
          </w:p>
        </w:tc>
        <w:tc>
          <w:tcPr>
            <w:tcW w:w="30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Restaurant openings</w:t>
            </w:r>
          </w:p>
        </w:tc>
        <w:tc>
          <w:tcPr>
            <w:tcW w:w="300" w:type="dxa"/>
            <w:vAlign w:val="bottom"/>
            <w:tcBorders>
              <w:bottom w:val="single" w:sz="8" w:color="auto"/>
            </w:tcBorders>
            <w:shd w:val="clear" w:color="auto" w:fill="CCEEFF"/>
          </w:tcPr>
          <w:p>
            <w:pPr>
              <w:spacing w:after="0"/>
              <w:rPr>
                <w:sz w:val="22"/>
                <w:szCs w:val="22"/>
                <w:color w:val="auto"/>
              </w:rPr>
            </w:pPr>
          </w:p>
        </w:tc>
        <w:tc>
          <w:tcPr>
            <w:tcW w:w="2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12.1</w:t>
            </w:r>
          </w:p>
        </w:tc>
      </w:tr>
      <w:tr>
        <w:trPr>
          <w:trHeight w:val="250"/>
        </w:trPr>
        <w:tc>
          <w:tcPr>
            <w:tcW w:w="8440" w:type="dxa"/>
            <w:vAlign w:val="bottom"/>
          </w:tcPr>
          <w:p>
            <w:pPr>
              <w:ind w:left="40"/>
              <w:spacing w:after="0"/>
              <w:rPr>
                <w:sz w:val="20"/>
                <w:szCs w:val="20"/>
                <w:color w:val="auto"/>
              </w:rPr>
            </w:pPr>
            <w:r>
              <w:rPr>
                <w:rFonts w:ascii="Arial" w:cs="Arial" w:eastAsia="Arial" w:hAnsi="Arial"/>
                <w:sz w:val="16"/>
                <w:szCs w:val="16"/>
                <w:color w:val="auto"/>
              </w:rPr>
              <w:t>For the period ended March 29, 2020</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996.2</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Restaurant sales during the thirteen weeks ended March 29, 2020 was primarily due to: (i) lower U.S. comparable restaurant sales, (ii) domestic refranchising, (iii) the effect of foreign currency translation of the Brazilian Real relative to the U.S. dollar and (iv) the closing of 24 restaurants since December 30, 2018. The decrease in Restaurant sales was partially offset by the opening of 24 new restaurants not included in our comparable restaurant sales base.</w:t>
      </w:r>
    </w:p>
    <w:p>
      <w:pPr>
        <w:sectPr>
          <w:pgSz w:w="11900" w:h="16838" w:orient="portrait"/>
          <w:cols w:equalWidth="0" w:num="1">
            <w:col w:w="11240"/>
          </w:cols>
          <w:pgMar w:left="320" w:top="121" w:right="339" w:bottom="1440" w:gutter="0" w:footer="0" w:header="0"/>
          <w:type w:val="continuous"/>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Comparable Restaurant Sales, Traffic and Average Check Per Person Increases (Decreases)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comparable restaurant sales, traffic and average check per person increases (decreases), for the periods indicated:</w:t>
      </w:r>
    </w:p>
    <w:p>
      <w:pPr>
        <w:spacing w:after="0" w:line="256"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23495</wp:posOffset>
            </wp:positionV>
            <wp:extent cx="20402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40255"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20" w:type="dxa"/>
            <w:vAlign w:val="bottom"/>
          </w:tcPr>
          <w:p>
            <w:pPr>
              <w:spacing w:after="0"/>
              <w:rPr>
                <w:sz w:val="17"/>
                <w:szCs w:val="17"/>
                <w:color w:val="auto"/>
              </w:rPr>
            </w:pPr>
          </w:p>
        </w:tc>
        <w:tc>
          <w:tcPr>
            <w:tcW w:w="166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29, 2020</w:t>
            </w:r>
          </w:p>
        </w:tc>
        <w:tc>
          <w:tcPr>
            <w:tcW w:w="1560" w:type="dxa"/>
            <w:vAlign w:val="bottom"/>
          </w:tcPr>
          <w:p>
            <w:pPr>
              <w:jc w:val="right"/>
              <w:ind w:right="139"/>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8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 over year percentage change:</w:t>
            </w: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020" w:type="dxa"/>
            <w:vAlign w:val="bottom"/>
          </w:tcPr>
          <w:p>
            <w:pPr>
              <w:ind w:left="180"/>
              <w:spacing w:after="0"/>
              <w:rPr>
                <w:sz w:val="20"/>
                <w:szCs w:val="20"/>
                <w:color w:val="auto"/>
              </w:rPr>
            </w:pPr>
            <w:r>
              <w:rPr>
                <w:rFonts w:ascii="Arial" w:cs="Arial" w:eastAsia="Arial" w:hAnsi="Arial"/>
                <w:sz w:val="16"/>
                <w:szCs w:val="16"/>
                <w:color w:val="auto"/>
              </w:rPr>
              <w:t>Comparable restaurant sales (stores open 18 months or more):</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(1)</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8020" w:type="dxa"/>
            <w:vAlign w:val="bottom"/>
          </w:tcPr>
          <w:p>
            <w:pPr>
              <w:ind w:left="380"/>
              <w:spacing w:after="0"/>
              <w:rPr>
                <w:sz w:val="20"/>
                <w:szCs w:val="20"/>
                <w:color w:val="auto"/>
              </w:rPr>
            </w:pPr>
            <w:r>
              <w:rPr>
                <w:rFonts w:ascii="Arial" w:cs="Arial" w:eastAsia="Arial" w:hAnsi="Arial"/>
                <w:sz w:val="16"/>
                <w:szCs w:val="16"/>
                <w:color w:val="auto"/>
              </w:rPr>
              <w:t>Outback Steakhouse</w:t>
            </w:r>
          </w:p>
        </w:tc>
        <w:tc>
          <w:tcPr>
            <w:tcW w:w="156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3.5 %</w:t>
            </w:r>
          </w:p>
        </w:tc>
      </w:tr>
      <w:tr>
        <w:trPr>
          <w:trHeight w:val="33"/>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Carrabba’s Italian Grill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37"/>
        </w:trPr>
        <w:tc>
          <w:tcPr>
            <w:tcW w:w="8020" w:type="dxa"/>
            <w:vAlign w:val="bottom"/>
          </w:tcPr>
          <w:p>
            <w:pPr>
              <w:ind w:left="380"/>
              <w:spacing w:after="0"/>
              <w:rPr>
                <w:sz w:val="20"/>
                <w:szCs w:val="20"/>
                <w:color w:val="auto"/>
              </w:rPr>
            </w:pPr>
            <w:r>
              <w:rPr>
                <w:rFonts w:ascii="Arial" w:cs="Arial" w:eastAsia="Arial" w:hAnsi="Arial"/>
                <w:sz w:val="16"/>
                <w:szCs w:val="16"/>
                <w:color w:val="auto"/>
              </w:rPr>
              <w:t>Bonefish Grill</w:t>
            </w:r>
          </w:p>
        </w:tc>
        <w:tc>
          <w:tcPr>
            <w:tcW w:w="156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33"/>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Fleming’s Prime Steakhouse &amp; Wine Bar</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37"/>
        </w:trPr>
        <w:tc>
          <w:tcPr>
            <w:tcW w:w="8020" w:type="dxa"/>
            <w:vAlign w:val="bottom"/>
          </w:tcPr>
          <w:p>
            <w:pPr>
              <w:ind w:left="380"/>
              <w:spacing w:after="0"/>
              <w:rPr>
                <w:sz w:val="20"/>
                <w:szCs w:val="20"/>
                <w:color w:val="auto"/>
              </w:rPr>
            </w:pPr>
            <w:r>
              <w:rPr>
                <w:rFonts w:ascii="Arial" w:cs="Arial" w:eastAsia="Arial" w:hAnsi="Arial"/>
                <w:sz w:val="16"/>
                <w:szCs w:val="16"/>
                <w:color w:val="auto"/>
              </w:rPr>
              <w:t>Combined U.S.</w:t>
            </w:r>
          </w:p>
        </w:tc>
        <w:tc>
          <w:tcPr>
            <w:tcW w:w="156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2.4 %</w:t>
            </w:r>
          </w:p>
        </w:tc>
      </w:tr>
      <w:tr>
        <w:trPr>
          <w:trHeight w:val="33"/>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8020" w:type="dxa"/>
            <w:vAlign w:val="bottom"/>
          </w:tcPr>
          <w:p>
            <w:pPr>
              <w:ind w:left="380"/>
              <w:spacing w:after="0"/>
              <w:rPr>
                <w:sz w:val="20"/>
                <w:szCs w:val="20"/>
                <w:color w:val="auto"/>
              </w:rPr>
            </w:pPr>
            <w:r>
              <w:rPr>
                <w:rFonts w:ascii="Arial" w:cs="Arial" w:eastAsia="Arial" w:hAnsi="Arial"/>
                <w:sz w:val="16"/>
                <w:szCs w:val="16"/>
                <w:color w:val="auto"/>
              </w:rPr>
              <w:t>Outback Steakhouse - Brazil (2)(3)</w:t>
            </w:r>
          </w:p>
        </w:tc>
        <w:tc>
          <w:tcPr>
            <w:tcW w:w="1560" w:type="dxa"/>
            <w:vAlign w:val="bottom"/>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3.7 %</w:t>
            </w:r>
          </w:p>
        </w:tc>
      </w:tr>
      <w:tr>
        <w:trPr>
          <w:trHeight w:val="33"/>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80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37"/>
        </w:trPr>
        <w:tc>
          <w:tcPr>
            <w:tcW w:w="8020" w:type="dxa"/>
            <w:vAlign w:val="bottom"/>
          </w:tcPr>
          <w:p>
            <w:pPr>
              <w:ind w:left="180"/>
              <w:spacing w:after="0"/>
              <w:rPr>
                <w:sz w:val="20"/>
                <w:szCs w:val="20"/>
                <w:color w:val="auto"/>
              </w:rPr>
            </w:pPr>
            <w:r>
              <w:rPr>
                <w:rFonts w:ascii="Arial" w:cs="Arial" w:eastAsia="Arial" w:hAnsi="Arial"/>
                <w:sz w:val="16"/>
                <w:szCs w:val="16"/>
                <w:color w:val="auto"/>
              </w:rPr>
              <w:t>Traffic:</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8020" w:type="dxa"/>
            <w:vAlign w:val="bottom"/>
          </w:tcPr>
          <w:p>
            <w:pPr>
              <w:ind w:left="380"/>
              <w:spacing w:after="0"/>
              <w:rPr>
                <w:sz w:val="20"/>
                <w:szCs w:val="20"/>
                <w:color w:val="auto"/>
              </w:rPr>
            </w:pPr>
            <w:r>
              <w:rPr>
                <w:rFonts w:ascii="Arial" w:cs="Arial" w:eastAsia="Arial" w:hAnsi="Arial"/>
                <w:sz w:val="16"/>
                <w:szCs w:val="16"/>
                <w:color w:val="auto"/>
              </w:rPr>
              <w:t>Outback Steakhouse</w:t>
            </w:r>
          </w:p>
        </w:tc>
        <w:tc>
          <w:tcPr>
            <w:tcW w:w="156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Carrabba’s Italian Grill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8020" w:type="dxa"/>
            <w:vAlign w:val="bottom"/>
          </w:tcPr>
          <w:p>
            <w:pPr>
              <w:ind w:left="380"/>
              <w:spacing w:after="0"/>
              <w:rPr>
                <w:sz w:val="20"/>
                <w:szCs w:val="20"/>
                <w:color w:val="auto"/>
              </w:rPr>
            </w:pPr>
            <w:r>
              <w:rPr>
                <w:rFonts w:ascii="Arial" w:cs="Arial" w:eastAsia="Arial" w:hAnsi="Arial"/>
                <w:sz w:val="16"/>
                <w:szCs w:val="16"/>
                <w:color w:val="auto"/>
              </w:rPr>
              <w:t>Bonefish Grill</w:t>
            </w:r>
          </w:p>
        </w:tc>
        <w:tc>
          <w:tcPr>
            <w:tcW w:w="156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Fleming’s Prime Steakhouse &amp; Wine Bar</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8020" w:type="dxa"/>
            <w:vAlign w:val="bottom"/>
          </w:tcPr>
          <w:p>
            <w:pPr>
              <w:ind w:left="380"/>
              <w:spacing w:after="0"/>
              <w:rPr>
                <w:sz w:val="20"/>
                <w:szCs w:val="20"/>
                <w:color w:val="auto"/>
              </w:rPr>
            </w:pPr>
            <w:r>
              <w:rPr>
                <w:rFonts w:ascii="Arial" w:cs="Arial" w:eastAsia="Arial" w:hAnsi="Arial"/>
                <w:sz w:val="16"/>
                <w:szCs w:val="16"/>
                <w:color w:val="auto"/>
              </w:rPr>
              <w:t>Combined U.S.</w:t>
            </w:r>
          </w:p>
        </w:tc>
        <w:tc>
          <w:tcPr>
            <w:tcW w:w="156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8020" w:type="dxa"/>
            <w:vAlign w:val="bottom"/>
          </w:tcPr>
          <w:p>
            <w:pPr>
              <w:ind w:left="380"/>
              <w:spacing w:after="0"/>
              <w:rPr>
                <w:sz w:val="20"/>
                <w:szCs w:val="20"/>
                <w:color w:val="auto"/>
              </w:rPr>
            </w:pPr>
            <w:r>
              <w:rPr>
                <w:rFonts w:ascii="Arial" w:cs="Arial" w:eastAsia="Arial" w:hAnsi="Arial"/>
                <w:sz w:val="16"/>
                <w:szCs w:val="16"/>
                <w:color w:val="auto"/>
              </w:rPr>
              <w:t>Outback Steakhouse - Brazil (3)</w:t>
            </w:r>
          </w:p>
        </w:tc>
        <w:tc>
          <w:tcPr>
            <w:tcW w:w="1560" w:type="dxa"/>
            <w:vAlign w:val="bottom"/>
          </w:tcPr>
          <w:p>
            <w:pPr>
              <w:jc w:val="right"/>
              <w:spacing w:after="0"/>
              <w:rPr>
                <w:sz w:val="20"/>
                <w:szCs w:val="20"/>
                <w:color w:val="auto"/>
              </w:rPr>
            </w:pPr>
            <w:r>
              <w:rPr>
                <w:rFonts w:ascii="Arial" w:cs="Arial" w:eastAsia="Arial" w:hAnsi="Arial"/>
                <w:sz w:val="16"/>
                <w:szCs w:val="16"/>
                <w:color w:val="auto"/>
              </w:rPr>
              <w:t>8.4 %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80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37"/>
        </w:trPr>
        <w:tc>
          <w:tcPr>
            <w:tcW w:w="8020" w:type="dxa"/>
            <w:vAlign w:val="bottom"/>
          </w:tcPr>
          <w:p>
            <w:pPr>
              <w:ind w:left="180"/>
              <w:spacing w:after="0"/>
              <w:rPr>
                <w:sz w:val="20"/>
                <w:szCs w:val="20"/>
                <w:color w:val="auto"/>
              </w:rPr>
            </w:pPr>
            <w:r>
              <w:rPr>
                <w:rFonts w:ascii="Arial" w:cs="Arial" w:eastAsia="Arial" w:hAnsi="Arial"/>
                <w:sz w:val="16"/>
                <w:szCs w:val="16"/>
                <w:color w:val="auto"/>
              </w:rPr>
              <w:t>Average check per person (4):</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8020" w:type="dxa"/>
            <w:vAlign w:val="bottom"/>
          </w:tcPr>
          <w:p>
            <w:pPr>
              <w:ind w:left="380"/>
              <w:spacing w:after="0"/>
              <w:rPr>
                <w:sz w:val="20"/>
                <w:szCs w:val="20"/>
                <w:color w:val="auto"/>
              </w:rPr>
            </w:pPr>
            <w:r>
              <w:rPr>
                <w:rFonts w:ascii="Arial" w:cs="Arial" w:eastAsia="Arial" w:hAnsi="Arial"/>
                <w:sz w:val="16"/>
                <w:szCs w:val="16"/>
                <w:color w:val="auto"/>
              </w:rPr>
              <w:t>Outback Steakhouse</w:t>
            </w:r>
          </w:p>
        </w:tc>
        <w:tc>
          <w:tcPr>
            <w:tcW w:w="156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33"/>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Carrabba’s Italian Grill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37"/>
        </w:trPr>
        <w:tc>
          <w:tcPr>
            <w:tcW w:w="8020" w:type="dxa"/>
            <w:vAlign w:val="bottom"/>
          </w:tcPr>
          <w:p>
            <w:pPr>
              <w:ind w:left="380"/>
              <w:spacing w:after="0"/>
              <w:rPr>
                <w:sz w:val="20"/>
                <w:szCs w:val="20"/>
                <w:color w:val="auto"/>
              </w:rPr>
            </w:pPr>
            <w:r>
              <w:rPr>
                <w:rFonts w:ascii="Arial" w:cs="Arial" w:eastAsia="Arial" w:hAnsi="Arial"/>
                <w:sz w:val="16"/>
                <w:szCs w:val="16"/>
                <w:color w:val="auto"/>
              </w:rPr>
              <w:t>Bonefish Grill</w:t>
            </w:r>
          </w:p>
        </w:tc>
        <w:tc>
          <w:tcPr>
            <w:tcW w:w="156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3.8 %</w:t>
            </w:r>
          </w:p>
        </w:tc>
      </w:tr>
      <w:tr>
        <w:trPr>
          <w:trHeight w:val="33"/>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Fleming’s Prime Steakhouse &amp; Wine Bar</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37"/>
        </w:trPr>
        <w:tc>
          <w:tcPr>
            <w:tcW w:w="8020" w:type="dxa"/>
            <w:vAlign w:val="bottom"/>
          </w:tcPr>
          <w:p>
            <w:pPr>
              <w:ind w:left="380"/>
              <w:spacing w:after="0"/>
              <w:rPr>
                <w:sz w:val="20"/>
                <w:szCs w:val="20"/>
                <w:color w:val="auto"/>
              </w:rPr>
            </w:pPr>
            <w:r>
              <w:rPr>
                <w:rFonts w:ascii="Arial" w:cs="Arial" w:eastAsia="Arial" w:hAnsi="Arial"/>
                <w:sz w:val="16"/>
                <w:szCs w:val="16"/>
                <w:color w:val="auto"/>
              </w:rPr>
              <w:t>Combined U.S.</w:t>
            </w:r>
          </w:p>
        </w:tc>
        <w:tc>
          <w:tcPr>
            <w:tcW w:w="1660" w:type="dxa"/>
            <w:vAlign w:val="bottom"/>
            <w:gridSpan w:val="2"/>
          </w:tcPr>
          <w:p>
            <w:pPr>
              <w:ind w:left="1180"/>
              <w:spacing w:after="0"/>
              <w:rPr>
                <w:sz w:val="20"/>
                <w:szCs w:val="20"/>
                <w:color w:val="auto"/>
              </w:rPr>
            </w:pPr>
            <w:r>
              <w:rPr>
                <w:rFonts w:ascii="Arial" w:cs="Arial" w:eastAsia="Arial" w:hAnsi="Arial"/>
                <w:sz w:val="16"/>
                <w:szCs w:val="16"/>
                <w:color w:val="auto"/>
              </w:rPr>
              <w:t>— %</w:t>
            </w:r>
          </w:p>
        </w:tc>
        <w:tc>
          <w:tcPr>
            <w:tcW w:w="1560" w:type="dxa"/>
            <w:vAlign w:val="bottom"/>
          </w:tcPr>
          <w:p>
            <w:pPr>
              <w:jc w:val="right"/>
              <w:spacing w:after="0"/>
              <w:rPr>
                <w:sz w:val="20"/>
                <w:szCs w:val="20"/>
                <w:color w:val="auto"/>
              </w:rPr>
            </w:pPr>
            <w:r>
              <w:rPr>
                <w:rFonts w:ascii="Arial" w:cs="Arial" w:eastAsia="Arial" w:hAnsi="Arial"/>
                <w:sz w:val="16"/>
                <w:szCs w:val="16"/>
                <w:color w:val="auto"/>
              </w:rPr>
              <w:t>3.3 %</w:t>
            </w:r>
          </w:p>
        </w:tc>
      </w:tr>
      <w:tr>
        <w:trPr>
          <w:trHeight w:val="33"/>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8020" w:type="dxa"/>
            <w:vAlign w:val="bottom"/>
          </w:tcPr>
          <w:p>
            <w:pPr>
              <w:ind w:left="380"/>
              <w:spacing w:after="0"/>
              <w:rPr>
                <w:sz w:val="20"/>
                <w:szCs w:val="20"/>
                <w:color w:val="auto"/>
              </w:rPr>
            </w:pPr>
            <w:r>
              <w:rPr>
                <w:rFonts w:ascii="Arial" w:cs="Arial" w:eastAsia="Arial" w:hAnsi="Arial"/>
                <w:sz w:val="16"/>
                <w:szCs w:val="16"/>
                <w:color w:val="auto"/>
              </w:rPr>
              <w:t>Outback Steakhouse - Brazil (3)</w:t>
            </w:r>
          </w:p>
        </w:tc>
        <w:tc>
          <w:tcPr>
            <w:tcW w:w="15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6.5 %</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Relocated restaurants closed more than 60 days are excluded from comparable restaurant sales until at least 18 months after reopening.</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Excludes the effect of fluctuations in foreign currency rates. Includes trading day impact from calendar period reporting.</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Outback Steakhouse Brazil results are reported on a one-month lag and are presented on a calendar basis. Restaurant sales for Brazil during the first fiscal quarter of 2020 (through February 29, 2020) do not include any material impact from the COVID-19 pandemic.</w:t>
      </w:r>
    </w:p>
    <w:p>
      <w:pPr>
        <w:ind w:left="660" w:hanging="652"/>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Average check per person includes the impact of menu pricing changes, product mix and discounts.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Average Restaurant Unit Volumes and Operating Weeks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average restaurant unit volumes and operating weeks,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THIRTEEN WEEKS ENDED</w:t>
            </w:r>
          </w:p>
        </w:tc>
      </w:tr>
      <w:tr>
        <w:trPr>
          <w:trHeight w:val="263"/>
        </w:trPr>
        <w:tc>
          <w:tcPr>
            <w:tcW w:w="8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2020</w:t>
            </w:r>
          </w:p>
        </w:tc>
        <w:tc>
          <w:tcPr>
            <w:tcW w:w="140" w:type="dxa"/>
            <w:vAlign w:val="bottom"/>
          </w:tcPr>
          <w:p>
            <w:pPr>
              <w:spacing w:after="0"/>
              <w:rPr>
                <w:sz w:val="22"/>
                <w:szCs w:val="22"/>
                <w:color w:val="auto"/>
              </w:rPr>
            </w:pPr>
          </w:p>
        </w:tc>
        <w:tc>
          <w:tcPr>
            <w:tcW w:w="1300" w:type="dxa"/>
            <w:vAlign w:val="bottom"/>
          </w:tcPr>
          <w:p>
            <w:pPr>
              <w:jc w:val="right"/>
              <w:ind w:right="100"/>
              <w:spacing w:after="0"/>
              <w:rPr>
                <w:sz w:val="20"/>
                <w:szCs w:val="20"/>
                <w:color w:val="auto"/>
              </w:rPr>
            </w:pPr>
            <w:r>
              <w:rPr>
                <w:rFonts w:ascii="Arial" w:cs="Arial" w:eastAsia="Arial" w:hAnsi="Arial"/>
                <w:sz w:val="14"/>
                <w:szCs w:val="14"/>
                <w:b w:val="1"/>
                <w:bCs w:val="1"/>
                <w:color w:val="auto"/>
                <w:w w:val="99"/>
              </w:rPr>
              <w:t>MARCH 31, 2019</w:t>
            </w: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Average restaurant unit volumes (weekly):</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U.S.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Outback Steakhouse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70,071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77,198</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Carrabba’s Italian Grill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55,383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59,940</w:t>
            </w:r>
          </w:p>
        </w:tc>
      </w:tr>
      <w:tr>
        <w:trPr>
          <w:trHeight w:val="33"/>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Bonefish Grill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54,685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63,654</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Fleming’s Prime Steakhouse &amp; Wine Bar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80,649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91,238</w:t>
            </w:r>
          </w:p>
        </w:tc>
      </w:tr>
      <w:tr>
        <w:trPr>
          <w:trHeight w:val="33"/>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Outback Steakhouse - Brazil (1)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70,300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74,878</w:t>
            </w:r>
          </w:p>
        </w:tc>
      </w:tr>
      <w:tr>
        <w:trPr>
          <w:trHeight w:val="33"/>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weeks: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U.S.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Outback Steakhouse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7,499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7,527</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Carrabba’s Italian Grill</w:t>
            </w: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2,652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2,894</w:t>
            </w:r>
          </w:p>
        </w:tc>
      </w:tr>
      <w:tr>
        <w:trPr>
          <w:trHeight w:val="33"/>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Bonefish Grill</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2,458</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Fleming’s Prime Steakhouse &amp; Wine Bar</w:t>
            </w: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910</w:t>
            </w:r>
          </w:p>
        </w:tc>
      </w:tr>
      <w:tr>
        <w:trPr>
          <w:trHeight w:val="33"/>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Outback Steakhouse - Brazil</w:t>
            </w: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1,303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1,196</w:t>
            </w:r>
          </w:p>
        </w:tc>
      </w:tr>
      <w:tr>
        <w:trPr>
          <w:trHeight w:val="226"/>
        </w:trPr>
        <w:tc>
          <w:tcPr>
            <w:tcW w:w="8220" w:type="dxa"/>
            <w:vAlign w:val="bottom"/>
          </w:tcPr>
          <w:p>
            <w:pPr>
              <w:spacing w:after="0"/>
              <w:rPr>
                <w:sz w:val="20"/>
                <w:szCs w:val="20"/>
                <w:color w:val="auto"/>
              </w:rPr>
            </w:pPr>
            <w:r>
              <w:rPr>
                <w:rFonts w:ascii="Arial" w:cs="Arial" w:eastAsia="Arial" w:hAnsi="Arial"/>
                <w:sz w:val="16"/>
                <w:szCs w:val="16"/>
                <w:color w:val="auto"/>
              </w:rPr>
              <w:t>____________________</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bl>
    <w:p>
      <w:pPr>
        <w:ind w:left="660" w:hanging="652"/>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Translated at average exchange rates of 4.19 and 3.79 for the thirteen weeks ended March 29, 2020 and March 31, 2019, respectively.</w:t>
      </w:r>
    </w:p>
    <w:p>
      <w:pPr>
        <w:sectPr>
          <w:pgSz w:w="11900" w:h="16838" w:orient="portrait"/>
          <w:cols w:equalWidth="0" w:num="1">
            <w:col w:w="11240"/>
          </w:cols>
          <w:pgMar w:left="320" w:top="121" w:right="3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Franchise and other revenues</w:t>
      </w: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Franchise revenues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Franchise and other revenues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2"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franchise royalties, advertising fees and initial franchise fees.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COSTS AND EXPENSES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sales</w:t>
      </w: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sales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of Restaurant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23495</wp:posOffset>
            </wp:positionV>
            <wp:extent cx="19202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103"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2020</w:t>
            </w:r>
          </w:p>
        </w:tc>
        <w:tc>
          <w:tcPr>
            <w:tcW w:w="140" w:type="dxa"/>
            <w:vAlign w:val="bottom"/>
          </w:tcPr>
          <w:p>
            <w:pPr>
              <w:spacing w:after="0"/>
              <w:rPr>
                <w:sz w:val="17"/>
                <w:szCs w:val="17"/>
                <w:color w:val="auto"/>
              </w:rPr>
            </w:pPr>
          </w:p>
        </w:tc>
        <w:tc>
          <w:tcPr>
            <w:tcW w:w="1300" w:type="dxa"/>
            <w:vAlign w:val="bottom"/>
          </w:tcPr>
          <w:p>
            <w:pPr>
              <w:jc w:val="right"/>
              <w:ind w:right="101"/>
              <w:spacing w:after="0"/>
              <w:rPr>
                <w:sz w:val="20"/>
                <w:szCs w:val="20"/>
                <w:color w:val="auto"/>
              </w:rPr>
            </w:pPr>
            <w:r>
              <w:rPr>
                <w:rFonts w:ascii="Arial" w:cs="Arial" w:eastAsia="Arial" w:hAnsi="Arial"/>
                <w:sz w:val="14"/>
                <w:szCs w:val="14"/>
                <w:b w:val="1"/>
                <w:bCs w:val="1"/>
                <w:color w:val="auto"/>
                <w:w w:val="99"/>
              </w:rPr>
              <w:t>MARCH 31, 2019</w:t>
            </w:r>
          </w:p>
        </w:tc>
      </w:tr>
      <w:tr>
        <w:trPr>
          <w:trHeight w:val="224"/>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13.8</w:t>
            </w:r>
          </w:p>
        </w:tc>
      </w:tr>
      <w:tr>
        <w:trPr>
          <w:trHeight w:val="256"/>
        </w:trPr>
        <w:tc>
          <w:tcPr>
            <w:tcW w:w="1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2.7</w:t>
            </w:r>
          </w:p>
        </w:tc>
      </w:tr>
      <w:tr>
        <w:trPr>
          <w:trHeight w:val="40"/>
        </w:trPr>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23"/>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16.5</w:t>
            </w:r>
          </w:p>
        </w:tc>
      </w:tr>
      <w:tr>
        <w:trPr>
          <w:trHeight w:val="33"/>
        </w:trPr>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522"/>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3"/>
        </w:trPr>
        <w:tc>
          <w:tcPr>
            <w:tcW w:w="160" w:type="dxa"/>
            <w:vAlign w:val="bottom"/>
          </w:tcPr>
          <w:p>
            <w:pPr>
              <w:spacing w:after="0"/>
              <w:rPr>
                <w:sz w:val="22"/>
                <w:szCs w:val="22"/>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2020</w:t>
            </w: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2019</w:t>
            </w:r>
          </w:p>
        </w:tc>
        <w:tc>
          <w:tcPr>
            <w:tcW w:w="940" w:type="dxa"/>
            <w:vAlign w:val="bottom"/>
          </w:tcPr>
          <w:p>
            <w:pPr>
              <w:jc w:val="right"/>
              <w:ind w:right="164"/>
              <w:spacing w:after="0"/>
              <w:rPr>
                <w:sz w:val="20"/>
                <w:szCs w:val="20"/>
                <w:color w:val="auto"/>
              </w:rPr>
            </w:pPr>
            <w:r>
              <w:rPr>
                <w:rFonts w:ascii="Arial" w:cs="Arial" w:eastAsia="Arial" w:hAnsi="Arial"/>
                <w:sz w:val="14"/>
                <w:szCs w:val="14"/>
                <w:b w:val="1"/>
                <w:bCs w:val="1"/>
                <w:color w:val="auto"/>
              </w:rPr>
              <w:t>Change</w:t>
            </w:r>
          </w:p>
        </w:tc>
      </w:tr>
      <w:tr>
        <w:trPr>
          <w:trHeight w:val="237"/>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84"/>
              <w:spacing w:after="0"/>
              <w:rPr>
                <w:sz w:val="20"/>
                <w:szCs w:val="20"/>
                <w:color w:val="auto"/>
              </w:rPr>
            </w:pPr>
            <w:r>
              <w:rPr>
                <w:rFonts w:ascii="Arial" w:cs="Arial" w:eastAsia="Arial" w:hAnsi="Arial"/>
                <w:sz w:val="16"/>
                <w:szCs w:val="16"/>
                <w:color w:val="auto"/>
              </w:rPr>
              <w:t>319.7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rPr>
              <w:t>352.1</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0"/>
        </w:trPr>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0.4%</w:t>
            </w:r>
          </w:p>
        </w:tc>
      </w:tr>
    </w:tbl>
    <w:p>
      <w:pPr>
        <w:spacing w:after="0" w:line="200" w:lineRule="exact"/>
        <w:rPr>
          <w:sz w:val="20"/>
          <w:szCs w:val="20"/>
          <w:color w:val="auto"/>
        </w:rPr>
      </w:pPr>
    </w:p>
    <w:p>
      <w:pPr>
        <w:sectPr>
          <w:pgSz w:w="11900" w:h="16838" w:orient="portrait"/>
          <w:cols w:equalWidth="0" w:num="2">
            <w:col w:w="6360" w:space="720"/>
            <w:col w:w="4160"/>
          </w:cols>
          <w:pgMar w:left="320" w:top="121" w:right="339" w:bottom="1440" w:gutter="0" w:footer="0" w:header="0"/>
          <w:type w:val="continuous"/>
        </w:sectPr>
      </w:pPr>
    </w:p>
    <w:p>
      <w:pPr>
        <w:spacing w:after="0" w:line="4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Cost of sales increased as a percentage of Restaurant sales during the thirteen weeks ended March 29, 2020 as compared to the thirteen weeks ended March 31, 2019 primarily due to 0.6% from inventory obsolescence and spoilage costs associated with COVID-19 and 0.3% from commodity cost inflation, partially offset by an increase as a percentage of Restaurant sales of 0.5% from increases in average check per person.</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Labor and other related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522"/>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22"/>
                <w:szCs w:val="22"/>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2020</w:t>
            </w: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2019</w:t>
            </w:r>
          </w:p>
        </w:tc>
        <w:tc>
          <w:tcPr>
            <w:tcW w:w="940" w:type="dxa"/>
            <w:vAlign w:val="bottom"/>
          </w:tcPr>
          <w:p>
            <w:pPr>
              <w:jc w:val="right"/>
              <w:ind w:right="16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Labor and other related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309.3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319.0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 of Restaurant sales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r>
    </w:tbl>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Labor and other related expenses increased as a percentage of Restaurant sales during the thirteen weeks ended March 29, 2020 as compared to the thirteen weeks ended March 31, 2019 primarily due to: (i) 1.6% from relief pay primarily for hourly employees impacted by the closure of dining rooms due to COVID-19, (ii) 0.5% from decreased restaurant sales primarily due to shifting to an off-premises only operational model in March 2020 and (iii) 0.3% from higher labor costs due to wage rate increases.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restaurant operating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522"/>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22"/>
                <w:szCs w:val="22"/>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2020</w:t>
            </w: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2019</w:t>
            </w:r>
          </w:p>
        </w:tc>
        <w:tc>
          <w:tcPr>
            <w:tcW w:w="940" w:type="dxa"/>
            <w:vAlign w:val="bottom"/>
          </w:tcPr>
          <w:p>
            <w:pPr>
              <w:jc w:val="right"/>
              <w:ind w:right="16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restaurant operating</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246.6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250.9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 of Restaurant sales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r>
    </w:tbl>
    <w:p>
      <w:pPr>
        <w:spacing w:after="0" w:line="24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Other restaurant operating expenses increased as a percentage of Restaurant sales during the thirteen weeks ended March 29, 2020 as compared to the thirteen weeks ended March 31, 2019 primarily due to: (i) the impact of shifting to an off-premise only operational model in March 2020 including, 1.1% from additional operating expenses and 0.9% from decreased restaurant sales, (ii) 0.2% from increased gift card fees from a larger percentage of on-line gift card sales and (iii) 0.2% from operating expense inflation. These increases were partially offset by a decrease as a percentage of Restaurant sales of 0.2% from certain cost savings initiatives.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General and administrative expense includes salaries and benefits, management incentive programs, related payroll tax and benefits, other employee-related costs and professional services. Following is a summary of the change in General and administrative expense for the period indicated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THIRTEEN WEEKS ENDED</w:t>
            </w:r>
          </w:p>
        </w:tc>
      </w:tr>
      <w:tr>
        <w:trPr>
          <w:trHeight w:val="23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 ended March 31, 2019</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70.6</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3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37"/>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Expected credit losses and contingent lease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r>
      <w:tr>
        <w:trPr>
          <w:trHeight w:val="223"/>
        </w:trPr>
        <w:tc>
          <w:tcPr>
            <w:tcW w:w="8440" w:type="dxa"/>
            <w:vAlign w:val="bottom"/>
          </w:tcPr>
          <w:p>
            <w:pPr>
              <w:ind w:left="380"/>
              <w:spacing w:after="0"/>
              <w:rPr>
                <w:sz w:val="20"/>
                <w:szCs w:val="20"/>
                <w:color w:val="auto"/>
              </w:rPr>
            </w:pPr>
            <w:r>
              <w:rPr>
                <w:rFonts w:ascii="Arial" w:cs="Arial" w:eastAsia="Arial" w:hAnsi="Arial"/>
                <w:sz w:val="16"/>
                <w:szCs w:val="16"/>
                <w:color w:val="auto"/>
              </w:rPr>
              <w:t>Transformational costs</w:t>
            </w:r>
          </w:p>
        </w:tc>
        <w:tc>
          <w:tcPr>
            <w:tcW w:w="300" w:type="dxa"/>
            <w:vAlign w:val="bottom"/>
          </w:tcPr>
          <w:p>
            <w:pPr>
              <w:spacing w:after="0"/>
              <w:rPr>
                <w:sz w:val="19"/>
                <w:szCs w:val="19"/>
                <w:color w:val="auto"/>
              </w:rPr>
            </w:pPr>
          </w:p>
        </w:tc>
        <w:tc>
          <w:tcPr>
            <w:tcW w:w="2500" w:type="dxa"/>
            <w:vAlign w:val="bottom"/>
          </w:tcPr>
          <w:p>
            <w:pPr>
              <w:jc w:val="right"/>
              <w:ind w:right="20"/>
              <w:spacing w:after="0"/>
              <w:rPr>
                <w:sz w:val="20"/>
                <w:szCs w:val="20"/>
                <w:color w:val="auto"/>
              </w:rPr>
            </w:pPr>
            <w:r>
              <w:rPr>
                <w:rFonts w:ascii="Arial" w:cs="Arial" w:eastAsia="Arial" w:hAnsi="Arial"/>
                <w:sz w:val="16"/>
                <w:szCs w:val="16"/>
                <w:color w:val="auto"/>
              </w:rPr>
              <w:t>5.4</w:t>
            </w: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37"/>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Severance</w:t>
            </w:r>
          </w:p>
        </w:tc>
        <w:tc>
          <w:tcPr>
            <w:tcW w:w="3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r>
      <w:tr>
        <w:trPr>
          <w:trHeight w:val="223"/>
        </w:trPr>
        <w:tc>
          <w:tcPr>
            <w:tcW w:w="8440" w:type="dxa"/>
            <w:vAlign w:val="bottom"/>
          </w:tcPr>
          <w:p>
            <w:pPr>
              <w:ind w:left="380"/>
              <w:spacing w:after="0"/>
              <w:rPr>
                <w:sz w:val="20"/>
                <w:szCs w:val="20"/>
                <w:color w:val="auto"/>
              </w:rPr>
            </w:pPr>
            <w:r>
              <w:rPr>
                <w:rFonts w:ascii="Arial" w:cs="Arial" w:eastAsia="Arial" w:hAnsi="Arial"/>
                <w:sz w:val="16"/>
                <w:szCs w:val="16"/>
                <w:color w:val="auto"/>
              </w:rPr>
              <w:t>Compensation, benefits and payroll tax</w:t>
            </w:r>
          </w:p>
        </w:tc>
        <w:tc>
          <w:tcPr>
            <w:tcW w:w="30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37"/>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Legal and professional fees</w:t>
            </w:r>
          </w:p>
        </w:tc>
        <w:tc>
          <w:tcPr>
            <w:tcW w:w="3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23"/>
        </w:trPr>
        <w:tc>
          <w:tcPr>
            <w:tcW w:w="8440" w:type="dxa"/>
            <w:vAlign w:val="bottom"/>
          </w:tcPr>
          <w:p>
            <w:pPr>
              <w:ind w:left="380"/>
              <w:spacing w:after="0"/>
              <w:rPr>
                <w:sz w:val="20"/>
                <w:szCs w:val="20"/>
                <w:color w:val="auto"/>
              </w:rPr>
            </w:pPr>
            <w:r>
              <w:rPr>
                <w:rFonts w:ascii="Arial" w:cs="Arial" w:eastAsia="Arial" w:hAnsi="Arial"/>
                <w:sz w:val="16"/>
                <w:szCs w:val="16"/>
                <w:color w:val="auto"/>
              </w:rPr>
              <w:t>Deferred compensation</w:t>
            </w:r>
          </w:p>
        </w:tc>
        <w:tc>
          <w:tcPr>
            <w:tcW w:w="30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22"/>
                <w:szCs w:val="22"/>
                <w:color w:val="auto"/>
              </w:rPr>
            </w:pPr>
          </w:p>
        </w:tc>
        <w:tc>
          <w:tcPr>
            <w:tcW w:w="2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r>
      <w:tr>
        <w:trPr>
          <w:trHeight w:val="250"/>
        </w:trPr>
        <w:tc>
          <w:tcPr>
            <w:tcW w:w="8440" w:type="dxa"/>
            <w:vAlign w:val="bottom"/>
          </w:tcPr>
          <w:p>
            <w:pPr>
              <w:ind w:left="40"/>
              <w:spacing w:after="0"/>
              <w:rPr>
                <w:sz w:val="20"/>
                <w:szCs w:val="20"/>
                <w:color w:val="auto"/>
              </w:rPr>
            </w:pPr>
            <w:r>
              <w:rPr>
                <w:rFonts w:ascii="Arial" w:cs="Arial" w:eastAsia="Arial" w:hAnsi="Arial"/>
                <w:sz w:val="16"/>
                <w:szCs w:val="16"/>
                <w:color w:val="auto"/>
              </w:rPr>
              <w:t>For the period ended March 29, 2020</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84.8</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for impaired assets and restaurant closings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22"/>
                <w:szCs w:val="22"/>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2020</w:t>
            </w:r>
          </w:p>
        </w:tc>
        <w:tc>
          <w:tcPr>
            <w:tcW w:w="16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Pr>
          <w:p>
            <w:pPr>
              <w:spacing w:after="0"/>
              <w:rPr>
                <w:sz w:val="22"/>
                <w:szCs w:val="22"/>
                <w:color w:val="auto"/>
              </w:rPr>
            </w:pPr>
          </w:p>
        </w:tc>
        <w:tc>
          <w:tcPr>
            <w:tcW w:w="720" w:type="dxa"/>
            <w:vAlign w:val="bottom"/>
          </w:tcPr>
          <w:p>
            <w:pPr>
              <w:jc w:val="right"/>
              <w:ind w:right="124"/>
              <w:spacing w:after="0"/>
              <w:rPr>
                <w:sz w:val="20"/>
                <w:szCs w:val="20"/>
                <w:color w:val="auto"/>
              </w:rPr>
            </w:pPr>
            <w:r>
              <w:rPr>
                <w:rFonts w:ascii="Arial" w:cs="Arial" w:eastAsia="Arial" w:hAnsi="Arial"/>
                <w:sz w:val="14"/>
                <w:szCs w:val="14"/>
                <w:b w:val="1"/>
                <w:bCs w:val="1"/>
                <w:color w:val="auto"/>
                <w:w w:val="97"/>
              </w:rPr>
              <w:t>Change</w:t>
            </w:r>
          </w:p>
        </w:tc>
      </w:tr>
      <w:tr>
        <w:trPr>
          <w:trHeight w:val="223"/>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impaired assets and restaurant closings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41.3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37.7</w:t>
            </w:r>
          </w:p>
        </w:tc>
      </w:tr>
      <w:tr>
        <w:trPr>
          <w:trHeight w:val="33"/>
        </w:trPr>
        <w:tc>
          <w:tcPr>
            <w:tcW w:w="7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During the thirteen weeks ended March 29, 2020, we recognized asset impairment and closure charges related to the COVID-19 pandemic, including $31.3 million in the U.S. segment and $3.3 million in the international segment. We also recognized asset impairment charges related to transformational initiatives of $6.3 million, which were not allocated to our operating segments.</w:t>
      </w:r>
    </w:p>
    <w:p>
      <w:pPr>
        <w:spacing w:after="0" w:line="17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remaining impairment and closing charges for the periods presented resulted primarily from locations identified for remodel, relocation or closure and certain other assets.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Note 4 - </w:t>
      </w:r>
      <w:r>
        <w:rPr>
          <w:rFonts w:ascii="Arial" w:cs="Arial" w:eastAsia="Arial" w:hAnsi="Arial"/>
          <w:sz w:val="20"/>
          <w:szCs w:val="20"/>
          <w:i w:val="1"/>
          <w:iCs w:val="1"/>
          <w:color w:val="auto"/>
        </w:rPr>
        <w:t>Impairments, Exit Costs and Disposals</w:t>
      </w:r>
      <w:r>
        <w:rPr>
          <w:rFonts w:ascii="Arial" w:cs="Arial" w:eastAsia="Arial" w:hAnsi="Arial"/>
          <w:sz w:val="20"/>
          <w:szCs w:val="20"/>
          <w:color w:val="auto"/>
        </w:rPr>
        <w:t xml:space="preserve"> of the Notes to Consolidated Financial Statements for further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(Loss) income from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63"/>
        </w:trPr>
        <w:tc>
          <w:tcPr>
            <w:tcW w:w="690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29, 2020</w:t>
            </w:r>
          </w:p>
        </w:tc>
        <w:tc>
          <w:tcPr>
            <w:tcW w:w="160" w:type="dxa"/>
            <w:vAlign w:val="bottom"/>
          </w:tcPr>
          <w:p>
            <w:pPr>
              <w:spacing w:after="0"/>
              <w:rPr>
                <w:sz w:val="22"/>
                <w:szCs w:val="22"/>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22"/>
                <w:szCs w:val="22"/>
                <w:color w:val="auto"/>
              </w:rPr>
            </w:pPr>
          </w:p>
        </w:tc>
        <w:tc>
          <w:tcPr>
            <w:tcW w:w="900" w:type="dxa"/>
            <w:vAlign w:val="bottom"/>
          </w:tcPr>
          <w:p>
            <w:pPr>
              <w:jc w:val="right"/>
              <w:ind w:right="242"/>
              <w:spacing w:after="0"/>
              <w:rPr>
                <w:sz w:val="20"/>
                <w:szCs w:val="20"/>
                <w:color w:val="auto"/>
              </w:rPr>
            </w:pPr>
            <w:r>
              <w:rPr>
                <w:rFonts w:ascii="Arial" w:cs="Arial" w:eastAsia="Arial" w:hAnsi="Arial"/>
                <w:sz w:val="14"/>
                <w:szCs w:val="14"/>
                <w:b w:val="1"/>
                <w:bCs w:val="1"/>
                <w:color w:val="auto"/>
              </w:rPr>
              <w:t>Change</w:t>
            </w:r>
          </w:p>
        </w:tc>
      </w:tr>
      <w:tr>
        <w:trPr>
          <w:trHeight w:val="237"/>
        </w:trPr>
        <w:tc>
          <w:tcPr>
            <w:tcW w:w="6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operations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(41.6)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82.5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(124.1)</w:t>
            </w:r>
          </w:p>
        </w:tc>
      </w:tr>
      <w:tr>
        <w:trPr>
          <w:trHeight w:val="237"/>
        </w:trPr>
        <w:tc>
          <w:tcPr>
            <w:tcW w:w="6900" w:type="dxa"/>
            <w:vAlign w:val="bottom"/>
          </w:tcPr>
          <w:p>
            <w:pPr>
              <w:ind w:left="180"/>
              <w:spacing w:after="0"/>
              <w:rPr>
                <w:sz w:val="20"/>
                <w:szCs w:val="20"/>
                <w:color w:val="auto"/>
              </w:rPr>
            </w:pPr>
            <w:r>
              <w:rPr>
                <w:rFonts w:ascii="Arial" w:cs="Arial" w:eastAsia="Arial" w:hAnsi="Arial"/>
                <w:sz w:val="16"/>
                <w:szCs w:val="16"/>
                <w:color w:val="auto"/>
              </w:rPr>
              <w:t>% of Total revenues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(11.4)%</w:t>
            </w:r>
          </w:p>
        </w:tc>
      </w:tr>
    </w:tbl>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Loss from operations generated during the thirteen weeks ended March 29, 2020, as compared to income from operations during the thirteen weeks ended March 31, 2019 was primarily due to: (i) lower comparable restaurant sales and costs incurred in connection with the COVID-19 pandemic, including asset impairment charges, relief pay, inventory obsolescence and incremental operating costs, (ii) the impact of restructuring and transformational initiatives and (iii) commodity and labor inflation.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 net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63"/>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22"/>
                <w:szCs w:val="22"/>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2020</w:t>
            </w:r>
          </w:p>
        </w:tc>
        <w:tc>
          <w:tcPr>
            <w:tcW w:w="16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Pr>
          <w:p>
            <w:pPr>
              <w:spacing w:after="0"/>
              <w:rPr>
                <w:sz w:val="22"/>
                <w:szCs w:val="22"/>
                <w:color w:val="auto"/>
              </w:rPr>
            </w:pPr>
          </w:p>
        </w:tc>
        <w:tc>
          <w:tcPr>
            <w:tcW w:w="720" w:type="dxa"/>
            <w:vAlign w:val="bottom"/>
          </w:tcPr>
          <w:p>
            <w:pPr>
              <w:jc w:val="right"/>
              <w:ind w:right="124"/>
              <w:spacing w:after="0"/>
              <w:rPr>
                <w:sz w:val="20"/>
                <w:szCs w:val="20"/>
                <w:color w:val="auto"/>
              </w:rPr>
            </w:pPr>
            <w:r>
              <w:rPr>
                <w:rFonts w:ascii="Arial" w:cs="Arial" w:eastAsia="Arial" w:hAnsi="Arial"/>
                <w:sz w:val="14"/>
                <w:szCs w:val="14"/>
                <w:b w:val="1"/>
                <w:bCs w:val="1"/>
                <w:color w:val="auto"/>
                <w:w w:val="97"/>
              </w:rPr>
              <w:t>Change</w:t>
            </w:r>
          </w:p>
        </w:tc>
      </w:tr>
      <w:tr>
        <w:trPr>
          <w:trHeight w:val="223"/>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11.7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0.5</w:t>
            </w:r>
          </w:p>
        </w:tc>
      </w:tr>
      <w:tr>
        <w:trPr>
          <w:trHeight w:val="33"/>
        </w:trPr>
        <w:tc>
          <w:tcPr>
            <w:tcW w:w="7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increase in Interest expense, net for the thirteen weeks ended March 29, 2020 as compared to the thirteen weeks ended March 31, 2019 was primarily due to higher interest expense from our derivative instruments partially offset by lower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(Benefit) provision for income taxes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80" w:type="dxa"/>
            <w:vAlign w:val="bottom"/>
          </w:tcPr>
          <w:p>
            <w:pPr>
              <w:spacing w:after="0"/>
              <w:rPr>
                <w:sz w:val="17"/>
                <w:szCs w:val="17"/>
                <w:color w:val="auto"/>
              </w:rPr>
            </w:pPr>
          </w:p>
        </w:tc>
        <w:tc>
          <w:tcPr>
            <w:tcW w:w="3100" w:type="dxa"/>
            <w:vAlign w:val="bottom"/>
            <w:tcBorders>
              <w:bottom w:val="single" w:sz="8" w:color="auto"/>
            </w:tcBorders>
            <w:gridSpan w:val="3"/>
          </w:tcPr>
          <w:p>
            <w:pPr>
              <w:jc w:val="right"/>
              <w:ind w:right="544"/>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63"/>
        </w:trPr>
        <w:tc>
          <w:tcPr>
            <w:tcW w:w="6980" w:type="dxa"/>
            <w:vAlign w:val="bottom"/>
          </w:tcPr>
          <w:p>
            <w:pPr>
              <w:spacing w:after="0"/>
              <w:rPr>
                <w:sz w:val="22"/>
                <w:szCs w:val="22"/>
                <w:color w:val="auto"/>
              </w:rPr>
            </w:pPr>
          </w:p>
        </w:tc>
        <w:tc>
          <w:tcPr>
            <w:tcW w:w="16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29, 2020</w:t>
            </w:r>
          </w:p>
        </w:tc>
        <w:tc>
          <w:tcPr>
            <w:tcW w:w="16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2019</w:t>
            </w:r>
          </w:p>
        </w:tc>
        <w:tc>
          <w:tcPr>
            <w:tcW w:w="1060" w:type="dxa"/>
            <w:vAlign w:val="bottom"/>
          </w:tcPr>
          <w:p>
            <w:pPr>
              <w:jc w:val="right"/>
              <w:ind w:right="224"/>
              <w:spacing w:after="0"/>
              <w:rPr>
                <w:sz w:val="20"/>
                <w:szCs w:val="20"/>
                <w:color w:val="auto"/>
              </w:rPr>
            </w:pPr>
            <w:r>
              <w:rPr>
                <w:rFonts w:ascii="Arial" w:cs="Arial" w:eastAsia="Arial" w:hAnsi="Arial"/>
                <w:sz w:val="14"/>
                <w:szCs w:val="14"/>
                <w:b w:val="1"/>
                <w:bCs w:val="1"/>
                <w:color w:val="auto"/>
              </w:rPr>
              <w:t>Change</w:t>
            </w:r>
          </w:p>
        </w:tc>
      </w:tr>
      <w:tr>
        <w:trPr>
          <w:trHeight w:val="223"/>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Effective income tax rate</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33"/>
        </w:trPr>
        <w:tc>
          <w:tcPr>
            <w:tcW w:w="69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effective income tax rate for the thirteen weeks ended March 29, 2020 increased by 28.7 percentage points as compared to the thirteen weeks ended March 31, 2019. The increase was primarily due to the benefit of the five-year carryback of the forecasted 2020 NOL under the CARES Act and favorable discrete items recorded in the thirteen weeks ended March 29, 2020.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SEGMENT PERFORMANCE</w:t>
      </w:r>
    </w:p>
    <w:p>
      <w:pPr>
        <w:spacing w:after="0" w:line="229"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We consider our restaurant concepts and international markets as operating segments, which reflects how we manage our business, review operating performance and allocate resources. Resources are allocated and performance is assessed by our CEO, whom we have determined to be our CODM. We aggregate our operating segments into two reportable segments, U.S. and international. The U.S. segment includes all restaurants operating in the U.S. while restaurants operating outside the U.S. are included in the international segment. The following is a summary of reporting segments:</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600" w:type="dxa"/>
            <w:vAlign w:val="bottom"/>
          </w:tcPr>
          <w:p>
            <w:pPr>
              <w:ind w:left="40"/>
              <w:spacing w:after="0"/>
              <w:rPr>
                <w:sz w:val="20"/>
                <w:szCs w:val="20"/>
                <w:color w:val="auto"/>
              </w:rPr>
            </w:pPr>
            <w:r>
              <w:rPr>
                <w:rFonts w:ascii="Arial" w:cs="Arial" w:eastAsia="Arial" w:hAnsi="Arial"/>
                <w:sz w:val="14"/>
                <w:szCs w:val="14"/>
                <w:b w:val="1"/>
                <w:bCs w:val="1"/>
                <w:color w:val="auto"/>
              </w:rPr>
              <w:t>REPORTABLE SEGMENT (1)</w:t>
            </w:r>
          </w:p>
        </w:tc>
        <w:tc>
          <w:tcPr>
            <w:tcW w:w="120" w:type="dxa"/>
            <w:vAlign w:val="bottom"/>
          </w:tcPr>
          <w:p>
            <w:pPr>
              <w:spacing w:after="0"/>
              <w:rPr>
                <w:sz w:val="17"/>
                <w:szCs w:val="17"/>
                <w:color w:val="auto"/>
              </w:rPr>
            </w:pPr>
          </w:p>
        </w:tc>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CONCEPT</w:t>
            </w:r>
          </w:p>
        </w:tc>
        <w:tc>
          <w:tcPr>
            <w:tcW w:w="3800" w:type="dxa"/>
            <w:vAlign w:val="bottom"/>
          </w:tcPr>
          <w:p>
            <w:pPr>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24"/>
        </w:trPr>
        <w:tc>
          <w:tcPr>
            <w:tcW w:w="260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62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Outback Steakhouse</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380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00" w:type="dxa"/>
            <w:vAlign w:val="bottom"/>
            <w:tcBorders>
              <w:left w:val="single" w:sz="8" w:color="auto"/>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6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Carrabba’s Italian Grill</w:t>
            </w:r>
          </w:p>
        </w:tc>
        <w:tc>
          <w:tcPr>
            <w:tcW w:w="120" w:type="dxa"/>
            <w:vAlign w:val="bottom"/>
            <w:tcBorders>
              <w:right w:val="single" w:sz="8" w:color="auto"/>
            </w:tcBorders>
            <w:shd w:val="clear" w:color="auto" w:fill="CCEEFF"/>
          </w:tcPr>
          <w:p>
            <w:pPr>
              <w:spacing w:after="0"/>
              <w:rPr>
                <w:sz w:val="23"/>
                <w:szCs w:val="23"/>
                <w:color w:val="auto"/>
              </w:rPr>
            </w:pPr>
          </w:p>
        </w:tc>
        <w:tc>
          <w:tcPr>
            <w:tcW w:w="380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35"/>
        </w:trPr>
        <w:tc>
          <w:tcPr>
            <w:tcW w:w="2600" w:type="dxa"/>
            <w:vAlign w:val="bottom"/>
            <w:tcBorders>
              <w:left w:val="single" w:sz="8" w:color="auto"/>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Bonefish Grill</w:t>
            </w:r>
          </w:p>
        </w:tc>
        <w:tc>
          <w:tcPr>
            <w:tcW w:w="120" w:type="dxa"/>
            <w:vAlign w:val="bottom"/>
            <w:tcBorders>
              <w:right w:val="single" w:sz="8" w:color="auto"/>
            </w:tcBorders>
            <w:shd w:val="clear" w:color="auto" w:fill="CCEEFF"/>
          </w:tcPr>
          <w:p>
            <w:pPr>
              <w:spacing w:after="0"/>
              <w:rPr>
                <w:sz w:val="11"/>
                <w:szCs w:val="11"/>
                <w:color w:val="auto"/>
              </w:rPr>
            </w:pPr>
          </w:p>
        </w:tc>
        <w:tc>
          <w:tcPr>
            <w:tcW w:w="380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Borders>
              <w:left w:val="single" w:sz="8" w:color="auto"/>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2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80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260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46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Fleming’s Prime Steakhouse &amp; Wine Bar</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380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International</w:t>
            </w:r>
          </w:p>
        </w:tc>
        <w:tc>
          <w:tcPr>
            <w:tcW w:w="120" w:type="dxa"/>
            <w:vAlign w:val="bottom"/>
            <w:tcBorders>
              <w:right w:val="single" w:sz="8" w:color="auto"/>
            </w:tcBorders>
          </w:tcPr>
          <w:p>
            <w:pPr>
              <w:spacing w:after="0"/>
              <w:rPr>
                <w:sz w:val="18"/>
                <w:szCs w:val="18"/>
                <w:color w:val="auto"/>
              </w:rPr>
            </w:pPr>
          </w:p>
        </w:tc>
        <w:tc>
          <w:tcPr>
            <w:tcW w:w="4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Outback Steakhouse</w:t>
            </w:r>
          </w:p>
        </w:tc>
        <w:tc>
          <w:tcPr>
            <w:tcW w:w="120" w:type="dxa"/>
            <w:vAlign w:val="bottom"/>
            <w:tcBorders>
              <w:right w:val="single" w:sz="8" w:color="auto"/>
            </w:tcBorders>
          </w:tcPr>
          <w:p>
            <w:pPr>
              <w:spacing w:after="0"/>
              <w:rPr>
                <w:sz w:val="18"/>
                <w:szCs w:val="18"/>
                <w:color w:val="auto"/>
              </w:rPr>
            </w:pPr>
          </w:p>
        </w:tc>
        <w:tc>
          <w:tcPr>
            <w:tcW w:w="3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Kong/China</w:t>
            </w:r>
          </w:p>
        </w:tc>
        <w:tc>
          <w:tcPr>
            <w:tcW w:w="0" w:type="dxa"/>
            <w:vAlign w:val="bottom"/>
          </w:tcPr>
          <w:p>
            <w:pPr>
              <w:spacing w:after="0"/>
              <w:rPr>
                <w:sz w:val="1"/>
                <w:szCs w:val="1"/>
                <w:color w:val="auto"/>
              </w:rPr>
            </w:pPr>
          </w:p>
        </w:tc>
      </w:tr>
      <w:tr>
        <w:trPr>
          <w:trHeight w:val="33"/>
        </w:trPr>
        <w:tc>
          <w:tcPr>
            <w:tcW w:w="2600" w:type="dxa"/>
            <w:vAlign w:val="bottom"/>
            <w:tcBorders>
              <w:left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2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0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Carrabba’s Italian Grill (Abbraccio)</w:t>
            </w:r>
          </w:p>
        </w:tc>
        <w:tc>
          <w:tcPr>
            <w:tcW w:w="12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33"/>
        </w:trPr>
        <w:tc>
          <w:tcPr>
            <w:tcW w:w="26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2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600" w:type="dxa"/>
            <w:vAlign w:val="bottom"/>
          </w:tcPr>
          <w:p>
            <w:pPr>
              <w:jc w:val="right"/>
              <w:ind w:right="1141"/>
              <w:spacing w:after="0"/>
              <w:rPr>
                <w:sz w:val="20"/>
                <w:szCs w:val="20"/>
                <w:color w:val="auto"/>
              </w:rPr>
            </w:pPr>
            <w:r>
              <w:rPr>
                <w:rFonts w:ascii="Arial" w:cs="Arial" w:eastAsia="Arial" w:hAnsi="Arial"/>
                <w:sz w:val="16"/>
                <w:szCs w:val="16"/>
                <w:color w:val="auto"/>
                <w:w w:val="89"/>
              </w:rPr>
              <w:t>_________________</w:t>
            </w:r>
          </w:p>
        </w:tc>
        <w:tc>
          <w:tcPr>
            <w:tcW w:w="1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franchise locations.</w:t>
      </w:r>
    </w:p>
    <w:p>
      <w:pPr>
        <w:spacing w:after="0" w:line="20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Revenues for both segments include only transactions with customers and exclude intersegment revenues. Excluded from Income from operations for U.S. and international are certain legal and corporate costs not directly related to the performance of the segments, most stock-based compensation expenses and certain bonus expenses.</w:t>
      </w:r>
    </w:p>
    <w:p>
      <w:pPr>
        <w:spacing w:after="0" w:line="199"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During the thirteen weeks ended March 29, 2020, we recorded $22.2 million of pre-tax charges as a part of transformational initiatives implemented in connection with its previously announced review of strategic alternatives. These costs were primarily recorded within General and administrative expense and Provision for impaired assets and restaurant closings and were not allocated to our segments since our CODM does not consider the impact of transformational initiatives when assessing segment performance.</w:t>
      </w:r>
    </w:p>
    <w:p>
      <w:pPr>
        <w:spacing w:after="0" w:line="190"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 xml:space="preserve">Refer to Note 19 </w:t>
      </w:r>
      <w:r>
        <w:rPr>
          <w:rFonts w:ascii="Arial" w:cs="Arial" w:eastAsia="Arial" w:hAnsi="Arial"/>
          <w:sz w:val="17"/>
          <w:szCs w:val="17"/>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Segment Reporting</w:t>
      </w:r>
      <w:r>
        <w:rPr>
          <w:rFonts w:ascii="Arial" w:cs="Arial" w:eastAsia="Arial" w:hAnsi="Arial"/>
          <w:sz w:val="20"/>
          <w:szCs w:val="20"/>
          <w:color w:val="auto"/>
        </w:rPr>
        <w:t xml:space="preserve"> of the Notes to Consolidated Financial Statements for a reconciliation of segment income from operations to the consolidated operating results.</w:t>
      </w:r>
    </w:p>
    <w:p>
      <w:pPr>
        <w:spacing w:after="0" w:line="190"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 xml:space="preserve">Restaurant-level operating margin is widely regarded in the industry as a useful metric to evaluate restaurant-level operating efficiency and performance of ongoing restaurant-level operations, and we use it for these purposes, overall and particularly within our two segments. See the </w:t>
      </w:r>
      <w:r>
        <w:rPr>
          <w:rFonts w:ascii="Arial" w:cs="Arial" w:eastAsia="Arial" w:hAnsi="Arial"/>
          <w:sz w:val="20"/>
          <w:szCs w:val="20"/>
          <w:i w:val="1"/>
          <w:iCs w:val="1"/>
          <w:color w:val="auto"/>
        </w:rPr>
        <w:t>Overview-Key Performance Indicators</w:t>
      </w:r>
      <w:r>
        <w:rPr>
          <w:rFonts w:ascii="Arial" w:cs="Arial" w:eastAsia="Arial" w:hAnsi="Arial"/>
          <w:sz w:val="20"/>
          <w:szCs w:val="20"/>
          <w:color w:val="auto"/>
        </w:rPr>
        <w:t xml:space="preserve"> section of Management’s Discussion and Analysis for additional details regarding the calculation of restaurant-level operating margin.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THIRTEEN WEEKS ENDED</w:t>
            </w:r>
          </w:p>
        </w:tc>
      </w:tr>
      <w:tr>
        <w:trPr>
          <w:trHeight w:val="263"/>
        </w:trPr>
        <w:tc>
          <w:tcPr>
            <w:tcW w:w="81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29, 2020</w:t>
            </w:r>
          </w:p>
        </w:tc>
        <w:tc>
          <w:tcPr>
            <w:tcW w:w="160" w:type="dxa"/>
            <w:vAlign w:val="bottom"/>
          </w:tcPr>
          <w:p>
            <w:pPr>
              <w:spacing w:after="0"/>
              <w:rPr>
                <w:sz w:val="22"/>
                <w:szCs w:val="22"/>
                <w:color w:val="auto"/>
              </w:rPr>
            </w:pPr>
          </w:p>
        </w:tc>
        <w:tc>
          <w:tcPr>
            <w:tcW w:w="1340" w:type="dxa"/>
            <w:vAlign w:val="bottom"/>
          </w:tcPr>
          <w:p>
            <w:pPr>
              <w:jc w:val="right"/>
              <w:ind w:right="120"/>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8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14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81"/>
              <w:spacing w:after="0"/>
              <w:rPr>
                <w:sz w:val="20"/>
                <w:szCs w:val="20"/>
                <w:color w:val="auto"/>
              </w:rPr>
            </w:pPr>
            <w:r>
              <w:rPr>
                <w:rFonts w:ascii="Arial" w:cs="Arial" w:eastAsia="Arial" w:hAnsi="Arial"/>
                <w:sz w:val="16"/>
                <w:szCs w:val="16"/>
                <w:color w:val="auto"/>
              </w:rPr>
              <w:t>884,889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1,000,813</w:t>
            </w:r>
          </w:p>
        </w:tc>
      </w:tr>
      <w:tr>
        <w:trPr>
          <w:trHeight w:val="33"/>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9,608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13,694</w:t>
            </w:r>
          </w:p>
        </w:tc>
      </w:tr>
      <w:tr>
        <w:trPr>
          <w:trHeight w:val="223"/>
        </w:trPr>
        <w:tc>
          <w:tcPr>
            <w:tcW w:w="81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81"/>
              <w:spacing w:after="0"/>
              <w:rPr>
                <w:sz w:val="20"/>
                <w:szCs w:val="20"/>
                <w:color w:val="auto"/>
              </w:rPr>
            </w:pPr>
            <w:r>
              <w:rPr>
                <w:rFonts w:ascii="Arial" w:cs="Arial" w:eastAsia="Arial" w:hAnsi="Arial"/>
                <w:sz w:val="16"/>
                <w:szCs w:val="16"/>
                <w:color w:val="auto"/>
              </w:rPr>
              <w:t>894,497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1,014,507</w:t>
            </w:r>
          </w:p>
        </w:tc>
      </w:tr>
      <w:tr>
        <w:trPr>
          <w:trHeight w:val="33"/>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Restaurant-level operating margin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37"/>
        </w:trPr>
        <w:tc>
          <w:tcPr>
            <w:tcW w:w="8140" w:type="dxa"/>
            <w:vAlign w:val="bottom"/>
          </w:tcPr>
          <w:p>
            <w:pPr>
              <w:ind w:left="180"/>
              <w:spacing w:after="0"/>
              <w:rPr>
                <w:sz w:val="20"/>
                <w:szCs w:val="20"/>
                <w:color w:val="auto"/>
              </w:rPr>
            </w:pPr>
            <w:r>
              <w:rPr>
                <w:rFonts w:ascii="Arial" w:cs="Arial" w:eastAsia="Arial" w:hAnsi="Arial"/>
                <w:sz w:val="16"/>
                <w:szCs w:val="16"/>
                <w:color w:val="auto"/>
              </w:rPr>
              <w:t>Income from operations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81"/>
              <w:spacing w:after="0"/>
              <w:rPr>
                <w:sz w:val="20"/>
                <w:szCs w:val="20"/>
                <w:color w:val="auto"/>
              </w:rPr>
            </w:pPr>
            <w:r>
              <w:rPr>
                <w:rFonts w:ascii="Arial" w:cs="Arial" w:eastAsia="Arial" w:hAnsi="Arial"/>
                <w:sz w:val="16"/>
                <w:szCs w:val="16"/>
                <w:color w:val="auto"/>
              </w:rPr>
              <w:t>11,379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113,035</w:t>
            </w:r>
          </w:p>
        </w:tc>
      </w:tr>
      <w:tr>
        <w:trPr>
          <w:trHeight w:val="33"/>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8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income margin</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33"/>
        </w:trPr>
        <w:tc>
          <w:tcPr>
            <w:tcW w:w="8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60"/>
          </w:cols>
          <w:pgMar w:left="320" w:top="122" w:right="31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U.S. segment Restaurant sales for the period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THIRTEEN WEEKS ENDED</w:t>
            </w:r>
          </w:p>
        </w:tc>
      </w:tr>
      <w:tr>
        <w:trPr>
          <w:trHeight w:val="23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 ended March 31, 2019</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1,000.8</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32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36"/>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Comparable restaurant sales</w:t>
            </w:r>
          </w:p>
        </w:tc>
        <w:tc>
          <w:tcPr>
            <w:tcW w:w="3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(102.7)</w:t>
            </w:r>
          </w:p>
        </w:tc>
      </w:tr>
      <w:tr>
        <w:trPr>
          <w:trHeight w:val="224"/>
        </w:trPr>
        <w:tc>
          <w:tcPr>
            <w:tcW w:w="8320" w:type="dxa"/>
            <w:vAlign w:val="bottom"/>
          </w:tcPr>
          <w:p>
            <w:pPr>
              <w:ind w:left="380"/>
              <w:spacing w:after="0"/>
              <w:rPr>
                <w:sz w:val="20"/>
                <w:szCs w:val="20"/>
                <w:color w:val="auto"/>
              </w:rPr>
            </w:pPr>
            <w:r>
              <w:rPr>
                <w:rFonts w:ascii="Arial" w:cs="Arial" w:eastAsia="Arial" w:hAnsi="Arial"/>
                <w:sz w:val="16"/>
                <w:szCs w:val="16"/>
                <w:color w:val="auto"/>
              </w:rPr>
              <w:t>Divestiture of restaurants through refranchising transactions</w:t>
            </w:r>
          </w:p>
        </w:tc>
        <w:tc>
          <w:tcPr>
            <w:tcW w:w="3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37"/>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Restaurant closures</w:t>
            </w:r>
          </w:p>
        </w:tc>
        <w:tc>
          <w:tcPr>
            <w:tcW w:w="3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70"/>
        </w:trPr>
        <w:tc>
          <w:tcPr>
            <w:tcW w:w="83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Restaurant openings</w:t>
            </w:r>
          </w:p>
        </w:tc>
        <w:tc>
          <w:tcPr>
            <w:tcW w:w="32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w:t>
            </w: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 ended March 29, 2020</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884.9</w:t>
            </w: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decrease in U.S. Restaurant sales during the thirteen weeks ended March 29, 2020 was primarily due to: (i) lower comparable restaurant sales, (ii) refranchising of certain Company-owned restaurants and (iii) the closing of 16 restaurants since December 30, 2018. The decrease in Restaurant sales was partially offset by the opening of six new restaurants not included in our comparable restaurant sales base.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U.S. income from operations generated during the thirteen weeks ended March 29, 2020 as compared to the thirteen weeks ended March 31, 2019, was primarily due to: (i) lower comparable restaurant sales and costs incurred in connection with the COVID-19 pandemic, including asset impairment charges, relief pay, inventory obsolescence and incremental operating costs and (ii) labor and commodity inflation.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THIRTEEN WEEKS ENDED</w:t>
            </w:r>
          </w:p>
        </w:tc>
      </w:tr>
      <w:tr>
        <w:trPr>
          <w:trHeight w:val="264"/>
        </w:trPr>
        <w:tc>
          <w:tcPr>
            <w:tcW w:w="81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29, 2020</w:t>
            </w:r>
          </w:p>
        </w:tc>
        <w:tc>
          <w:tcPr>
            <w:tcW w:w="160" w:type="dxa"/>
            <w:vAlign w:val="bottom"/>
          </w:tcPr>
          <w:p>
            <w:pPr>
              <w:spacing w:after="0"/>
              <w:rPr>
                <w:sz w:val="22"/>
                <w:szCs w:val="22"/>
                <w:color w:val="auto"/>
              </w:rPr>
            </w:pPr>
          </w:p>
        </w:tc>
        <w:tc>
          <w:tcPr>
            <w:tcW w:w="1340" w:type="dxa"/>
            <w:vAlign w:val="bottom"/>
          </w:tcPr>
          <w:p>
            <w:pPr>
              <w:jc w:val="right"/>
              <w:ind w:right="120"/>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8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14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81"/>
              <w:spacing w:after="0"/>
              <w:rPr>
                <w:sz w:val="20"/>
                <w:szCs w:val="20"/>
                <w:color w:val="auto"/>
              </w:rPr>
            </w:pPr>
            <w:r>
              <w:rPr>
                <w:rFonts w:ascii="Arial" w:cs="Arial" w:eastAsia="Arial" w:hAnsi="Arial"/>
                <w:sz w:val="16"/>
                <w:szCs w:val="16"/>
                <w:color w:val="auto"/>
              </w:rPr>
              <w:t>111,348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110,829</w:t>
            </w:r>
          </w:p>
        </w:tc>
      </w:tr>
      <w:tr>
        <w:trPr>
          <w:trHeight w:val="33"/>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2,492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2,795</w:t>
            </w:r>
          </w:p>
        </w:tc>
      </w:tr>
      <w:tr>
        <w:trPr>
          <w:trHeight w:val="223"/>
        </w:trPr>
        <w:tc>
          <w:tcPr>
            <w:tcW w:w="81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81"/>
              <w:spacing w:after="0"/>
              <w:rPr>
                <w:sz w:val="20"/>
                <w:szCs w:val="20"/>
                <w:color w:val="auto"/>
              </w:rPr>
            </w:pPr>
            <w:r>
              <w:rPr>
                <w:rFonts w:ascii="Arial" w:cs="Arial" w:eastAsia="Arial" w:hAnsi="Arial"/>
                <w:sz w:val="16"/>
                <w:szCs w:val="16"/>
                <w:color w:val="auto"/>
              </w:rPr>
              <w:t>113,840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113,624</w:t>
            </w:r>
          </w:p>
        </w:tc>
      </w:tr>
      <w:tr>
        <w:trPr>
          <w:trHeight w:val="33"/>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Restaurant-level operating margin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37"/>
        </w:trPr>
        <w:tc>
          <w:tcPr>
            <w:tcW w:w="8140" w:type="dxa"/>
            <w:vAlign w:val="bottom"/>
          </w:tcPr>
          <w:p>
            <w:pPr>
              <w:ind w:left="180"/>
              <w:spacing w:after="0"/>
              <w:rPr>
                <w:sz w:val="20"/>
                <w:szCs w:val="20"/>
                <w:color w:val="auto"/>
              </w:rPr>
            </w:pPr>
            <w:r>
              <w:rPr>
                <w:rFonts w:ascii="Arial" w:cs="Arial" w:eastAsia="Arial" w:hAnsi="Arial"/>
                <w:sz w:val="16"/>
                <w:szCs w:val="16"/>
                <w:color w:val="auto"/>
              </w:rPr>
              <w:t>Income from operations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81"/>
              <w:spacing w:after="0"/>
              <w:rPr>
                <w:sz w:val="20"/>
                <w:szCs w:val="20"/>
                <w:color w:val="auto"/>
              </w:rPr>
            </w:pPr>
            <w:r>
              <w:rPr>
                <w:rFonts w:ascii="Arial" w:cs="Arial" w:eastAsia="Arial" w:hAnsi="Arial"/>
                <w:sz w:val="16"/>
                <w:szCs w:val="16"/>
                <w:color w:val="auto"/>
              </w:rPr>
              <w:t>6,787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13,720</w:t>
            </w:r>
          </w:p>
        </w:tc>
      </w:tr>
      <w:tr>
        <w:trPr>
          <w:trHeight w:val="33"/>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8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income margin</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33"/>
        </w:trPr>
        <w:tc>
          <w:tcPr>
            <w:tcW w:w="8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international segment Restaurant sales for the period indicated:</w:t>
      </w:r>
    </w:p>
    <w:p>
      <w:pPr>
        <w:spacing w:after="0" w:line="156" w:lineRule="exact"/>
        <w:rPr>
          <w:sz w:val="20"/>
          <w:szCs w:val="20"/>
          <w:color w:val="auto"/>
        </w:rPr>
      </w:pPr>
    </w:p>
    <w:p>
      <w:pPr>
        <w:ind w:left="40"/>
        <w:spacing w:after="0"/>
        <w:tabs>
          <w:tab w:leader="none" w:pos="8840" w:val="left"/>
        </w:tabs>
        <w:rPr>
          <w:sz w:val="20"/>
          <w:szCs w:val="20"/>
          <w:color w:val="auto"/>
        </w:rPr>
      </w:pPr>
      <w:r>
        <w:rPr>
          <w:rFonts w:ascii="Arial" w:cs="Arial" w:eastAsia="Arial" w:hAnsi="Arial"/>
          <w:sz w:val="14"/>
          <w:szCs w:val="14"/>
          <w:b w:val="1"/>
          <w:bCs w:val="1"/>
          <w:color w:val="auto"/>
        </w:rPr>
        <w:t>(dollars in millions)</w:t>
      </w:r>
      <w:r>
        <w:rPr>
          <w:sz w:val="20"/>
          <w:szCs w:val="20"/>
          <w:color w:val="auto"/>
        </w:rPr>
        <w:tab/>
      </w:r>
      <w:r>
        <w:rPr>
          <w:rFonts w:ascii="Arial" w:cs="Arial" w:eastAsia="Arial" w:hAnsi="Arial"/>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the period ended March 31, 2019</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Change from:</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Restaurant openings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Comparable restaurant sales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Effect of foreign currency translation</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Restaurant closures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the period ended March 29, 2020</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280" w:type="dxa"/>
            <w:vAlign w:val="bottom"/>
          </w:tcPr>
          <w:p>
            <w:pPr>
              <w:jc w:val="right"/>
              <w:ind w:right="107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110.8</w:t>
            </w:r>
          </w:p>
        </w:tc>
      </w:tr>
      <w:tr>
        <w:trPr>
          <w:trHeight w:val="526"/>
        </w:trPr>
        <w:tc>
          <w:tcPr>
            <w:tcW w:w="1280" w:type="dxa"/>
            <w:vAlign w:val="bottom"/>
          </w:tcPr>
          <w:p>
            <w:pPr>
              <w:spacing w:after="0"/>
              <w:rPr>
                <w:sz w:val="24"/>
                <w:szCs w:val="24"/>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8.4</w:t>
            </w:r>
          </w:p>
        </w:tc>
      </w:tr>
      <w:tr>
        <w:trPr>
          <w:trHeight w:val="256"/>
        </w:trPr>
        <w:tc>
          <w:tcPr>
            <w:tcW w:w="128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256"/>
        </w:trPr>
        <w:tc>
          <w:tcPr>
            <w:tcW w:w="12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56"/>
        </w:trPr>
        <w:tc>
          <w:tcPr>
            <w:tcW w:w="12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40"/>
        </w:trPr>
        <w:tc>
          <w:tcPr>
            <w:tcW w:w="12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24"/>
        </w:trPr>
        <w:tc>
          <w:tcPr>
            <w:tcW w:w="1280" w:type="dxa"/>
            <w:vAlign w:val="bottom"/>
          </w:tcPr>
          <w:p>
            <w:pPr>
              <w:jc w:val="right"/>
              <w:ind w:right="107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111.3</w:t>
            </w:r>
          </w:p>
        </w:tc>
      </w:tr>
      <w:tr>
        <w:trPr>
          <w:trHeight w:val="33"/>
        </w:trPr>
        <w:tc>
          <w:tcPr>
            <w:tcW w:w="1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-856615</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-530860</wp:posOffset>
            </wp:positionV>
            <wp:extent cx="713232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-196215</wp:posOffset>
            </wp:positionV>
            <wp:extent cx="713232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00" w:space="720"/>
            <w:col w:w="2920"/>
          </w:cols>
          <w:pgMar w:left="320" w:top="122" w:right="339" w:bottom="1440" w:gutter="0" w:footer="0" w:header="0"/>
          <w:type w:val="continuous"/>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slight increase in international Restaurant sales during the thirteen weeks ended March 29, 2020 was primarily due to the opening of 18 new restaurants not included in our comparable restaurant sales base and higher comparable restaurant sales. The increase in Restaurant sales was partially offset by the effect of foreign currency translation of the Brazilian Real relative to the U.S. dollar.</w:t>
      </w:r>
    </w:p>
    <w:p>
      <w:pPr>
        <w:spacing w:after="0" w:line="165" w:lineRule="exact"/>
        <w:rPr>
          <w:sz w:val="20"/>
          <w:szCs w:val="20"/>
          <w:color w:val="auto"/>
        </w:rPr>
      </w:pPr>
    </w:p>
    <w:p>
      <w:pPr>
        <w:ind w:left="60" w:right="20"/>
        <w:spacing w:after="0" w:line="316" w:lineRule="auto"/>
        <w:rPr>
          <w:sz w:val="20"/>
          <w:szCs w:val="20"/>
          <w:color w:val="auto"/>
        </w:rPr>
      </w:pPr>
      <w:r>
        <w:rPr>
          <w:rFonts w:ascii="Arial" w:cs="Arial" w:eastAsia="Arial" w:hAnsi="Arial"/>
          <w:sz w:val="18"/>
          <w:szCs w:val="18"/>
          <w:color w:val="auto"/>
        </w:rPr>
        <w:t>Outback Steakhouse Brazil results are reported on a one-month lag and are presented on a calendar basis. Restaurant sales for Brazil during the first fiscal quarter of 2020 (through February 29, 2020) do not include any material impact from the COVID-19 pandemic.</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decrease in international income from operations during the thirteen weeks ended March 29, 2020 as compared to the thirteen weeks ended March 31, 2019 was primarily due to: (i) costs incurred in connection with the COVID-19 pandemic, including asset impairment and other charges, (ii) lower comparable restaurant sales in Hong Kong as a result of COVID-19, (iii) changes in product mix in Brazil and (iv) commodity inflation. These decreases were partially offset by higher comparable restaurant sales and lower advertising expense in Brazil.</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System-Wide Sales - </w:t>
      </w:r>
      <w:r>
        <w:rPr>
          <w:rFonts w:ascii="Arial" w:cs="Arial" w:eastAsia="Arial" w:hAnsi="Arial"/>
          <w:sz w:val="20"/>
          <w:szCs w:val="20"/>
          <w:color w:val="auto"/>
        </w:rPr>
        <w:t>System-wide sales is a non-GAAP financial measure that includes sales of all restaurants operating under our brand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names, 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3 </w:t>
      </w:r>
      <w:r>
        <w:rPr>
          <w:rFonts w:ascii="Arial" w:cs="Arial" w:eastAsia="Arial" w:hAnsi="Arial"/>
          <w:sz w:val="17"/>
          <w:szCs w:val="17"/>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Revenue Recognition</w:t>
      </w:r>
      <w:r>
        <w:rPr>
          <w:rFonts w:ascii="Arial" w:cs="Arial" w:eastAsia="Arial" w:hAnsi="Arial"/>
          <w:sz w:val="20"/>
          <w:szCs w:val="20"/>
          <w:color w:val="auto"/>
        </w:rPr>
        <w:t xml:space="preserve"> of the Notes to Consolidated Financial Statements.</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table provides a summary of sales of franchised restaurants, which are not included in our consolidated financial results.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263"/>
        </w:trPr>
        <w:tc>
          <w:tcPr>
            <w:tcW w:w="82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22"/>
                <w:szCs w:val="22"/>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2020</w:t>
            </w:r>
          </w:p>
        </w:tc>
        <w:tc>
          <w:tcPr>
            <w:tcW w:w="140" w:type="dxa"/>
            <w:vAlign w:val="bottom"/>
          </w:tcPr>
          <w:p>
            <w:pPr>
              <w:spacing w:after="0"/>
              <w:rPr>
                <w:sz w:val="22"/>
                <w:szCs w:val="22"/>
                <w:color w:val="auto"/>
              </w:rPr>
            </w:pPr>
          </w:p>
        </w:tc>
        <w:tc>
          <w:tcPr>
            <w:tcW w:w="1300" w:type="dxa"/>
            <w:vAlign w:val="bottom"/>
          </w:tcPr>
          <w:p>
            <w:pPr>
              <w:jc w:val="right"/>
              <w:ind w:right="100"/>
              <w:spacing w:after="0"/>
              <w:rPr>
                <w:sz w:val="20"/>
                <w:szCs w:val="20"/>
                <w:color w:val="auto"/>
              </w:rPr>
            </w:pPr>
            <w:r>
              <w:rPr>
                <w:rFonts w:ascii="Arial" w:cs="Arial" w:eastAsia="Arial" w:hAnsi="Arial"/>
                <w:sz w:val="14"/>
                <w:szCs w:val="14"/>
                <w:b w:val="1"/>
                <w:bCs w:val="1"/>
                <w:color w:val="auto"/>
                <w:w w:val="99"/>
              </w:rPr>
              <w:t>MARCH 31, 2019</w:t>
            </w:r>
          </w:p>
        </w:tc>
        <w:tc>
          <w:tcPr>
            <w:tcW w:w="0" w:type="dxa"/>
            <w:vAlign w:val="bottom"/>
          </w:tcPr>
          <w:p>
            <w:pPr>
              <w:spacing w:after="0"/>
              <w:rPr>
                <w:sz w:val="1"/>
                <w:szCs w:val="1"/>
                <w:color w:val="auto"/>
              </w:rPr>
            </w:pP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Outback Steakhouse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Carrabba’s Italian Grill (1)</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Bonefish Grill</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Outback Steakhouse-South Korea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70"/>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57"/>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 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50"/>
        </w:trPr>
        <w:tc>
          <w:tcPr>
            <w:tcW w:w="8220" w:type="dxa"/>
            <w:vAlign w:val="bottom"/>
          </w:tcPr>
          <w:p>
            <w:pPr>
              <w:ind w:left="40"/>
              <w:spacing w:after="0"/>
              <w:rPr>
                <w:sz w:val="20"/>
                <w:szCs w:val="20"/>
                <w:color w:val="auto"/>
              </w:rPr>
            </w:pPr>
            <w:r>
              <w:rPr>
                <w:rFonts w:ascii="Arial" w:cs="Arial" w:eastAsia="Arial" w:hAnsi="Arial"/>
                <w:sz w:val="16"/>
                <w:szCs w:val="16"/>
                <w:color w:val="auto"/>
              </w:rPr>
              <w:t>Total franchise sales (2)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6"/>
                <w:szCs w:val="16"/>
                <w:color w:val="auto"/>
              </w:rPr>
              <w:t>_____________________</w:t>
            </w: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March 2019, we sold 18 Carrabba’s Italian Grill locations, which are now operated as franchises.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Franchise sales are not included in Total revenues in the Consolidated Statements of Operations and Comprehensive (Loss) Income.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Adjusted restaurant-level operating margin - </w:t>
      </w:r>
      <w:r>
        <w:rPr>
          <w:rFonts w:ascii="Arial" w:cs="Arial" w:eastAsia="Arial" w:hAnsi="Arial"/>
          <w:sz w:val="20"/>
          <w:szCs w:val="20"/>
          <w:color w:val="auto"/>
        </w:rPr>
        <w:t>The following table shows the percentages of certain operating cost financial statement line</w:t>
      </w:r>
      <w:r>
        <w:rPr>
          <w:rFonts w:ascii="Arial" w:cs="Arial" w:eastAsia="Arial" w:hAnsi="Arial"/>
          <w:sz w:val="20"/>
          <w:szCs w:val="20"/>
          <w:i w:val="1"/>
          <w:iCs w:val="1"/>
          <w:color w:val="auto"/>
        </w:rPr>
        <w:t xml:space="preserve"> </w:t>
      </w:r>
      <w:r>
        <w:rPr>
          <w:rFonts w:ascii="Arial" w:cs="Arial" w:eastAsia="Arial" w:hAnsi="Arial"/>
          <w:sz w:val="20"/>
          <w:szCs w:val="20"/>
          <w:color w:val="auto"/>
        </w:rPr>
        <w:t>items in relation to Restaurant sales: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0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THIRTEEN WEEKS ENDED</w:t>
            </w:r>
          </w:p>
        </w:tc>
        <w:tc>
          <w:tcPr>
            <w:tcW w:w="1600" w:type="dxa"/>
            <w:vAlign w:val="bottom"/>
            <w:tcBorders>
              <w:bottom w:val="single" w:sz="8" w:color="auto"/>
            </w:tcBorders>
          </w:tcPr>
          <w:p>
            <w:pPr>
              <w:spacing w:after="0"/>
              <w:rPr>
                <w:sz w:val="17"/>
                <w:szCs w:val="17"/>
                <w:color w:val="auto"/>
              </w:rPr>
            </w:pPr>
          </w:p>
        </w:tc>
      </w:tr>
      <w:tr>
        <w:trPr>
          <w:trHeight w:val="264"/>
        </w:trPr>
        <w:tc>
          <w:tcPr>
            <w:tcW w:w="4500" w:type="dxa"/>
            <w:vAlign w:val="bottom"/>
          </w:tcPr>
          <w:p>
            <w:pPr>
              <w:spacing w:after="0"/>
              <w:rPr>
                <w:sz w:val="22"/>
                <w:szCs w:val="22"/>
                <w:color w:val="auto"/>
              </w:rPr>
            </w:pPr>
          </w:p>
        </w:tc>
        <w:tc>
          <w:tcPr>
            <w:tcW w:w="3320" w:type="dxa"/>
            <w:vAlign w:val="bottom"/>
            <w:tcBorders>
              <w:bottom w:val="single" w:sz="8" w:color="auto"/>
            </w:tcBorders>
            <w:gridSpan w:val="3"/>
          </w:tcPr>
          <w:p>
            <w:pPr>
              <w:jc w:val="right"/>
              <w:ind w:right="1022"/>
              <w:spacing w:after="0"/>
              <w:rPr>
                <w:sz w:val="20"/>
                <w:szCs w:val="20"/>
                <w:color w:val="auto"/>
              </w:rPr>
            </w:pPr>
            <w:r>
              <w:rPr>
                <w:rFonts w:ascii="Arial" w:cs="Arial" w:eastAsia="Arial" w:hAnsi="Arial"/>
                <w:sz w:val="14"/>
                <w:szCs w:val="14"/>
                <w:b w:val="1"/>
                <w:bCs w:val="1"/>
                <w:color w:val="auto"/>
              </w:rPr>
              <w:t>MARCH 29, 2020</w:t>
            </w:r>
          </w:p>
        </w:tc>
        <w:tc>
          <w:tcPr>
            <w:tcW w:w="100" w:type="dxa"/>
            <w:vAlign w:val="bottom"/>
          </w:tcPr>
          <w:p>
            <w:pPr>
              <w:spacing w:after="0"/>
              <w:rPr>
                <w:sz w:val="22"/>
                <w:szCs w:val="22"/>
                <w:color w:val="auto"/>
              </w:rPr>
            </w:pPr>
          </w:p>
        </w:tc>
        <w:tc>
          <w:tcPr>
            <w:tcW w:w="3320" w:type="dxa"/>
            <w:vAlign w:val="bottom"/>
            <w:tcBorders>
              <w:bottom w:val="single" w:sz="8" w:color="auto"/>
            </w:tcBorders>
            <w:gridSpan w:val="3"/>
          </w:tcPr>
          <w:p>
            <w:pPr>
              <w:jc w:val="right"/>
              <w:ind w:right="1021"/>
              <w:spacing w:after="0"/>
              <w:rPr>
                <w:sz w:val="20"/>
                <w:szCs w:val="20"/>
                <w:color w:val="auto"/>
              </w:rPr>
            </w:pPr>
            <w:r>
              <w:rPr>
                <w:rFonts w:ascii="Arial" w:cs="Arial" w:eastAsia="Arial" w:hAnsi="Arial"/>
                <w:sz w:val="14"/>
                <w:szCs w:val="14"/>
                <w:b w:val="1"/>
                <w:bCs w:val="1"/>
                <w:color w:val="auto"/>
              </w:rPr>
              <w:t>MARCH 31, 2019</w:t>
            </w:r>
          </w:p>
        </w:tc>
      </w:tr>
      <w:tr>
        <w:trPr>
          <w:trHeight w:val="263"/>
        </w:trPr>
        <w:tc>
          <w:tcPr>
            <w:tcW w:w="4500" w:type="dxa"/>
            <w:vAlign w:val="bottom"/>
          </w:tcPr>
          <w:p>
            <w:pPr>
              <w:spacing w:after="0"/>
              <w:rPr>
                <w:sz w:val="22"/>
                <w:szCs w:val="22"/>
                <w:color w:val="auto"/>
              </w:rPr>
            </w:pPr>
          </w:p>
        </w:tc>
        <w:tc>
          <w:tcPr>
            <w:tcW w:w="1700" w:type="dxa"/>
            <w:vAlign w:val="bottom"/>
            <w:gridSpan w:val="2"/>
          </w:tcPr>
          <w:p>
            <w:pPr>
              <w:ind w:left="460"/>
              <w:spacing w:after="0"/>
              <w:rPr>
                <w:sz w:val="20"/>
                <w:szCs w:val="20"/>
                <w:color w:val="auto"/>
              </w:rPr>
            </w:pPr>
            <w:r>
              <w:rPr>
                <w:rFonts w:ascii="Arial" w:cs="Arial" w:eastAsia="Arial" w:hAnsi="Arial"/>
                <w:sz w:val="14"/>
                <w:szCs w:val="14"/>
                <w:b w:val="1"/>
                <w:bCs w:val="1"/>
                <w:color w:val="auto"/>
              </w:rPr>
              <w:t>U.S. GAAP</w:t>
            </w:r>
          </w:p>
        </w:tc>
        <w:tc>
          <w:tcPr>
            <w:tcW w:w="1720" w:type="dxa"/>
            <w:vAlign w:val="bottom"/>
            <w:gridSpan w:val="2"/>
          </w:tcPr>
          <w:p>
            <w:pPr>
              <w:ind w:left="320"/>
              <w:spacing w:after="0"/>
              <w:rPr>
                <w:sz w:val="20"/>
                <w:szCs w:val="20"/>
                <w:color w:val="auto"/>
              </w:rPr>
            </w:pPr>
            <w:r>
              <w:rPr>
                <w:rFonts w:ascii="Arial" w:cs="Arial" w:eastAsia="Arial" w:hAnsi="Arial"/>
                <w:sz w:val="14"/>
                <w:szCs w:val="14"/>
                <w:b w:val="1"/>
                <w:bCs w:val="1"/>
                <w:color w:val="auto"/>
              </w:rPr>
              <w:t>ADJUSTED (1)</w:t>
            </w: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U.S. GAAP</w:t>
            </w:r>
          </w:p>
        </w:tc>
        <w:tc>
          <w:tcPr>
            <w:tcW w:w="1600" w:type="dxa"/>
            <w:vAlign w:val="bottom"/>
          </w:tcPr>
          <w:p>
            <w:pPr>
              <w:jc w:val="right"/>
              <w:ind w:right="341"/>
              <w:spacing w:after="0"/>
              <w:rPr>
                <w:sz w:val="20"/>
                <w:szCs w:val="20"/>
                <w:color w:val="auto"/>
              </w:rPr>
            </w:pPr>
            <w:r>
              <w:rPr>
                <w:rFonts w:ascii="Arial" w:cs="Arial" w:eastAsia="Arial" w:hAnsi="Arial"/>
                <w:sz w:val="14"/>
                <w:szCs w:val="14"/>
                <w:b w:val="1"/>
                <w:bCs w:val="1"/>
                <w:color w:val="auto"/>
              </w:rPr>
              <w:t>ADJUSTED</w:t>
            </w:r>
          </w:p>
        </w:tc>
      </w:tr>
      <w:tr>
        <w:trPr>
          <w:trHeight w:val="237"/>
        </w:trPr>
        <w:tc>
          <w:tcPr>
            <w:tcW w:w="4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Restaurant sales</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97"/>
        </w:trPr>
        <w:tc>
          <w:tcPr>
            <w:tcW w:w="4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sales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237"/>
        </w:trPr>
        <w:tc>
          <w:tcPr>
            <w:tcW w:w="4500" w:type="dxa"/>
            <w:vAlign w:val="bottom"/>
          </w:tcPr>
          <w:p>
            <w:pPr>
              <w:ind w:left="40"/>
              <w:spacing w:after="0"/>
              <w:rPr>
                <w:sz w:val="20"/>
                <w:szCs w:val="20"/>
                <w:color w:val="auto"/>
              </w:rPr>
            </w:pPr>
            <w:r>
              <w:rPr>
                <w:rFonts w:ascii="Arial" w:cs="Arial" w:eastAsia="Arial" w:hAnsi="Arial"/>
                <w:sz w:val="16"/>
                <w:szCs w:val="16"/>
                <w:color w:val="auto"/>
              </w:rPr>
              <w:t>Labor and other related</w:t>
            </w:r>
          </w:p>
        </w:tc>
        <w:tc>
          <w:tcPr>
            <w:tcW w:w="160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33"/>
        </w:trPr>
        <w:tc>
          <w:tcPr>
            <w:tcW w:w="4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restaurant operating</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97"/>
        </w:trPr>
        <w:tc>
          <w:tcPr>
            <w:tcW w:w="4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Restaurant-level operating margin</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193"/>
        </w:trPr>
        <w:tc>
          <w:tcPr>
            <w:tcW w:w="4500" w:type="dxa"/>
            <w:vAlign w:val="bottom"/>
          </w:tcPr>
          <w:p>
            <w:pPr>
              <w:spacing w:after="0"/>
              <w:rPr>
                <w:sz w:val="20"/>
                <w:szCs w:val="20"/>
                <w:color w:val="auto"/>
              </w:rPr>
            </w:pPr>
            <w:r>
              <w:rPr>
                <w:rFonts w:ascii="Arial" w:cs="Arial" w:eastAsia="Arial" w:hAnsi="Arial"/>
                <w:sz w:val="16"/>
                <w:szCs w:val="16"/>
                <w:color w:val="auto"/>
              </w:rPr>
              <w:t>_________________</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bl>
    <w:p>
      <w:pPr>
        <w:ind w:left="660" w:hanging="652"/>
        <w:spacing w:after="0" w:line="290" w:lineRule="auto"/>
        <w:tabs>
          <w:tab w:leader="none" w:pos="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 xml:space="preserve">Includes unfavorable (favorable) adjustments recorded in Other restaurant operating expense (unless otherwise noted below) for the following activities, as described in the </w:t>
      </w:r>
      <w:r>
        <w:rPr>
          <w:rFonts w:ascii="Arial" w:cs="Arial" w:eastAsia="Arial" w:hAnsi="Arial"/>
          <w:sz w:val="15"/>
          <w:szCs w:val="15"/>
          <w:i w:val="1"/>
          <w:iCs w:val="1"/>
          <w:color w:val="auto"/>
        </w:rPr>
        <w:t>Adjusted income from operations, Adjusted net income and Adjusted diluted earnings per share</w:t>
      </w:r>
      <w:r>
        <w:rPr>
          <w:rFonts w:ascii="Arial" w:cs="Arial" w:eastAsia="Arial" w:hAnsi="Arial"/>
          <w:sz w:val="15"/>
          <w:szCs w:val="15"/>
          <w:color w:val="auto"/>
        </w:rPr>
        <w:t xml:space="preserve"> table below for the period indicated:</w:t>
      </w:r>
    </w:p>
    <w:p>
      <w:pPr>
        <w:spacing w:after="0" w:line="72" w:lineRule="exact"/>
        <w:rPr>
          <w:sz w:val="20"/>
          <w:szCs w:val="20"/>
          <w:color w:val="auto"/>
        </w:rPr>
      </w:pPr>
    </w:p>
    <w:tbl>
      <w:tblPr>
        <w:tblLayout w:type="fixed"/>
        <w:tblInd w:w="670" w:type="dxa"/>
        <w:tblCellMar>
          <w:top w:w="0" w:type="dxa"/>
          <w:left w:w="0" w:type="dxa"/>
          <w:bottom w:w="0" w:type="dxa"/>
          <w:right w:w="0" w:type="dxa"/>
        </w:tblCellMar>
      </w:tblPr>
      <w:tr>
        <w:trPr>
          <w:trHeight w:val="271"/>
        </w:trPr>
        <w:tc>
          <w:tcPr>
            <w:tcW w:w="420" w:type="dxa"/>
            <w:vAlign w:val="bottom"/>
            <w:tcBorders>
              <w:top w:val="single" w:sz="8" w:color="auto"/>
              <w:left w:val="single" w:sz="8" w:color="auto"/>
            </w:tcBorders>
          </w:tcPr>
          <w:p>
            <w:pPr>
              <w:spacing w:after="0"/>
              <w:rPr>
                <w:sz w:val="23"/>
                <w:szCs w:val="23"/>
                <w:color w:val="auto"/>
              </w:rPr>
            </w:pPr>
          </w:p>
        </w:tc>
        <w:tc>
          <w:tcPr>
            <w:tcW w:w="674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2420" w:type="dxa"/>
            <w:vAlign w:val="bottom"/>
            <w:tcBorders>
              <w:top w:val="single" w:sz="8" w:color="auto"/>
              <w:right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THIRTEEN WEEKS ENDED</w:t>
            </w:r>
          </w:p>
        </w:tc>
      </w:tr>
      <w:tr>
        <w:trPr>
          <w:trHeight w:val="222"/>
        </w:trPr>
        <w:tc>
          <w:tcPr>
            <w:tcW w:w="7160" w:type="dxa"/>
            <w:vAlign w:val="bottom"/>
            <w:tcBorders>
              <w:left w:val="single" w:sz="8" w:color="auto"/>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bottom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jc w:val="right"/>
              <w:ind w:right="722"/>
              <w:spacing w:after="0"/>
              <w:rPr>
                <w:sz w:val="20"/>
                <w:szCs w:val="20"/>
                <w:color w:val="auto"/>
              </w:rPr>
            </w:pPr>
            <w:r>
              <w:rPr>
                <w:rFonts w:ascii="Arial" w:cs="Arial" w:eastAsia="Arial" w:hAnsi="Arial"/>
                <w:sz w:val="14"/>
                <w:szCs w:val="14"/>
                <w:b w:val="1"/>
                <w:bCs w:val="1"/>
                <w:color w:val="auto"/>
              </w:rPr>
              <w:t>MARCH 29, 2020</w:t>
            </w:r>
          </w:p>
        </w:tc>
      </w:tr>
      <w:tr>
        <w:trPr>
          <w:trHeight w:val="237"/>
        </w:trPr>
        <w:tc>
          <w:tcPr>
            <w:tcW w:w="7160" w:type="dxa"/>
            <w:vAlign w:val="bottom"/>
            <w:tcBorders>
              <w:left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Restaurant and asset impairments and closing costs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20" w:type="dxa"/>
            <w:vAlign w:val="bottom"/>
            <w:tcBorders>
              <w:bottom w:val="single" w:sz="8" w:color="CCEEFF"/>
              <w:right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2.8</w:t>
            </w:r>
          </w:p>
        </w:tc>
      </w:tr>
      <w:tr>
        <w:trPr>
          <w:trHeight w:val="223"/>
        </w:trPr>
        <w:tc>
          <w:tcPr>
            <w:tcW w:w="7160" w:type="dxa"/>
            <w:vAlign w:val="bottom"/>
            <w:tcBorders>
              <w:left w:val="single" w:sz="8" w:color="auto"/>
            </w:tcBorders>
            <w:gridSpan w:val="2"/>
          </w:tcPr>
          <w:p>
            <w:pPr>
              <w:ind w:left="40"/>
              <w:spacing w:after="0"/>
              <w:rPr>
                <w:sz w:val="20"/>
                <w:szCs w:val="20"/>
                <w:color w:val="auto"/>
              </w:rPr>
            </w:pPr>
            <w:r>
              <w:rPr>
                <w:rFonts w:ascii="Arial" w:cs="Arial" w:eastAsia="Arial" w:hAnsi="Arial"/>
                <w:sz w:val="16"/>
                <w:szCs w:val="16"/>
                <w:color w:val="auto"/>
              </w:rPr>
              <w:t>Restaurant relocations and related costs</w:t>
            </w:r>
          </w:p>
        </w:tc>
        <w:tc>
          <w:tcPr>
            <w:tcW w:w="260" w:type="dxa"/>
            <w:vAlign w:val="bottom"/>
          </w:tcPr>
          <w:p>
            <w:pPr>
              <w:spacing w:after="0"/>
              <w:rPr>
                <w:sz w:val="19"/>
                <w:szCs w:val="19"/>
                <w:color w:val="auto"/>
              </w:rPr>
            </w:pPr>
          </w:p>
        </w:tc>
        <w:tc>
          <w:tcPr>
            <w:tcW w:w="2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7160" w:type="dxa"/>
            <w:vAlign w:val="bottom"/>
            <w:tcBorders>
              <w:left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2420" w:type="dxa"/>
            <w:vAlign w:val="bottom"/>
            <w:tcBorders>
              <w:right w:val="single" w:sz="8" w:color="auto"/>
            </w:tcBorders>
          </w:tcPr>
          <w:p>
            <w:pPr>
              <w:spacing w:after="0"/>
              <w:rPr>
                <w:sz w:val="2"/>
                <w:szCs w:val="2"/>
                <w:color w:val="auto"/>
              </w:rPr>
            </w:pPr>
          </w:p>
        </w:tc>
      </w:tr>
      <w:tr>
        <w:trPr>
          <w:trHeight w:val="263"/>
        </w:trPr>
        <w:tc>
          <w:tcPr>
            <w:tcW w:w="7160" w:type="dxa"/>
            <w:vAlign w:val="bottom"/>
            <w:tcBorders>
              <w:left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COVID-19 related costs (1)</w:t>
            </w:r>
          </w:p>
        </w:tc>
        <w:tc>
          <w:tcPr>
            <w:tcW w:w="260" w:type="dxa"/>
            <w:vAlign w:val="bottom"/>
            <w:tcBorders>
              <w:bottom w:val="single" w:sz="8" w:color="auto"/>
            </w:tcBorders>
            <w:shd w:val="clear" w:color="auto" w:fill="CCEEFF"/>
          </w:tcPr>
          <w:p>
            <w:pPr>
              <w:spacing w:after="0"/>
              <w:rPr>
                <w:sz w:val="22"/>
                <w:szCs w:val="22"/>
                <w:color w:val="auto"/>
              </w:rPr>
            </w:pPr>
          </w:p>
        </w:tc>
        <w:tc>
          <w:tcPr>
            <w:tcW w:w="2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23"/>
        </w:trPr>
        <w:tc>
          <w:tcPr>
            <w:tcW w:w="420" w:type="dxa"/>
            <w:vAlign w:val="bottom"/>
            <w:tcBorders>
              <w:left w:val="single" w:sz="8" w:color="auto"/>
            </w:tcBorders>
          </w:tcPr>
          <w:p>
            <w:pPr>
              <w:spacing w:after="0"/>
              <w:rPr>
                <w:sz w:val="19"/>
                <w:szCs w:val="19"/>
                <w:color w:val="auto"/>
              </w:rPr>
            </w:pPr>
          </w:p>
        </w:tc>
        <w:tc>
          <w:tcPr>
            <w:tcW w:w="674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73"/>
        </w:trPr>
        <w:tc>
          <w:tcPr>
            <w:tcW w:w="7160" w:type="dxa"/>
            <w:vAlign w:val="bottom"/>
            <w:tcBorders>
              <w:left w:val="single" w:sz="8" w:color="auto"/>
              <w:bottom w:val="single" w:sz="8" w:color="auto"/>
            </w:tcBorders>
            <w:gridSpan w:val="2"/>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420" w:type="dxa"/>
            <w:vAlign w:val="bottom"/>
            <w:tcBorders>
              <w:bottom w:val="single" w:sz="8" w:color="auto"/>
              <w:right w:val="single" w:sz="8" w:color="auto"/>
            </w:tcBorders>
          </w:tcPr>
          <w:p>
            <w:pPr>
              <w:spacing w:after="0"/>
              <w:rPr>
                <w:sz w:val="6"/>
                <w:szCs w:val="6"/>
                <w:color w:val="auto"/>
              </w:rPr>
            </w:pPr>
          </w:p>
        </w:tc>
      </w:tr>
      <w:tr>
        <w:trPr>
          <w:trHeight w:val="187"/>
        </w:trPr>
        <w:tc>
          <w:tcPr>
            <w:tcW w:w="7160" w:type="dxa"/>
            <w:vAlign w:val="bottom"/>
            <w:gridSpan w:val="2"/>
          </w:tcPr>
          <w:p>
            <w:pPr>
              <w:spacing w:after="0"/>
              <w:rPr>
                <w:sz w:val="20"/>
                <w:szCs w:val="20"/>
                <w:color w:val="auto"/>
              </w:rPr>
            </w:pPr>
            <w:r>
              <w:rPr>
                <w:rFonts w:ascii="Arial" w:cs="Arial" w:eastAsia="Arial" w:hAnsi="Arial"/>
                <w:sz w:val="16"/>
                <w:szCs w:val="16"/>
                <w:color w:val="auto"/>
              </w:rPr>
              <w:t>_________________</w:t>
            </w:r>
          </w:p>
        </w:tc>
        <w:tc>
          <w:tcPr>
            <w:tcW w:w="26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06"/>
        </w:trPr>
        <w:tc>
          <w:tcPr>
            <w:tcW w:w="420" w:type="dxa"/>
            <w:vAlign w:val="bottom"/>
          </w:tcPr>
          <w:p>
            <w:pPr>
              <w:spacing w:after="0"/>
              <w:rPr>
                <w:sz w:val="20"/>
                <w:szCs w:val="20"/>
                <w:color w:val="auto"/>
              </w:rPr>
            </w:pPr>
            <w:r>
              <w:rPr>
                <w:rFonts w:ascii="Arial" w:cs="Arial" w:eastAsia="Arial" w:hAnsi="Arial"/>
                <w:sz w:val="16"/>
                <w:szCs w:val="16"/>
                <w:color w:val="auto"/>
              </w:rPr>
              <w:t>(1)</w:t>
            </w:r>
          </w:p>
        </w:tc>
        <w:tc>
          <w:tcPr>
            <w:tcW w:w="6740" w:type="dxa"/>
            <w:vAlign w:val="bottom"/>
          </w:tcPr>
          <w:p>
            <w:pPr>
              <w:ind w:left="220"/>
              <w:spacing w:after="0"/>
              <w:rPr>
                <w:sz w:val="20"/>
                <w:szCs w:val="20"/>
                <w:color w:val="auto"/>
              </w:rPr>
            </w:pPr>
            <w:r>
              <w:rPr>
                <w:rFonts w:ascii="Arial" w:cs="Arial" w:eastAsia="Arial" w:hAnsi="Arial"/>
                <w:sz w:val="16"/>
                <w:szCs w:val="16"/>
                <w:color w:val="auto"/>
              </w:rPr>
              <w:t>Adjustments recorded in Cost of sales.</w:t>
            </w:r>
          </w:p>
        </w:tc>
        <w:tc>
          <w:tcPr>
            <w:tcW w:w="260" w:type="dxa"/>
            <w:vAlign w:val="bottom"/>
          </w:tcPr>
          <w:p>
            <w:pPr>
              <w:spacing w:after="0"/>
              <w:rPr>
                <w:sz w:val="17"/>
                <w:szCs w:val="17"/>
                <w:color w:val="auto"/>
              </w:rPr>
            </w:pPr>
          </w:p>
        </w:tc>
        <w:tc>
          <w:tcPr>
            <w:tcW w:w="2420" w:type="dxa"/>
            <w:vAlign w:val="bottom"/>
          </w:tcPr>
          <w:p>
            <w:pPr>
              <w:spacing w:after="0"/>
              <w:rPr>
                <w:sz w:val="17"/>
                <w:szCs w:val="17"/>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income from operations, Adjusted net income and Adjusted diluted earnings per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THIRTEEN WEEKS ENDED</w:t>
            </w:r>
          </w:p>
        </w:tc>
      </w:tr>
      <w:tr>
        <w:trPr>
          <w:trHeight w:val="263"/>
        </w:trPr>
        <w:tc>
          <w:tcPr>
            <w:tcW w:w="808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29, 2020</w:t>
            </w:r>
          </w:p>
        </w:tc>
        <w:tc>
          <w:tcPr>
            <w:tcW w:w="160" w:type="dxa"/>
            <w:vAlign w:val="bottom"/>
          </w:tcPr>
          <w:p>
            <w:pPr>
              <w:spacing w:after="0"/>
              <w:rPr>
                <w:sz w:val="22"/>
                <w:szCs w:val="22"/>
                <w:color w:val="auto"/>
              </w:rPr>
            </w:pPr>
          </w:p>
        </w:tc>
        <w:tc>
          <w:tcPr>
            <w:tcW w:w="1340" w:type="dxa"/>
            <w:vAlign w:val="bottom"/>
          </w:tcPr>
          <w:p>
            <w:pPr>
              <w:jc w:val="right"/>
              <w:ind w:right="120"/>
              <w:spacing w:after="0"/>
              <w:rPr>
                <w:sz w:val="20"/>
                <w:szCs w:val="20"/>
                <w:color w:val="auto"/>
              </w:rPr>
            </w:pPr>
            <w:r>
              <w:rPr>
                <w:rFonts w:ascii="Arial" w:cs="Arial" w:eastAsia="Arial" w:hAnsi="Arial"/>
                <w:sz w:val="14"/>
                <w:szCs w:val="14"/>
                <w:b w:val="1"/>
                <w:bCs w:val="1"/>
                <w:color w:val="auto"/>
              </w:rPr>
              <w:t>MARCH 31, 2019</w:t>
            </w:r>
          </w:p>
        </w:tc>
      </w:tr>
      <w:tr>
        <w:trPr>
          <w:trHeight w:val="237"/>
        </w:trPr>
        <w:tc>
          <w:tcPr>
            <w:tcW w:w="8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operations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(41,568)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82,494</w:t>
            </w:r>
          </w:p>
        </w:tc>
      </w:tr>
      <w:tr>
        <w:trPr>
          <w:trHeight w:val="237"/>
        </w:trPr>
        <w:tc>
          <w:tcPr>
            <w:tcW w:w="8080" w:type="dxa"/>
            <w:vAlign w:val="bottom"/>
          </w:tcPr>
          <w:p>
            <w:pPr>
              <w:ind w:left="180"/>
              <w:spacing w:after="0"/>
              <w:rPr>
                <w:sz w:val="20"/>
                <w:szCs w:val="20"/>
                <w:color w:val="auto"/>
              </w:rPr>
            </w:pPr>
            <w:r>
              <w:rPr>
                <w:rFonts w:ascii="Arial" w:cs="Arial" w:eastAsia="Arial" w:hAnsi="Arial"/>
                <w:sz w:val="16"/>
                <w:szCs w:val="16"/>
                <w:i w:val="1"/>
                <w:iCs w:val="1"/>
                <w:color w:val="auto"/>
              </w:rPr>
              <w:t>Operating (loss) income margin</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33"/>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8080" w:type="dxa"/>
            <w:vAlign w:val="bottom"/>
          </w:tcPr>
          <w:p>
            <w:pPr>
              <w:ind w:left="180"/>
              <w:spacing w:after="0"/>
              <w:rPr>
                <w:sz w:val="20"/>
                <w:szCs w:val="20"/>
                <w:color w:val="auto"/>
              </w:rPr>
            </w:pPr>
            <w:r>
              <w:rPr>
                <w:rFonts w:ascii="Arial" w:cs="Arial" w:eastAsia="Arial" w:hAnsi="Arial"/>
                <w:sz w:val="16"/>
                <w:szCs w:val="16"/>
                <w:color w:val="auto"/>
              </w:rPr>
              <w:t>COVID-19 related costs (1)</w:t>
            </w:r>
          </w:p>
        </w:tc>
        <w:tc>
          <w:tcPr>
            <w:tcW w:w="160" w:type="dxa"/>
            <w:vAlign w:val="bottom"/>
          </w:tcPr>
          <w:p>
            <w:pPr>
              <w:spacing w:after="0"/>
              <w:rPr>
                <w:sz w:val="20"/>
                <w:szCs w:val="20"/>
                <w:color w:val="auto"/>
              </w:rPr>
            </w:pP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48,876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Severance and other transformational costs (2)</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22,232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2,855</w:t>
            </w:r>
          </w:p>
        </w:tc>
      </w:tr>
      <w:tr>
        <w:trPr>
          <w:trHeight w:val="237"/>
        </w:trPr>
        <w:tc>
          <w:tcPr>
            <w:tcW w:w="8080" w:type="dxa"/>
            <w:vAlign w:val="bottom"/>
          </w:tcPr>
          <w:p>
            <w:pPr>
              <w:ind w:left="180"/>
              <w:spacing w:after="0"/>
              <w:rPr>
                <w:sz w:val="20"/>
                <w:szCs w:val="20"/>
                <w:color w:val="auto"/>
              </w:rPr>
            </w:pPr>
            <w:r>
              <w:rPr>
                <w:rFonts w:ascii="Arial" w:cs="Arial" w:eastAsia="Arial" w:hAnsi="Arial"/>
                <w:sz w:val="16"/>
                <w:szCs w:val="16"/>
                <w:color w:val="auto"/>
              </w:rPr>
              <w:t>Restaurant relocations and related costs (3)</w:t>
            </w:r>
          </w:p>
        </w:tc>
        <w:tc>
          <w:tcPr>
            <w:tcW w:w="160" w:type="dxa"/>
            <w:vAlign w:val="bottom"/>
          </w:tcPr>
          <w:p>
            <w:pPr>
              <w:spacing w:after="0"/>
              <w:rPr>
                <w:sz w:val="20"/>
                <w:szCs w:val="20"/>
                <w:color w:val="auto"/>
              </w:rPr>
            </w:pP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1,032</w:t>
            </w:r>
          </w:p>
        </w:tc>
      </w:tr>
      <w:tr>
        <w:trPr>
          <w:trHeight w:val="33"/>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Legal and contingent matters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8080" w:type="dxa"/>
            <w:vAlign w:val="bottom"/>
          </w:tcPr>
          <w:p>
            <w:pPr>
              <w:ind w:left="180"/>
              <w:spacing w:after="0"/>
              <w:rPr>
                <w:sz w:val="20"/>
                <w:szCs w:val="20"/>
                <w:color w:val="auto"/>
              </w:rPr>
            </w:pPr>
            <w:r>
              <w:rPr>
                <w:rFonts w:ascii="Arial" w:cs="Arial" w:eastAsia="Arial" w:hAnsi="Arial"/>
                <w:sz w:val="16"/>
                <w:szCs w:val="16"/>
                <w:color w:val="auto"/>
              </w:rPr>
              <w:t>Restaurant and asset impairments and closing costs (4)</w:t>
            </w:r>
          </w:p>
        </w:tc>
        <w:tc>
          <w:tcPr>
            <w:tcW w:w="160" w:type="dxa"/>
            <w:vAlign w:val="bottom"/>
          </w:tcPr>
          <w:p>
            <w:pPr>
              <w:spacing w:after="0"/>
              <w:rPr>
                <w:sz w:val="20"/>
                <w:szCs w:val="20"/>
                <w:color w:val="auto"/>
              </w:rPr>
            </w:pP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(2,797)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2,131</w:t>
            </w:r>
          </w:p>
        </w:tc>
      </w:tr>
      <w:tr>
        <w:trPr>
          <w:trHeight w:val="33"/>
        </w:trPr>
        <w:tc>
          <w:tcPr>
            <w:tcW w:w="8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income from operations adjustments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69,081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6,018</w:t>
            </w:r>
          </w:p>
        </w:tc>
      </w:tr>
      <w:tr>
        <w:trPr>
          <w:trHeight w:val="270"/>
        </w:trPr>
        <w:tc>
          <w:tcPr>
            <w:tcW w:w="8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income from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27,513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88,512</w:t>
            </w:r>
          </w:p>
        </w:tc>
      </w:tr>
      <w:tr>
        <w:trPr>
          <w:trHeight w:val="230"/>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Adjusted operating income margin</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97"/>
        </w:trPr>
        <w:tc>
          <w:tcPr>
            <w:tcW w:w="8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common stockholders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(38,107)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64,300</w:t>
            </w:r>
          </w:p>
        </w:tc>
      </w:tr>
      <w:tr>
        <w:trPr>
          <w:trHeight w:val="237"/>
        </w:trPr>
        <w:tc>
          <w:tcPr>
            <w:tcW w:w="808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from operations adjustments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adjustments,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 to provision for income taxes (5)</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Redemption of preferred stock in excess of carrying value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adjustments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80" w:type="dxa"/>
            <w:vAlign w:val="bottom"/>
          </w:tcPr>
          <w:p>
            <w:pPr>
              <w:spacing w:after="0"/>
              <w:rPr>
                <w:sz w:val="17"/>
                <w:szCs w:val="17"/>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69,081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6,018</w:t>
            </w:r>
          </w:p>
        </w:tc>
      </w:tr>
      <w:tr>
        <w:trPr>
          <w:trHeight w:val="40"/>
        </w:trPr>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3"/>
        </w:trPr>
        <w:tc>
          <w:tcPr>
            <w:tcW w:w="480" w:type="dxa"/>
            <w:vAlign w:val="bottom"/>
          </w:tcPr>
          <w:p>
            <w:pPr>
              <w:spacing w:after="0"/>
              <w:rPr>
                <w:sz w:val="19"/>
                <w:szCs w:val="19"/>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69,081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6,018</w:t>
            </w:r>
          </w:p>
        </w:tc>
      </w:tr>
      <w:tr>
        <w:trPr>
          <w:trHeight w:val="270"/>
        </w:trPr>
        <w:tc>
          <w:tcPr>
            <w:tcW w:w="48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(21,995)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(819)</w:t>
            </w:r>
          </w:p>
        </w:tc>
      </w:tr>
      <w:tr>
        <w:trPr>
          <w:trHeight w:val="257"/>
        </w:trPr>
        <w:tc>
          <w:tcPr>
            <w:tcW w:w="480" w:type="dxa"/>
            <w:vAlign w:val="bottom"/>
          </w:tcPr>
          <w:p>
            <w:pPr>
              <w:spacing w:after="0"/>
              <w:rPr>
                <w:sz w:val="22"/>
                <w:szCs w:val="22"/>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3,496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40"/>
        </w:trPr>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3"/>
        </w:trPr>
        <w:tc>
          <w:tcPr>
            <w:tcW w:w="480" w:type="dxa"/>
            <w:vAlign w:val="bottom"/>
          </w:tcPr>
          <w:p>
            <w:pPr>
              <w:spacing w:after="0"/>
              <w:rPr>
                <w:sz w:val="19"/>
                <w:szCs w:val="19"/>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50,582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5,199</w:t>
            </w:r>
          </w:p>
        </w:tc>
      </w:tr>
      <w:tr>
        <w:trPr>
          <w:trHeight w:val="40"/>
        </w:trPr>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3"/>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12,475</w:t>
            </w:r>
          </w:p>
        </w:tc>
        <w:tc>
          <w:tcPr>
            <w:tcW w:w="10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69,499</w:t>
            </w:r>
          </w:p>
        </w:tc>
      </w:tr>
      <w:tr>
        <w:trPr>
          <w:trHeight w:val="33"/>
        </w:trPr>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60" w:space="720"/>
            <w:col w:w="3160"/>
          </w:cols>
          <w:pgMar w:left="320" w:top="122" w:right="339" w:bottom="1440" w:gutter="0" w:footer="0" w:header="0"/>
          <w:type w:val="continuous"/>
        </w:sectPr>
      </w:pP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(loss) earnings per share attributable to common stockholders</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(0.44)</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0.69</w:t>
            </w:r>
          </w:p>
        </w:tc>
        <w:tc>
          <w:tcPr>
            <w:tcW w:w="0" w:type="dxa"/>
            <w:vAlign w:val="bottom"/>
          </w:tcPr>
          <w:p>
            <w:pPr>
              <w:spacing w:after="0"/>
              <w:rPr>
                <w:sz w:val="1"/>
                <w:szCs w:val="1"/>
                <w:color w:val="auto"/>
              </w:rPr>
            </w:pPr>
          </w:p>
        </w:tc>
      </w:tr>
      <w:tr>
        <w:trPr>
          <w:trHeight w:val="237"/>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diluted earnings per share</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weighted average common shares outstanding</w:t>
            </w: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87,129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91,415</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80" w:type="dxa"/>
            <w:vAlign w:val="bottom"/>
          </w:tcPr>
          <w:p>
            <w:pPr>
              <w:ind w:left="40"/>
              <w:spacing w:after="0"/>
              <w:rPr>
                <w:sz w:val="20"/>
                <w:szCs w:val="20"/>
                <w:color w:val="auto"/>
              </w:rPr>
            </w:pPr>
            <w:r>
              <w:rPr>
                <w:rFonts w:ascii="Arial" w:cs="Arial" w:eastAsia="Arial" w:hAnsi="Arial"/>
                <w:sz w:val="16"/>
                <w:szCs w:val="16"/>
                <w:color w:val="auto"/>
              </w:rPr>
              <w:t>Diluted weighted average common shares outstanding (7)</w:t>
            </w: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87,963</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92,661</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6"/>
                <w:szCs w:val="16"/>
                <w:color w:val="auto"/>
              </w:rPr>
              <w:t>_________________</w:t>
            </w: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660" w:hanging="652"/>
        <w:spacing w:after="0" w:line="262" w:lineRule="auto"/>
        <w:tabs>
          <w:tab w:leader="none" w:pos="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 xml:space="preserve">Represents costs incurred in connection with the economic impact of the COVID-19 pandemic, primarily consisting of fixed asset and right-of-use asset impairments, inventory obsolescence and spoilage, contingent lease liabilities and current expected credit losses. See Note 2 - </w:t>
      </w:r>
      <w:r>
        <w:rPr>
          <w:rFonts w:ascii="Arial" w:cs="Arial" w:eastAsia="Arial" w:hAnsi="Arial"/>
          <w:sz w:val="15"/>
          <w:szCs w:val="15"/>
          <w:i w:val="1"/>
          <w:iCs w:val="1"/>
          <w:color w:val="auto"/>
        </w:rPr>
        <w:t>COVID-19 Impact</w:t>
      </w:r>
      <w:r>
        <w:rPr>
          <w:rFonts w:ascii="Arial" w:cs="Arial" w:eastAsia="Arial" w:hAnsi="Arial"/>
          <w:sz w:val="15"/>
          <w:szCs w:val="15"/>
          <w:color w:val="auto"/>
        </w:rPr>
        <w:t xml:space="preserve"> of the Notes to Consolidated Financial Statement for additional details regarding the impact of the COVID-19 pandemic on our financial results.</w:t>
      </w:r>
    </w:p>
    <w:p>
      <w:pPr>
        <w:spacing w:after="0" w:line="2" w:lineRule="exact"/>
        <w:rPr>
          <w:rFonts w:ascii="Arial" w:cs="Arial" w:eastAsia="Arial" w:hAnsi="Arial"/>
          <w:sz w:val="15"/>
          <w:szCs w:val="15"/>
          <w:color w:val="auto"/>
        </w:rPr>
      </w:pP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Relates to severance and other costs incurred as a result of transformational and restructuring activities.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asset impairment charges and accelerated depreciation incurred in connection with our relocation program.</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a lease termination gain of $2.8 million in 2020 and asset impairment charges and related costs primarily related to approved closure and restructuring initiatives in 2019.</w:t>
      </w: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income tax effect of the adjustments for the periods presented.</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consideration paid in excess of the carrying value for the redemption of preferred stock of our Abbraccio subsidiary.</w:t>
      </w:r>
    </w:p>
    <w:p>
      <w:pPr>
        <w:spacing w:after="0" w:line="5" w:lineRule="exact"/>
        <w:rPr>
          <w:rFonts w:ascii="Arial" w:cs="Arial" w:eastAsia="Arial" w:hAnsi="Arial"/>
          <w:sz w:val="16"/>
          <w:szCs w:val="16"/>
          <w:color w:val="auto"/>
        </w:rPr>
      </w:pPr>
    </w:p>
    <w:p>
      <w:pPr>
        <w:ind w:left="660" w:hanging="652"/>
        <w:spacing w:after="0" w:line="290" w:lineRule="auto"/>
        <w:tabs>
          <w:tab w:leader="none" w:pos="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Due to the GAAP net loss, the effect of dilutive securities was excluded from the calculation of GAAP diluted (loss) earnings per share for the thirteen weeks ended March 29, 2020. For adjusted diluted earnings per share, the calculation includes 834 dilutive shares for the thirteen weeks ended March 29, 2020.</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LIQUIDITY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Typically, cash flows generated from operating activities are our principal source of liquidity, which we use for operating expenses, payments on our debt, remodeling or relocating older restaurants, obligations related to our deferred compensation plans and investments in technology. All of our restaurants are currently operating at reduced capacities or off-premises only due to the COVID-19 pandemic and may not be able to generate sufficient cash from operations to cover all of our projected expenditures.</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response to the COVID-19 pandemic, we have tightly managed expenses while prioritizing supporting our workforce and our off-premises business. In addition, we have taken several precautionary measures to preserve liquidity, including the following:</w:t>
      </w:r>
    </w:p>
    <w:p>
      <w:pPr>
        <w:spacing w:after="0" w:line="19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we suspended our quarterly cash dividend and stock repurchases;</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we significantly reduced marketing and tightly managed other expenses;</w:t>
      </w:r>
    </w:p>
    <w:p>
      <w:pPr>
        <w:ind w:left="660" w:hanging="328"/>
        <w:spacing w:after="0"/>
        <w:tabs>
          <w:tab w:leader="none" w:pos="6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we deferred nearly all capital expenditures other than maintenance to support off-premises business;</w:t>
      </w:r>
    </w:p>
    <w:p>
      <w:pPr>
        <w:ind w:left="660" w:hanging="328"/>
        <w:spacing w:after="0"/>
        <w:tabs>
          <w:tab w:leader="none" w:pos="6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we engaged in constructive dialogue with our landlords regarding rent abatements and deferrals; and</w:t>
      </w: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CEO has agreed to forego substantially all base salary and our Board has agreed to forego all cash retainers until further notice.</w:t>
      </w:r>
    </w:p>
    <w:p>
      <w:pPr>
        <w:spacing w:after="0" w:line="23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above actions are in addition to the significant cost cutting measures for fiscal 2020 that we announced and implemented earlier in the year.</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addition, on March 16, 2020, in order to increase our cash position and preserve financial flexibility, we drew down substantially all remaining availability under our revolving credit facility.</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May 2020, we issued $230.0 million aggregate principal amount of 5.00% convertible senior notes due 2025. Net proceeds from this offering were approximately $221.4 million, after deducting the initial purchaser’s discounts and commissions and our offering expenses. We intend to use the net proceeds of this offering for general corporate purposes. See “</w:t>
      </w:r>
      <w:r>
        <w:rPr>
          <w:rFonts w:ascii="Arial" w:cs="Arial" w:eastAsia="Arial" w:hAnsi="Arial"/>
          <w:sz w:val="20"/>
          <w:szCs w:val="20"/>
          <w:i w:val="1"/>
          <w:iCs w:val="1"/>
          <w:color w:val="auto"/>
        </w:rPr>
        <w:t>Convertible Notes”</w:t>
      </w:r>
      <w:r>
        <w:rPr>
          <w:rFonts w:ascii="Arial" w:cs="Arial" w:eastAsia="Arial" w:hAnsi="Arial"/>
          <w:sz w:val="20"/>
          <w:szCs w:val="20"/>
          <w:color w:val="auto"/>
        </w:rPr>
        <w:t xml:space="preserve"> below for additional details regarding the convertible senior notes.</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As of March 29, 2020, we had $403.4 million in cash and cash equivalents, of which $32.2 million was held by</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affiliates. The international jurisdictions in which we have significant cash do not have any known restrictions that would prohibit repatriation. On April 21, 2020 we made a $12.5 million cash distribution to our Brazil subsidiary for general operational purposes.</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March 29, 2020, we had aggregate accumulated foreign earnings of approximately $81.1 million. This amount consisted primarily of historical earnings from 2017 and prior that were previously taxed in the U.S. under the 2017 Tax Cuts and Jobs Act and post-2017 foreign earnings, which we may repatriate to the U.S. without additional U.S. federal income tax. These amounts are no longer considered indefinitely reinvested in our foreign subsidiaries.</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Closure Initiatives </w:t>
      </w:r>
      <w:r>
        <w:rPr>
          <w:rFonts w:ascii="Arial" w:cs="Arial" w:eastAsia="Arial" w:hAnsi="Arial"/>
          <w:sz w:val="19"/>
          <w:szCs w:val="19"/>
          <w:color w:val="auto"/>
        </w:rPr>
        <w:t>- Total aggregate future undiscounted cash expenditures of $11.9 million to $14.5 million related to lease liabilities for</w:t>
      </w:r>
      <w:r>
        <w:rPr>
          <w:rFonts w:ascii="Arial" w:cs="Arial" w:eastAsia="Arial" w:hAnsi="Arial"/>
          <w:sz w:val="19"/>
          <w:szCs w:val="19"/>
          <w:i w:val="1"/>
          <w:iCs w:val="1"/>
          <w:color w:val="auto"/>
        </w:rPr>
        <w:t xml:space="preserve"> </w:t>
      </w:r>
      <w:r>
        <w:rPr>
          <w:rFonts w:ascii="Arial" w:cs="Arial" w:eastAsia="Arial" w:hAnsi="Arial"/>
          <w:sz w:val="19"/>
          <w:szCs w:val="19"/>
          <w:color w:val="auto"/>
        </w:rPr>
        <w:t>certain closure initiatives are expected to occur over the remaining lease terms with the final term ending in January 2029.</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Capital Expenditures </w:t>
      </w:r>
      <w:r>
        <w:rPr>
          <w:rFonts w:ascii="Arial" w:cs="Arial" w:eastAsia="Arial" w:hAnsi="Arial"/>
          <w:sz w:val="20"/>
          <w:szCs w:val="20"/>
          <w:color w:val="auto"/>
        </w:rPr>
        <w:t>- We estimate that our capital expenditures will total approximately $100.0 million to $110.0 million in 2020. The</w:t>
      </w:r>
      <w:r>
        <w:rPr>
          <w:rFonts w:ascii="Arial" w:cs="Arial" w:eastAsia="Arial" w:hAnsi="Arial"/>
          <w:sz w:val="20"/>
          <w:szCs w:val="20"/>
          <w:i w:val="1"/>
          <w:iCs w:val="1"/>
          <w:color w:val="auto"/>
        </w:rPr>
        <w:t xml:space="preserve"> </w:t>
      </w:r>
      <w:r>
        <w:rPr>
          <w:rFonts w:ascii="Arial" w:cs="Arial" w:eastAsia="Arial" w:hAnsi="Arial"/>
          <w:sz w:val="20"/>
          <w:szCs w:val="20"/>
          <w:color w:val="auto"/>
        </w:rPr>
        <w:t>amount of actual capital expenditures may be affected by general economic, financial, competitive, legislative and regulatory factors, among other things, including restrictions imposed by our borrowing arrangements.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Under the Amended Credit Agreement, we are limited to $100.0 million of aggregate capital expenditures for the four fiscal quarters through March 28, 2021.</w:t>
      </w:r>
    </w:p>
    <w:p>
      <w:pPr>
        <w:spacing w:after="0" w:line="19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 As of March 29, 2020, we had $1.4 billion of outstanding borrowings under our Senior Secured Credit Facility. We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evaluate whether we will make further payments of our outstanding debt ahead of scheduled maturities. Following is a summary of our outstanding credit facilities as of the dates indicated and principal payments and debt issuance during the period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gridSpan w:val="5"/>
          </w:tcPr>
          <w:p>
            <w:pPr>
              <w:ind w:left="260"/>
              <w:spacing w:after="0"/>
              <w:rPr>
                <w:sz w:val="20"/>
                <w:szCs w:val="20"/>
                <w:color w:val="auto"/>
              </w:rPr>
            </w:pPr>
            <w:r>
              <w:rPr>
                <w:rFonts w:ascii="Arial" w:cs="Arial" w:eastAsia="Arial" w:hAnsi="Arial"/>
                <w:sz w:val="14"/>
                <w:szCs w:val="14"/>
                <w:b w:val="1"/>
                <w:bCs w:val="1"/>
                <w:color w:val="auto"/>
              </w:rPr>
              <w:t>SENIOR SECURED CREDIT FACILITY</w:t>
            </w: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CREDIT</w:t>
            </w:r>
          </w:p>
        </w:tc>
        <w:tc>
          <w:tcPr>
            <w:tcW w:w="0" w:type="dxa"/>
            <w:vAlign w:val="bottom"/>
          </w:tcPr>
          <w:p>
            <w:pPr>
              <w:spacing w:after="0"/>
              <w:rPr>
                <w:sz w:val="1"/>
                <w:szCs w:val="1"/>
                <w:color w:val="auto"/>
              </w:rPr>
            </w:pPr>
          </w:p>
        </w:tc>
      </w:tr>
      <w:tr>
        <w:trPr>
          <w:trHeight w:val="58"/>
        </w:trPr>
        <w:tc>
          <w:tcPr>
            <w:tcW w:w="63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5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4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63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 LOAN A</w:t>
            </w:r>
          </w:p>
        </w:tc>
        <w:tc>
          <w:tcPr>
            <w:tcW w:w="1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REVOLVING FACILITY</w:t>
            </w:r>
          </w:p>
        </w:tc>
        <w:tc>
          <w:tcPr>
            <w:tcW w:w="160" w:type="dxa"/>
            <w:vAlign w:val="bottom"/>
          </w:tcPr>
          <w:p>
            <w:pPr>
              <w:spacing w:after="0"/>
              <w:rPr>
                <w:sz w:val="17"/>
                <w:szCs w:val="17"/>
                <w:color w:val="auto"/>
              </w:rPr>
            </w:pPr>
          </w:p>
        </w:tc>
        <w:tc>
          <w:tcPr>
            <w:tcW w:w="1060" w:type="dxa"/>
            <w:vAlign w:val="bottom"/>
          </w:tcPr>
          <w:p>
            <w:pPr>
              <w:jc w:val="right"/>
              <w:ind w:right="121"/>
              <w:spacing w:after="0"/>
              <w:rPr>
                <w:sz w:val="20"/>
                <w:szCs w:val="20"/>
                <w:color w:val="auto"/>
              </w:rPr>
            </w:pPr>
            <w:r>
              <w:rPr>
                <w:rFonts w:ascii="Arial" w:cs="Arial" w:eastAsia="Arial" w:hAnsi="Arial"/>
                <w:sz w:val="14"/>
                <w:szCs w:val="14"/>
                <w:b w:val="1"/>
                <w:bCs w:val="1"/>
                <w:color w:val="auto"/>
              </w:rPr>
              <w:t>FACILITIES</w:t>
            </w:r>
          </w:p>
        </w:tc>
        <w:tc>
          <w:tcPr>
            <w:tcW w:w="0" w:type="dxa"/>
            <w:vAlign w:val="bottom"/>
          </w:tcPr>
          <w:p>
            <w:pPr>
              <w:spacing w:after="0"/>
              <w:rPr>
                <w:sz w:val="1"/>
                <w:szCs w:val="1"/>
                <w:color w:val="auto"/>
              </w:rPr>
            </w:pPr>
          </w:p>
        </w:tc>
      </w:tr>
      <w:tr>
        <w:trPr>
          <w:trHeight w:val="237"/>
        </w:trPr>
        <w:tc>
          <w:tcPr>
            <w:tcW w:w="6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29, 2019</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450,000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599,000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1,049,000</w:t>
            </w:r>
          </w:p>
        </w:tc>
        <w:tc>
          <w:tcPr>
            <w:tcW w:w="0" w:type="dxa"/>
            <w:vAlign w:val="bottom"/>
          </w:tcPr>
          <w:p>
            <w:pPr>
              <w:spacing w:after="0"/>
              <w:rPr>
                <w:sz w:val="1"/>
                <w:szCs w:val="1"/>
                <w:color w:val="auto"/>
              </w:rPr>
            </w:pP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2020 new debt</w:t>
            </w:r>
          </w:p>
        </w:tc>
        <w:tc>
          <w:tcPr>
            <w:tcW w:w="22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505,000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505,000</w:t>
            </w: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 payments</w:t>
            </w:r>
          </w:p>
        </w:tc>
        <w:tc>
          <w:tcPr>
            <w:tcW w:w="2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(6,250)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(129,000)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(135,250)</w:t>
            </w:r>
          </w:p>
        </w:tc>
        <w:tc>
          <w:tcPr>
            <w:tcW w:w="0" w:type="dxa"/>
            <w:vAlign w:val="bottom"/>
          </w:tcPr>
          <w:p>
            <w:pPr>
              <w:spacing w:after="0"/>
              <w:rPr>
                <w:sz w:val="1"/>
                <w:szCs w:val="1"/>
                <w:color w:val="auto"/>
              </w:rPr>
            </w:pPr>
          </w:p>
        </w:tc>
      </w:tr>
      <w:tr>
        <w:trPr>
          <w:trHeight w:val="290"/>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as of March 29, 2020</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443,750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975,000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1,418,750</w:t>
            </w:r>
          </w:p>
        </w:tc>
        <w:tc>
          <w:tcPr>
            <w:tcW w:w="0" w:type="dxa"/>
            <w:vAlign w:val="bottom"/>
          </w:tcPr>
          <w:p>
            <w:pPr>
              <w:spacing w:after="0"/>
              <w:rPr>
                <w:sz w:val="1"/>
                <w:szCs w:val="1"/>
                <w:color w:val="auto"/>
              </w:rPr>
            </w:pPr>
          </w:p>
        </w:tc>
      </w:tr>
      <w:tr>
        <w:trPr>
          <w:trHeight w:val="311"/>
        </w:trPr>
        <w:tc>
          <w:tcPr>
            <w:tcW w:w="6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Weighted-average interest rate, as of March 29, 2020</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Principal maturity date</w:t>
            </w:r>
          </w:p>
        </w:tc>
        <w:tc>
          <w:tcPr>
            <w:tcW w:w="2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November 2022</w:t>
            </w:r>
          </w:p>
        </w:tc>
        <w:tc>
          <w:tcPr>
            <w:tcW w:w="3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November 2022</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March 29, 2020, we had $4.8 million in available unused borrowing capacity under our revolving credit facility, net of letters of credit of $20.2 million.</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Amended Credit Agreement </w:t>
      </w:r>
      <w:r>
        <w:rPr>
          <w:rFonts w:ascii="Arial" w:cs="Arial" w:eastAsia="Arial" w:hAnsi="Arial"/>
          <w:sz w:val="20"/>
          <w:szCs w:val="20"/>
          <w:color w:val="auto"/>
        </w:rPr>
        <w:t>- On May 4, 2020, we and OSI, as co-borrowers, entered into the Amended Credit Agreement which provides</w:t>
      </w:r>
      <w:r>
        <w:rPr>
          <w:rFonts w:ascii="Arial" w:cs="Arial" w:eastAsia="Arial" w:hAnsi="Arial"/>
          <w:sz w:val="20"/>
          <w:szCs w:val="20"/>
          <w:i w:val="1"/>
          <w:iCs w:val="1"/>
          <w:color w:val="auto"/>
        </w:rPr>
        <w:t xml:space="preserve"> </w:t>
      </w:r>
      <w:r>
        <w:rPr>
          <w:rFonts w:ascii="Arial" w:cs="Arial" w:eastAsia="Arial" w:hAnsi="Arial"/>
          <w:sz w:val="20"/>
          <w:szCs w:val="20"/>
          <w:color w:val="auto"/>
        </w:rPr>
        <w:t>relief for the financial covenant to maintain a specified quarterly TNLR. Without such amendment, violation of financial covenants under the original credit agreement could have resulted in default. The Amended Credit Agreement waives the TNLR requirement for the remainder of fiscal year 2020 and requires a TNLR based on a seasonally annualized calculation of Consolidated EBITDA not to exceed the following thresholds for the periods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QUARTERLY PERIOD ENDED</w:t>
            </w:r>
          </w:p>
        </w:tc>
        <w:tc>
          <w:tcPr>
            <w:tcW w:w="12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MAXIMUM RATIO</w:t>
            </w:r>
          </w:p>
        </w:tc>
      </w:tr>
      <w:tr>
        <w:trPr>
          <w:trHeight w:val="250"/>
        </w:trPr>
        <w:tc>
          <w:tcPr>
            <w:tcW w:w="9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28, 2021 (1)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w:t>
            </w:r>
          </w:p>
        </w:tc>
        <w:tc>
          <w:tcPr>
            <w:tcW w:w="8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1.00</w:t>
            </w:r>
          </w:p>
        </w:tc>
      </w:tr>
      <w:tr>
        <w:trPr>
          <w:trHeight w:val="243"/>
        </w:trPr>
        <w:tc>
          <w:tcPr>
            <w:tcW w:w="9340" w:type="dxa"/>
            <w:vAlign w:val="bottom"/>
            <w:gridSpan w:val="2"/>
          </w:tcPr>
          <w:p>
            <w:pPr>
              <w:ind w:left="40"/>
              <w:spacing w:after="0"/>
              <w:rPr>
                <w:sz w:val="20"/>
                <w:szCs w:val="20"/>
                <w:color w:val="auto"/>
              </w:rPr>
            </w:pPr>
            <w:r>
              <w:rPr>
                <w:rFonts w:ascii="Arial" w:cs="Arial" w:eastAsia="Arial" w:hAnsi="Arial"/>
                <w:sz w:val="18"/>
                <w:szCs w:val="18"/>
                <w:color w:val="auto"/>
              </w:rPr>
              <w:t>June 27, 2021 (2)</w:t>
            </w:r>
          </w:p>
        </w:tc>
        <w:tc>
          <w:tcPr>
            <w:tcW w:w="760" w:type="dxa"/>
            <w:vAlign w:val="bottom"/>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ind w:left="60"/>
              <w:spacing w:after="0"/>
              <w:rPr>
                <w:sz w:val="20"/>
                <w:szCs w:val="20"/>
                <w:color w:val="auto"/>
              </w:rPr>
            </w:pPr>
            <w:r>
              <w:rPr>
                <w:rFonts w:ascii="Arial" w:cs="Arial" w:eastAsia="Arial" w:hAnsi="Arial"/>
                <w:sz w:val="18"/>
                <w:szCs w:val="18"/>
                <w:color w:val="auto"/>
              </w:rPr>
              <w:t>to</w:t>
            </w:r>
          </w:p>
        </w:tc>
        <w:tc>
          <w:tcPr>
            <w:tcW w:w="840" w:type="dxa"/>
            <w:vAlign w:val="bottom"/>
          </w:tcPr>
          <w:p>
            <w:pPr>
              <w:jc w:val="right"/>
              <w:ind w:right="350"/>
              <w:spacing w:after="0"/>
              <w:rPr>
                <w:sz w:val="20"/>
                <w:szCs w:val="20"/>
                <w:color w:val="auto"/>
              </w:rPr>
            </w:pPr>
            <w:r>
              <w:rPr>
                <w:rFonts w:ascii="Arial" w:cs="Arial" w:eastAsia="Arial" w:hAnsi="Arial"/>
                <w:sz w:val="18"/>
                <w:szCs w:val="18"/>
                <w:color w:val="auto"/>
              </w:rPr>
              <w:t>1.00</w:t>
            </w:r>
          </w:p>
        </w:tc>
      </w:tr>
      <w:tr>
        <w:trPr>
          <w:trHeight w:val="27"/>
        </w:trPr>
        <w:tc>
          <w:tcPr>
            <w:tcW w:w="9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26, 2021 and thereafter (3)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w:t>
            </w:r>
          </w:p>
        </w:tc>
        <w:tc>
          <w:tcPr>
            <w:tcW w:w="8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1.00</w:t>
            </w:r>
          </w:p>
        </w:tc>
      </w:tr>
      <w:tr>
        <w:trPr>
          <w:trHeight w:val="193"/>
        </w:trPr>
        <w:tc>
          <w:tcPr>
            <w:tcW w:w="9220" w:type="dxa"/>
            <w:vAlign w:val="bottom"/>
          </w:tcPr>
          <w:p>
            <w:pPr>
              <w:spacing w:after="0"/>
              <w:rPr>
                <w:sz w:val="20"/>
                <w:szCs w:val="20"/>
                <w:color w:val="auto"/>
              </w:rPr>
            </w:pPr>
            <w:r>
              <w:rPr>
                <w:rFonts w:ascii="Arial" w:cs="Arial" w:eastAsia="Arial" w:hAnsi="Arial"/>
                <w:sz w:val="16"/>
                <w:szCs w:val="16"/>
                <w:color w:val="auto"/>
              </w:rPr>
              <w:t>________________</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bl>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Seasonally annualized Consolidated EBITDA calculated as Consolidated EBITDA for the fiscal quarter ending March 28, 2021 divided by 34.1%.</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Seasonally annualized Consolidated EBITDA calculated as Consolidated EBITDA for the two consecutive quarters ending June 27, 2021 divided by 58.5%.</w:t>
      </w:r>
    </w:p>
    <w:p>
      <w:pPr>
        <w:spacing w:after="0" w:line="16" w:lineRule="exact"/>
        <w:rPr>
          <w:rFonts w:ascii="Arial" w:cs="Arial" w:eastAsia="Arial" w:hAnsi="Arial"/>
          <w:sz w:val="15"/>
          <w:szCs w:val="15"/>
          <w:color w:val="auto"/>
        </w:rPr>
      </w:pPr>
    </w:p>
    <w:p>
      <w:pPr>
        <w:ind w:left="660" w:right="20" w:hanging="652"/>
        <w:spacing w:after="0" w:line="257"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Seasonally annualized Consolidated EBITDA calculated as Consolidated EBITDA for the three consecutive quarters ending September 26, 2021 divided by 77.0%.</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Under the terms of the Amended Credit Agreement, we are required to meet minimum monthly liquidity threshold of $125.0 million through March 28, 2021, calculated as the sum of available capacity under our revolving credit facility, unrestricted domestic cash on hand and up to $25.0 million of unrestricted cash held by foreign subsidiaries. We are also prohibited from making certain restricted payments, investments or acquisitions until after September 26, 2021, with an exception for investments in our foreign subsidiaries which are capped at $27.5 million.</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Interest rates under the Amended Credit Agreement are 275 and 175 basis points above the Eurocurrency Rate and Base Rate, respectively, and letter of credit fees and fees for the daily unused availability under the revolving credit facility are 2.75% and 0.40%, respectively, subject to reversion to rates under the original credit agreement when we are in compliance with the TNLR covenant for the test period ending September 26, 2021. We are also subject to a 0% Eurocurrency floor under the Amended Credit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Amended Credit Agreement contains term loan mandatory prepayment requirements of 50% of our annual excess cash flow (as defined in the Amended Credit Agreement) after December 27, 2020. The amount outstanding required to be prepaid may vary based on our leverage ratio and year end results. Other than the annual required minimum amortization premiums of $28.1 million, we do not anticipate any other payments will be required through March 28, 2021.</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March 29, 2020 and December 29, 2019, we were in compliance with our debt covenants. We believe that we will remain in compliance with our debt covenants during the next 12 months.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Convertible Notes </w:t>
      </w:r>
      <w:r>
        <w:rPr>
          <w:rFonts w:ascii="Arial" w:cs="Arial" w:eastAsia="Arial" w:hAnsi="Arial"/>
          <w:sz w:val="20"/>
          <w:szCs w:val="20"/>
          <w:color w:val="auto"/>
        </w:rPr>
        <w:t>- On May 8, 2020, we completed a $200.0 million principal amount private offering of 5.00% convertible senior notes due</w:t>
      </w:r>
      <w:r>
        <w:rPr>
          <w:rFonts w:ascii="Arial" w:cs="Arial" w:eastAsia="Arial" w:hAnsi="Arial"/>
          <w:sz w:val="20"/>
          <w:szCs w:val="20"/>
          <w:i w:val="1"/>
          <w:iCs w:val="1"/>
          <w:color w:val="auto"/>
        </w:rPr>
        <w:t xml:space="preserve"> </w:t>
      </w:r>
      <w:r>
        <w:rPr>
          <w:rFonts w:ascii="Arial" w:cs="Arial" w:eastAsia="Arial" w:hAnsi="Arial"/>
          <w:sz w:val="20"/>
          <w:szCs w:val="20"/>
          <w:color w:val="auto"/>
        </w:rPr>
        <w:t>2025 and on May 12, 2020, issued an additional $30.0 million principal amount in connection with the overallotment option granted to the initial purchasers as part of the offering. The 2025 Notes will mature on May 1, 2025, unless earlier converted, redeemed or purchased by us. The 2025 Notes bear cash interest at an annual rate of 5.00%, payable semi-annually in arrears on May 1 and November 1 of each year, beginning on November 1, 2020.</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initial conversion rate applicable to the 2025 Notes is 84.122 shares of common stock per $1,000 principal amount of 2025 Notes, or a total of approximately 19.348 million shares for the total $230.0 million principal amount. This initial conversion rate is equivalent to an initial conversion price of approximately $11.89 per share. We will settle conversions by paying or delivering, as applicable, cash, shares of our common stock or a combination of cash and shares of our common stock, at our election, based on the applicable conversion rate.</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Net proceeds from this offering were approximately $221.4 million, after deducting the initial purchaser’s discounts and commissions and our offering expenses. We intend to use the net proceeds of this offering for general corporate purposes.</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Convertible Note Hedge and Warrant Transactions </w:t>
      </w:r>
      <w:r>
        <w:rPr>
          <w:rFonts w:ascii="Arial" w:cs="Arial" w:eastAsia="Arial" w:hAnsi="Arial"/>
          <w:sz w:val="20"/>
          <w:szCs w:val="20"/>
          <w:color w:val="252525"/>
        </w:rPr>
        <w:t>- In connection with the offering of the</w:t>
      </w:r>
      <w:r>
        <w:rPr>
          <w:rFonts w:ascii="Arial" w:cs="Arial" w:eastAsia="Arial" w:hAnsi="Arial"/>
          <w:sz w:val="20"/>
          <w:szCs w:val="20"/>
          <w:i w:val="1"/>
          <w:iCs w:val="1"/>
          <w:color w:val="auto"/>
        </w:rPr>
        <w:t xml:space="preserve"> </w:t>
      </w:r>
      <w:r>
        <w:rPr>
          <w:rFonts w:ascii="Arial" w:cs="Arial" w:eastAsia="Arial" w:hAnsi="Arial"/>
          <w:sz w:val="20"/>
          <w:szCs w:val="20"/>
          <w:color w:val="auto"/>
        </w:rPr>
        <w:t>2025 Notes</w:t>
      </w:r>
      <w:r>
        <w:rPr>
          <w:rFonts w:ascii="Arial" w:cs="Arial" w:eastAsia="Arial" w:hAnsi="Arial"/>
          <w:sz w:val="20"/>
          <w:szCs w:val="20"/>
          <w:color w:val="252525"/>
        </w:rPr>
        <w:t>, we entered into Convertible Note</w:t>
      </w:r>
      <w:r>
        <w:rPr>
          <w:rFonts w:ascii="Arial" w:cs="Arial" w:eastAsia="Arial" w:hAnsi="Arial"/>
          <w:sz w:val="20"/>
          <w:szCs w:val="20"/>
          <w:i w:val="1"/>
          <w:iCs w:val="1"/>
          <w:color w:val="auto"/>
        </w:rPr>
        <w:t xml:space="preserve"> </w:t>
      </w:r>
      <w:r>
        <w:rPr>
          <w:rFonts w:ascii="Arial" w:cs="Arial" w:eastAsia="Arial" w:hAnsi="Arial"/>
          <w:sz w:val="20"/>
          <w:szCs w:val="20"/>
          <w:color w:val="252525"/>
        </w:rPr>
        <w:t>Hedge Transactions with the Hedge Counterparties. Concurrently with our entry into the Convertible Note Hedge Transactions, we also entered into separate, Warrant Transactions with the Hedge Counterparties collectively relating to the same number of shares of our common stock.</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252525"/>
        </w:rPr>
        <w:t>The portion of the net proceeds from our offering of the 2025 Notes that was used to pay the premium on the Convertible Note Hedge Transactions (calculated after taking into account our proceeds from the Warrant Transactions) was approximately $19.6 million.</w:t>
      </w:r>
    </w:p>
    <w:p>
      <w:pPr>
        <w:spacing w:after="0" w:line="16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See Note 20 </w:t>
      </w:r>
      <w:r>
        <w:rPr>
          <w:rFonts w:ascii="Arial" w:cs="Arial" w:eastAsia="Arial" w:hAnsi="Arial"/>
          <w:sz w:val="17"/>
          <w:szCs w:val="17"/>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Subsequent Events</w:t>
      </w:r>
      <w:r>
        <w:rPr>
          <w:rFonts w:ascii="Arial" w:cs="Arial" w:eastAsia="Arial" w:hAnsi="Arial"/>
          <w:sz w:val="20"/>
          <w:szCs w:val="20"/>
          <w:color w:val="auto"/>
        </w:rPr>
        <w:t xml:space="preserve"> of the Notes to Consolidated Financial Statements for additional details regarding the convertible senior notes and related hedge and warrant transactions.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SUMMARY OF CASH FLOWS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a summary of our cash flows provided by (used in) operating, investing and financing activities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4"/>
                <w:szCs w:val="14"/>
                <w:b w:val="1"/>
                <w:bCs w:val="1"/>
                <w:color w:val="auto"/>
              </w:rPr>
              <w:t>THIRTEEN WEEKS ENDED</w:t>
            </w:r>
          </w:p>
        </w:tc>
      </w:tr>
      <w:tr>
        <w:trPr>
          <w:trHeight w:val="263"/>
        </w:trPr>
        <w:tc>
          <w:tcPr>
            <w:tcW w:w="81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2020</w:t>
            </w:r>
          </w:p>
        </w:tc>
        <w:tc>
          <w:tcPr>
            <w:tcW w:w="180" w:type="dxa"/>
            <w:vAlign w:val="bottom"/>
          </w:tcPr>
          <w:p>
            <w:pPr>
              <w:spacing w:after="0"/>
              <w:rPr>
                <w:sz w:val="22"/>
                <w:szCs w:val="22"/>
                <w:color w:val="auto"/>
              </w:rPr>
            </w:pPr>
          </w:p>
        </w:tc>
        <w:tc>
          <w:tcPr>
            <w:tcW w:w="1380" w:type="dxa"/>
            <w:vAlign w:val="bottom"/>
          </w:tcPr>
          <w:p>
            <w:pPr>
              <w:jc w:val="right"/>
              <w:ind w:right="141"/>
              <w:spacing w:after="0"/>
              <w:rPr>
                <w:sz w:val="20"/>
                <w:szCs w:val="20"/>
                <w:color w:val="auto"/>
              </w:rPr>
            </w:pPr>
            <w:r>
              <w:rPr>
                <w:rFonts w:ascii="Arial" w:cs="Arial" w:eastAsia="Arial" w:hAnsi="Arial"/>
                <w:sz w:val="14"/>
                <w:szCs w:val="14"/>
                <w:b w:val="1"/>
                <w:bCs w:val="1"/>
                <w:color w:val="auto"/>
              </w:rPr>
              <w:t>MARCH 31, 2019</w:t>
            </w:r>
          </w:p>
        </w:tc>
      </w:tr>
      <w:tr>
        <w:trPr>
          <w:trHeight w:val="237"/>
        </w:trPr>
        <w:tc>
          <w:tcPr>
            <w:tcW w:w="8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28,291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83,883</w:t>
            </w: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(34,798)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(42,020)</w:t>
            </w:r>
          </w:p>
        </w:tc>
      </w:tr>
      <w:tr>
        <w:trPr>
          <w:trHeight w:val="33"/>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342,333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(31,379)</w:t>
            </w:r>
          </w:p>
        </w:tc>
      </w:tr>
      <w:tr>
        <w:trPr>
          <w:trHeight w:val="270"/>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459</w:t>
            </w:r>
          </w:p>
        </w:tc>
      </w:tr>
      <w:tr>
        <w:trPr>
          <w:trHeight w:val="24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336,250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10,943</w:t>
            </w: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Operating activities </w:t>
      </w:r>
      <w:r>
        <w:rPr>
          <w:rFonts w:ascii="Arial" w:cs="Arial" w:eastAsia="Arial" w:hAnsi="Arial"/>
          <w:sz w:val="20"/>
          <w:szCs w:val="20"/>
          <w:color w:val="auto"/>
        </w:rPr>
        <w:t>- Net cash provided by operating activities decreased during the thirteen weeks ended March 29, 2020, as compared to</w:t>
      </w:r>
      <w:r>
        <w:rPr>
          <w:rFonts w:ascii="Arial" w:cs="Arial" w:eastAsia="Arial" w:hAnsi="Arial"/>
          <w:sz w:val="20"/>
          <w:szCs w:val="20"/>
          <w:i w:val="1"/>
          <w:iCs w:val="1"/>
          <w:color w:val="auto"/>
        </w:rPr>
        <w:t xml:space="preserve"> </w:t>
      </w:r>
      <w:r>
        <w:rPr>
          <w:rFonts w:ascii="Arial" w:cs="Arial" w:eastAsia="Arial" w:hAnsi="Arial"/>
          <w:sz w:val="20"/>
          <w:szCs w:val="20"/>
          <w:color w:val="auto"/>
        </w:rPr>
        <w:t>the thirteen weeks ended March 31, 2019 primarily due to a decrease in net restaurant sales as a result of the COVID-19 pandemic and relief payments made to employees. These decreases were partially offset by the following: (i) the timing of payments, (ii) the timing of collections of receivables and (iii) lower inventory purchases.</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Investing activities - </w:t>
      </w:r>
      <w:r>
        <w:rPr>
          <w:rFonts w:ascii="Arial" w:cs="Arial" w:eastAsia="Arial" w:hAnsi="Arial"/>
          <w:sz w:val="20"/>
          <w:szCs w:val="20"/>
          <w:color w:val="auto"/>
        </w:rPr>
        <w:t>Net cash used in investing activities during the thirteen weeks ended March 29, 2020 and March 31, 2019 primarily</w:t>
      </w:r>
      <w:r>
        <w:rPr>
          <w:rFonts w:ascii="Arial" w:cs="Arial" w:eastAsia="Arial" w:hAnsi="Arial"/>
          <w:sz w:val="20"/>
          <w:szCs w:val="20"/>
          <w:i w:val="1"/>
          <w:iCs w:val="1"/>
          <w:color w:val="auto"/>
        </w:rPr>
        <w:t xml:space="preserve"> </w:t>
      </w:r>
      <w:r>
        <w:rPr>
          <w:rFonts w:ascii="Arial" w:cs="Arial" w:eastAsia="Arial" w:hAnsi="Arial"/>
          <w:sz w:val="20"/>
          <w:szCs w:val="20"/>
          <w:color w:val="auto"/>
        </w:rPr>
        <w:t>consisted of capital expenditures.</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i w:val="1"/>
          <w:iCs w:val="1"/>
          <w:color w:val="auto"/>
        </w:rPr>
        <w:t xml:space="preserve">Financing activities - </w:t>
      </w:r>
      <w:r>
        <w:rPr>
          <w:rFonts w:ascii="Arial" w:cs="Arial" w:eastAsia="Arial" w:hAnsi="Arial"/>
          <w:sz w:val="20"/>
          <w:szCs w:val="20"/>
          <w:color w:val="auto"/>
        </w:rPr>
        <w:t>Net cash provided by financing activities during the thirteen weeks ended March 29, 2020 primarily consisted of</w:t>
      </w:r>
      <w:r>
        <w:rPr>
          <w:rFonts w:ascii="Arial" w:cs="Arial" w:eastAsia="Arial" w:hAnsi="Arial"/>
          <w:sz w:val="20"/>
          <w:szCs w:val="20"/>
          <w:i w:val="1"/>
          <w:iCs w:val="1"/>
          <w:color w:val="auto"/>
        </w:rPr>
        <w:t xml:space="preserve"> </w:t>
      </w:r>
      <w:r>
        <w:rPr>
          <w:rFonts w:ascii="Arial" w:cs="Arial" w:eastAsia="Arial" w:hAnsi="Arial"/>
          <w:sz w:val="20"/>
          <w:szCs w:val="20"/>
          <w:color w:val="auto"/>
        </w:rPr>
        <w:t>drawdowns on our revolving credit facility, net of repayments, partially offset by the following: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 payment of cash dividends on our common stock, (ii) the repayment of long-term debt and (iii) partner equity plan payments.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Net cash used in financing activities during the thirteen weeks ended March 31, 2019 primarily consisted of the following: (i) payment of cash dividends on our common stock, (ii) the repayment of long-term debt, (iii) partner equity plan payments, (iv) repayments of our revolving credit facility, net of drawdowns and (v) tax payments related to share-based compensation.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current assets, current liabilities and working capital (deficit) as of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7"/>
                <w:szCs w:val="17"/>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 2020</w:t>
            </w:r>
          </w:p>
        </w:tc>
        <w:tc>
          <w:tcPr>
            <w:tcW w:w="220" w:type="dxa"/>
            <w:vAlign w:val="bottom"/>
          </w:tcPr>
          <w:p>
            <w:pPr>
              <w:spacing w:after="0"/>
              <w:rPr>
                <w:sz w:val="17"/>
                <w:szCs w:val="17"/>
                <w:color w:val="auto"/>
              </w:rPr>
            </w:pPr>
          </w:p>
        </w:tc>
        <w:tc>
          <w:tcPr>
            <w:tcW w:w="1800" w:type="dxa"/>
            <w:vAlign w:val="bottom"/>
          </w:tcPr>
          <w:p>
            <w:pPr>
              <w:jc w:val="right"/>
              <w:ind w:right="241"/>
              <w:spacing w:after="0"/>
              <w:rPr>
                <w:sz w:val="20"/>
                <w:szCs w:val="20"/>
                <w:color w:val="auto"/>
              </w:rPr>
            </w:pPr>
            <w:r>
              <w:rPr>
                <w:rFonts w:ascii="Arial" w:cs="Arial" w:eastAsia="Arial" w:hAnsi="Arial"/>
                <w:sz w:val="14"/>
                <w:szCs w:val="14"/>
                <w:b w:val="1"/>
                <w:bCs w:val="1"/>
                <w:color w:val="auto"/>
              </w:rPr>
              <w:t>DECEMBER 29, 2019</w:t>
            </w:r>
          </w:p>
        </w:tc>
      </w:tr>
      <w:tr>
        <w:trPr>
          <w:trHeight w:val="236"/>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572,446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340,468</w:t>
            </w:r>
          </w:p>
        </w:tc>
      </w:tr>
      <w:tr>
        <w:trPr>
          <w:trHeight w:val="270"/>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838,030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962,021</w:t>
            </w: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Working capital (deficit)</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(265,584)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(621,553)</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change in net working capital (deficit) during the thirteen weeks ended March 29, 2020 is primarily due to cash proceeds from borrowings on our revolving credit facility with the corresponding liability recorded as Long-term debt, net on our Balance Sheet. Working capital (deficit) includes: (i) Unearned revenue primarily from unredeemed gift cards of $289.1 million and $369.3 million as of March 29, 2020 and December 29, 2019, respectively, and (ii) current operating lease liabilities of $185.3 million and $171.9 million as of March 29, 2020 and December 29, 2019, respectively, with the corresponding operating right-of-use assets recorded as non-current on our Consolidated Balance Sheets. We have, and in the future may continue to have, negative working capital balances (as is common for many restaurant companies). We operate successfully with negative working capital because cash collected on restaurant sales are typically received before payment is due on our current liabilities, and our inventory turnover rates require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relatively low investment in inventories. Additionally, ongoing cash flows from restaurant operations and gift card sales are typically used to service debt obligations and to make capital expenditures.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Deferred Compensation Programs - </w:t>
      </w:r>
      <w:r>
        <w:rPr>
          <w:rFonts w:ascii="Arial" w:cs="Arial" w:eastAsia="Arial" w:hAnsi="Arial"/>
          <w:sz w:val="20"/>
          <w:szCs w:val="20"/>
          <w:color w:val="auto"/>
        </w:rPr>
        <w:t>The deferred compensation obligation due to managing and chef partners was $39.8 million and $49.0</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as of March 29, 2020 and December 29, 2019, respectively. We invest in various corporate-owned life insurance policies (“COLI assets”), which are held within an irrevocable grantor or “rabbi” trust account for settlement of our obligations under the deferred compensation plans. The rabbi trust is funded through our voluntary contributions. The unfunded obligation for managing and chef partners’ deferred compensation was $0.3 million as of March 29, 2020.</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use capital to fund the deferred compensation plans and currently expect cash funding of $9.0 million to $11.0 million for 2020. We will also fund a portion of our 2020 obligation with $10.0 million withdrawn from our COLI assets. Actual funding of the deferred compensation obligations and future funding requirements may vary significantly depending on the actual performance compared to targets, timing of deferred payments of partner contracts, forfeiture rates, number of partner participants, growth of partner investments and our funding strategy.</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Other Compensation Programs </w:t>
      </w:r>
      <w:r>
        <w:rPr>
          <w:rFonts w:ascii="Arial" w:cs="Arial" w:eastAsia="Arial" w:hAnsi="Arial"/>
          <w:sz w:val="20"/>
          <w:szCs w:val="20"/>
          <w:color w:val="auto"/>
        </w:rPr>
        <w:t>- Certain U.S. partners participate in a non-qualified long-term compensation program that we fund as the</w:t>
      </w:r>
      <w:r>
        <w:rPr>
          <w:rFonts w:ascii="Arial" w:cs="Arial" w:eastAsia="Arial" w:hAnsi="Arial"/>
          <w:sz w:val="20"/>
          <w:szCs w:val="20"/>
          <w:i w:val="1"/>
          <w:iCs w:val="1"/>
          <w:color w:val="auto"/>
        </w:rPr>
        <w:t xml:space="preserve"> </w:t>
      </w:r>
      <w:r>
        <w:rPr>
          <w:rFonts w:ascii="Arial" w:cs="Arial" w:eastAsia="Arial" w:hAnsi="Arial"/>
          <w:sz w:val="20"/>
          <w:szCs w:val="20"/>
          <w:color w:val="auto"/>
        </w:rPr>
        <w:t>obligation for each participant becomes due.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DIVIDENDS AND SHARE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Dividends </w:t>
      </w:r>
      <w:r>
        <w:rPr>
          <w:rFonts w:ascii="Arial" w:cs="Arial" w:eastAsia="Arial" w:hAnsi="Arial"/>
          <w:sz w:val="20"/>
          <w:szCs w:val="20"/>
          <w:color w:val="auto"/>
        </w:rPr>
        <w:t>- In February 2020, the Board declared a quarterly cash dividend of $0.20 per share, payable on March 13,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We did not repurchase any shares of our outstanding common stock during the thirteen weeks ended March 29, 2020.</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dividends and share repurchases from fiscal year 2015 through March 29, 2020: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ind w:left="100"/>
              <w:spacing w:after="0"/>
              <w:rPr>
                <w:sz w:val="20"/>
                <w:szCs w:val="20"/>
                <w:color w:val="auto"/>
              </w:rPr>
            </w:pPr>
            <w:r>
              <w:rPr>
                <w:rFonts w:ascii="Arial" w:cs="Arial" w:eastAsia="Arial" w:hAnsi="Arial"/>
                <w:sz w:val="14"/>
                <w:szCs w:val="14"/>
                <w:b w:val="1"/>
                <w:bCs w:val="1"/>
                <w:color w:val="auto"/>
              </w:rPr>
              <w:t>SHARE REPURCHASES</w:t>
            </w: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6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7"/>
                <w:szCs w:val="17"/>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DIVIDENDS PAID</w:t>
            </w:r>
          </w:p>
        </w:tc>
        <w:tc>
          <w:tcPr>
            <w:tcW w:w="460" w:type="dxa"/>
            <w:vAlign w:val="bottom"/>
          </w:tcPr>
          <w:p>
            <w:pPr>
              <w:spacing w:after="0"/>
              <w:rPr>
                <w:sz w:val="17"/>
                <w:szCs w:val="17"/>
                <w:color w:val="auto"/>
              </w:rPr>
            </w:pPr>
          </w:p>
        </w:tc>
        <w:tc>
          <w:tcPr>
            <w:tcW w:w="1320" w:type="dxa"/>
            <w:vAlign w:val="bottom"/>
          </w:tcPr>
          <w:p>
            <w:pPr>
              <w:jc w:val="right"/>
              <w:ind w:right="720"/>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5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2015</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29,332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169,999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199,331</w:t>
            </w:r>
          </w:p>
        </w:tc>
        <w:tc>
          <w:tcPr>
            <w:tcW w:w="0" w:type="dxa"/>
            <w:vAlign w:val="bottom"/>
          </w:tcPr>
          <w:p>
            <w:pPr>
              <w:spacing w:after="0"/>
              <w:rPr>
                <w:sz w:val="1"/>
                <w:szCs w:val="1"/>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Fiscal year 2016</w:t>
            </w:r>
          </w:p>
        </w:tc>
        <w:tc>
          <w:tcPr>
            <w:tcW w:w="2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31,379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309,887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341,266</w:t>
            </w:r>
          </w:p>
        </w:tc>
        <w:tc>
          <w:tcPr>
            <w:tcW w:w="0" w:type="dxa"/>
            <w:vAlign w:val="bottom"/>
          </w:tcPr>
          <w:p>
            <w:pPr>
              <w:spacing w:after="0"/>
              <w:rPr>
                <w:sz w:val="1"/>
                <w:szCs w:val="1"/>
                <w:color w:val="auto"/>
              </w:rPr>
            </w:pPr>
          </w:p>
        </w:tc>
      </w:tr>
      <w:tr>
        <w:trPr>
          <w:trHeight w:val="33"/>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2017</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30,988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272,736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303,724</w:t>
            </w:r>
          </w:p>
        </w:tc>
        <w:tc>
          <w:tcPr>
            <w:tcW w:w="0" w:type="dxa"/>
            <w:vAlign w:val="bottom"/>
          </w:tcPr>
          <w:p>
            <w:pPr>
              <w:spacing w:after="0"/>
              <w:rPr>
                <w:sz w:val="1"/>
                <w:szCs w:val="1"/>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Fiscal year 2018</w:t>
            </w:r>
          </w:p>
        </w:tc>
        <w:tc>
          <w:tcPr>
            <w:tcW w:w="2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33,312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113,967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147,279</w:t>
            </w:r>
          </w:p>
        </w:tc>
        <w:tc>
          <w:tcPr>
            <w:tcW w:w="0" w:type="dxa"/>
            <w:vAlign w:val="bottom"/>
          </w:tcPr>
          <w:p>
            <w:pPr>
              <w:spacing w:after="0"/>
              <w:rPr>
                <w:sz w:val="1"/>
                <w:szCs w:val="1"/>
                <w:color w:val="auto"/>
              </w:rPr>
            </w:pPr>
          </w:p>
        </w:tc>
      </w:tr>
      <w:tr>
        <w:trPr>
          <w:trHeight w:val="33"/>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2019</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35,734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106,992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142,726</w:t>
            </w:r>
          </w:p>
        </w:tc>
        <w:tc>
          <w:tcPr>
            <w:tcW w:w="0" w:type="dxa"/>
            <w:vAlign w:val="bottom"/>
          </w:tcPr>
          <w:p>
            <w:pPr>
              <w:spacing w:after="0"/>
              <w:rPr>
                <w:sz w:val="1"/>
                <w:szCs w:val="1"/>
                <w:color w:val="auto"/>
              </w:rPr>
            </w:pPr>
          </w:p>
        </w:tc>
      </w:tr>
      <w:tr>
        <w:trPr>
          <w:trHeight w:val="270"/>
        </w:trPr>
        <w:tc>
          <w:tcPr>
            <w:tcW w:w="5640" w:type="dxa"/>
            <w:vAlign w:val="bottom"/>
          </w:tcPr>
          <w:p>
            <w:pPr>
              <w:ind w:left="40"/>
              <w:spacing w:after="0"/>
              <w:rPr>
                <w:sz w:val="20"/>
                <w:szCs w:val="20"/>
                <w:color w:val="auto"/>
              </w:rPr>
            </w:pPr>
            <w:r>
              <w:rPr>
                <w:rFonts w:ascii="Arial" w:cs="Arial" w:eastAsia="Arial" w:hAnsi="Arial"/>
                <w:sz w:val="16"/>
                <w:szCs w:val="16"/>
                <w:color w:val="auto"/>
              </w:rPr>
              <w:t>First fiscal quarter 2020</w:t>
            </w:r>
          </w:p>
        </w:tc>
        <w:tc>
          <w:tcPr>
            <w:tcW w:w="220" w:type="dxa"/>
            <w:vAlign w:val="bottom"/>
          </w:tcPr>
          <w:p>
            <w:pPr>
              <w:spacing w:after="0"/>
              <w:rPr>
                <w:sz w:val="23"/>
                <w:szCs w:val="23"/>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17,480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17,480</w:t>
            </w:r>
          </w:p>
        </w:tc>
        <w:tc>
          <w:tcPr>
            <w:tcW w:w="0" w:type="dxa"/>
            <w:vAlign w:val="bottom"/>
          </w:tcPr>
          <w:p>
            <w:pPr>
              <w:spacing w:after="0"/>
              <w:rPr>
                <w:sz w:val="1"/>
                <w:szCs w:val="1"/>
                <w:color w:val="auto"/>
              </w:rPr>
            </w:pPr>
          </w:p>
        </w:tc>
      </w:tr>
      <w:tr>
        <w:trPr>
          <w:trHeight w:val="243"/>
        </w:trPr>
        <w:tc>
          <w:tcPr>
            <w:tcW w:w="5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178,225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973,581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1,151,806</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Excludes share repurchases for the settlement of taxes related to equity awards of $180, $447, and $770 for fiscal years 2017, 2016 and 2015, respectively.</w:t>
      </w:r>
    </w:p>
    <w:p>
      <w:pPr>
        <w:spacing w:after="0" w:line="225"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terms of our Amended Credit Agreement contain certain restrictions on cash dividends and share repurchases until after September 26, 2021.</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Financial Accounting Standards</w:t>
      </w:r>
    </w:p>
    <w:p>
      <w:pPr>
        <w:spacing w:after="0" w:line="222"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For a description of recently issued Financial Accounting Standards that we adopted during the thirteen weeks ended March 29, 2020 and, that are applicable to us and likely to have material effect on our consolidated financial statements, but have not yet been adopted, see Note 1</w:t>
      </w:r>
    </w:p>
    <w:p>
      <w:pPr>
        <w:spacing w:after="0" w:line="1" w:lineRule="exact"/>
        <w:rPr>
          <w:sz w:val="20"/>
          <w:szCs w:val="20"/>
          <w:color w:val="auto"/>
        </w:rPr>
      </w:pPr>
    </w:p>
    <w:p>
      <w:pPr>
        <w:ind w:firstLine="8"/>
        <w:spacing w:after="0" w:line="244" w:lineRule="auto"/>
        <w:tabs>
          <w:tab w:leader="none" w:pos="115" w:val="left"/>
        </w:tabs>
        <w:numPr>
          <w:ilvl w:val="0"/>
          <w:numId w:val="41"/>
        </w:numPr>
        <w:rPr>
          <w:rFonts w:ascii="Arial" w:cs="Arial" w:eastAsia="Arial" w:hAnsi="Arial"/>
          <w:sz w:val="20"/>
          <w:szCs w:val="20"/>
          <w:color w:val="auto"/>
        </w:rPr>
      </w:pPr>
      <w:r>
        <w:rPr>
          <w:rFonts w:ascii="Arial" w:cs="Arial" w:eastAsia="Arial" w:hAnsi="Arial"/>
          <w:sz w:val="20"/>
          <w:szCs w:val="20"/>
          <w:i w:val="1"/>
          <w:iCs w:val="1"/>
          <w:color w:val="auto"/>
        </w:rPr>
        <w:t xml:space="preserve">Description of the Business and Basis of Presentation </w:t>
      </w:r>
      <w:r>
        <w:rPr>
          <w:rFonts w:ascii="Arial" w:cs="Arial" w:eastAsia="Arial" w:hAnsi="Arial"/>
          <w:sz w:val="20"/>
          <w:szCs w:val="20"/>
          <w:color w:val="auto"/>
        </w:rPr>
        <w:t>of the Notes to Consolidated Financial Statements of this Quarterly Report on Form</w:t>
      </w:r>
      <w:r>
        <w:rPr>
          <w:rFonts w:ascii="Arial" w:cs="Arial" w:eastAsia="Arial" w:hAnsi="Arial"/>
          <w:sz w:val="20"/>
          <w:szCs w:val="20"/>
          <w:i w:val="1"/>
          <w:iCs w:val="1"/>
          <w:color w:val="auto"/>
        </w:rPr>
        <w:t xml:space="preserve"> </w:t>
      </w:r>
      <w:r>
        <w:rPr>
          <w:rFonts w:ascii="Arial" w:cs="Arial" w:eastAsia="Arial" w:hAnsi="Arial"/>
          <w:sz w:val="20"/>
          <w:szCs w:val="20"/>
          <w:color w:val="auto"/>
        </w:rPr>
        <w:t>10-Q.</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exposed to market risk from changes in interest rates, changes in foreign currency exchange rates and changes in commodity prices. We believe that there have been no material changes in our market risk since December 29, 2019, except as set forth below. See Part II, Item 7A., “Quantitative and Qualitative Disclosures about Market Risk,” in our Annual Report on Form 10-K for the year ended December 29, 2019 for further information regarding market risk.</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Exchange Rate Risk</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are subject to foreign currency exchange risk for our restaurants operating in foreign countries. Our exposure to foreign currency exchange risk is primarily related to fluctuations in the Brazilian Real relative to the U.S. dollar. Our operations in other markets consist of Company-owned restaurants on a smaller scale than Brazil. If foreign currency exchange rates depreciate in the countries in which we operate, we may experience declines in our operating results. For the thirteen weeks ended March 29, 2020, a 10% change in average foreign currency rates against the U.S. dollar would have increased or decreased our Total revenues and Net (loss) income for our consolidated foreign entities by $12.4 million and $0.2 million, respectively. Currently, we do not enter into currency forward exchange or option contracts to hedge foreign currency exposures.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have established and maintain disclosure controls and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of the end of the period covered by this report. Based on that evaluation, the Chief Executive Officer and Chief Financial Officer concluded that our disclosure controls and procedures were effective as of March 29, 2020.</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There have been no changes in our internal control over financial reporting during the thirteen weeks ended March 29,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 OTHER INFORMATION</w:t>
      </w:r>
    </w:p>
    <w:p>
      <w:pPr>
        <w:spacing w:after="0" w:line="229"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For a description of our legal proceedings, see Note 18 -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xml:space="preserve"> of the Notes to Consolidated Financial Statements of this Quarterly Report on Form 10-Q.</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addition to the other information discussed in this report, please consider the factors described in Part I, Item 1A., “Risk Factors” in our 2019 Form 10-K which could materially affect our business, financial condition or future results. Other than the risk factor discussed below, there have not been any material changes to the risk factors described in our 2019 Form 10-K, but these are not the only risks facing our Company. Additional risks and uncertainties not currently known to us or that we currently deem to be immaterial also may adversely affect our business, financial condition or operating results.</w:t>
      </w:r>
    </w:p>
    <w:p>
      <w:pPr>
        <w:spacing w:after="0" w:line="208"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b w:val="1"/>
          <w:bCs w:val="1"/>
          <w:i w:val="1"/>
          <w:iCs w:val="1"/>
          <w:color w:val="auto"/>
        </w:rPr>
        <w:t>The COVID-19 pandemic has disrupted and is expected to continue to disrupt our business, which has and could continue to materially affect our business, revenues, financial condition and results of operations for an extended period of time.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COVID-19 was first detected in Wuhan, China in late 2019, and in March 2020, the World Health Organization declared COVID-19 a global pandemic. Governmental authorities around the world have since implemented measures to reduce the spread of COVID-19, and COVID-19 and related preventative and protective measures have impacted, and are expected to continue to impact, our business globally, including through restaurant closures, reductions in operating hours and decreased restaurant traffic. In the United States and in foreign countries in which we operate, individuals are encouraged to practice social distancing, restricted from gathering in groups and, in some areas, placed on complete restriction from non-essential movements outside of their homes. Numerous jurisdictions have imposed, and others in the future may impose, shelter-in-place orders, quarantines, executive orders and similar governmental orders and restrictions for residents to control the spread of COVID-19.</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response to the COVID-19 pandemic and these changing conditions, we have modified work hours for our team members, identified and implemented cost savings measures throughout our operations, shifted the majority of our corporate employees to remote working and temporarily closed all of our dining rooms, a number of which remain closed as of the date of this Form 10-Q, and there is significant uncertainty as to when we will be able to reopen those dining rooms. Although we continue to operate take-out and/or delivery services at substantially all of our locations and have experienced an increase in off-premises sales, there can be no assurance that our off-premises sales will grow or remain at recent levels. In the normal course of business, the majority of our sales are generated through on-premises dining in our restaurants, and the COVID-19 pandemic has affected and will continue to adversely affect our guest traffic, sales and operating costs. We have reopened a significant portion of our restaurant dining rooms for on-premises dining, however there can be no assurances that on-premises sales will return to prior levels given continued uncertainties surrounding the economic and public health impact of the COVID-19 pandemic, or that any of the restaurants we have reopened, or any additional restaurants we may reopen in the future, will not be subject to additional closures. When we are able to open additional dining rooms, governmental regulations may limit our capacity or the services we may provide. We are unable to accurately predict with certainty the ultimate impact that COVID-19 will have on our operations going forward due to uncertainties including the currently unknowable duration of the COVID-19 pandemic and impact of further governmental regulations that might be imposed in response to the pandemic. The longer our restaurants remain closed to the public for on-premises dining, however, the greater impact we expect it will have on our financial results.</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COVID-19 outbreak has also adversely affected our ability to open new restaurants and remodel and relocate existing restaurants. Due to the uncertainty in the economy and to preserve liquidity, we have paused activities with respect to new locations, remodels and relocations, and limited capital spending to maintenance necessary to support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off-premises business. These changes may materially adversely affect our ability to grow our business, particularly if these pauses are in place for a significant amount of time.</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order to increase our cash position and preserve financial flexibility, we recently drew down substantially all remaining availability under our revolving credit facility and issued $230.0 million of convertible senior notes. Our resulting aggregate debt levels have significantly increased from levels prior to COVID-19. Given the uncertainty of the severity, extent and duration of the COVID-19 pandemic and its impacts on our business and results of operations, the general risks associated with increased debt levels are exacerbated. In addition, although we entered into an Amended Credit Agreement and obtained covenant relief, there can be no assurance we can continue to comply with the revised covenants during the relief period or thereafter when they revert to prior levels if the COVID-19 pandemic lasts longer than expected or our business does not quickly recover afterward.</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Our business is sensitive to changes in macroeconomic conditions that impact consumer spending. The rapid and diffuse spread of COVID-19 has had severe negative impacts on, among other things, real GDP growth, consumer confidence, financial markets, liquidity, economic conditions, employment levels, interest rates, tax rates, foreign currency exchange rate fluctuations, supply chain related costs and other macroeconomic trends and could continue to do so or could worsen for an unknown period of time. If the business interruptions caused by COVID-19 last longer than we expect or our assumptions regarding liquidity needs prove inaccurate, we may need to seek other sources of liquidity. The COVID-19 pandemic is adversely affecting the availability of liquidity generally in the credit markets, and there can be no guarantee that additional liquidity will be readily available or available on favorable terms, especially the longer the COVID-19 pandemic lasts. In an effort to preserve liquidity, we have and may continue to take certain actions with respect to some or all of our leases, including negotiating with landlords to obtain rent abatement or deferrals, terminating certain leases or discontinuing payment. We can provide no assurances that forbearance of any lease obligations will be provided to us, or that, following the COVID-19 pandemic, we will be able to continue restaurant operations on the current terms of our existing leases, any of which could have an adverse effect on our business and results.</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restaurant operations could be further disrupted if any of our employees are diagnosed with COVID-19, since this could require further restaurant closures and some or all of a restaurant’s employees to self-quarantine. If the employees of any of our third-party delivery service providers are diagnosed with COVID-19, or if the operations of these service providers are otherwise significantly impaired, our off-premises sales would also be adversely impacted. Our supply chain could similarly be adversely impacted. If a significant percentage of our or our suppliers’ or distributors’ workforce is unable to work, or if there are similar disruptions in the supply chain generally for certain products, whether because of illness, quarantine, limitations on travel or other government restrictions in connection with COVID-19, we could face disruptions to restaurant operations, cost increases and shortages of food or other supplies, potentially materially adversely affecting our operations and sales. This is particularly true given our reliance on a small number of suppliers and distributors for the beef we serve in our U.S. and Brazil restaurants. In 2019, we purchased approximately 95% of our U.S. beef raw materials from four beef suppliers that represent more than 80% of the total beef marketplace in the U.S., and approximately 90% of our Brazil beef raw materials from two beef suppliers that represent approximately 45% of the total Brazil beef marketplace. We also primarily use one supplier in the U.S. and Brazil, respectively, to process beef raw materials to our specifications and we use one distribution company to provide distribution services in the U.S and Brazil, respectively. Consequently, our operations could be adversely affected if any of these suppliers or distributors were unable to fulfill their responsibilities and we were unable to locate substitutes in a timely manner. Although we have not experienced material adverse impacts to date, additional or prolonged closures of meat processing facilities that have occurred due to the effects of COVID-19 could adversely impact our supply chain and the products that we offer.</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addition to decisions we have made and may make in the future relating to the compensation and benefits of our employees, additional government regulations or legislation as a result of COVID-19 could also have an adverse effect on our business. We cannot predict the types of government regulations or legislation that may be passed relating to employee compensation or benefits as a result of the COVID-19 pandemic. In order to support our off-premises business and ensure we are prepared to re-open our restaurants to on-premises dining when permitted, we have retained our restaurant management across all of our brands. We have taken and continue to evaluate compensation and benefit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2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actions to support our restaurant team members during the COVID-19 business interruption, including relief pay to hourly employees and continued payments to employees who have been quarantined or who had a personal illness related to COVID-19. Those actions may be insufficient to compensate our team members for the entire duration of any business interruption resulting from COVID-19, and our team members might seek and find other employment during that interruption, which could adversely affect our ability to properly staff and reopen our restaurants with experienced team members when the business interruptions caused by COVID-19 abate or end.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addition, the operations of our franchisees are subject to the same risks discussed above with respect to our business, and the COVID-19 pandemic could cause financial distress for the franchisees that have been or will be impacted. As a result of this distress, we have deferred certain of their payment obligations and, even with these actions, our franchisees may not be able to meet or will defer payment of their financial obligations as they come due, including the payment of royalties, rent or other amounts due to the Company. In addition, our franchisees may not be able to make payments to landlords and key suppliers, as well as payments to service any debt they have outstanding. In some cases, we are contingently liable for franchisee lease obligations, and a failure by a franchisee to perform its obligations under such lease could result in direct payment obligations for us.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addition, we could experience other material impacts as a result of COVID-19, including, but not limited to, impairment charges. We cannot accurately predict the amount and timing of any impairment of assets. A significant amount of judgment is involved in determining if an indication of impairment exists and the COVID-19 pandemic has made developing forecasts for, and the accounting of, valuation of goodwill and certain other assets slower and more difficult. Should the value of goodwill or other intangible or long-lived assets become impaired, there could be an adverse effect on our financial condition and consolidated results of operations. To the extent the COVID-19 pandemic adversely affects our business and financial results, it may also have the effect of heightening many of the other risks described in “Risk Factors” under Item 1A and “Management’s Discussion and Analysis of Financial Condition and Results of Operation” under Item 7 of our Annual Report on Form 10-K that we filed with the SEC on February 26, 2020, including without limitation risks relating to competition in the restaurant industry, consumer preferences and perceptions, our level of indebtedness, availability of adequate capital, our ability to execute business plans related to remodeling, relocation and expansions, our lease obligations, our franchisees, disruptions to our supply chain and third-party delivery service providers, foreign currency exchange rates, regulatory restrictions and compliance, government proceedings or litigation arising out of claims from our customers, employees, business partners and stockholders, vulnerability of our data systems and volatility in the price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There were no sales of equity securities during the first quarter of 2020 that were not registered under the Securities Act of 1933.</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We did not repurchase any shares of our outstanding common stock during the thirteen weeks ended March 29, 2020.</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May 20, 2020, the Company entered into a consulting agreement with Joseph J. Kadow, one of its former executive officers, effective June 1, 2020 through May 31, 2021. Under the terms of the agreement, Mr. Kadow will be paid $0.4 million in equal installments on the first day of each month for the duration of the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60" w:type="dxa"/>
            <w:vAlign w:val="bottom"/>
            <w:gridSpan w:val="2"/>
          </w:tcPr>
          <w:p>
            <w:pPr>
              <w:ind w:left="22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tcPr>
          <w:p>
            <w:pPr>
              <w:ind w:left="740"/>
              <w:spacing w:after="0"/>
              <w:rPr>
                <w:sz w:val="20"/>
                <w:szCs w:val="20"/>
                <w:color w:val="auto"/>
              </w:rPr>
            </w:pPr>
            <w:r>
              <w:rPr>
                <w:rFonts w:ascii="Arial" w:cs="Arial" w:eastAsia="Arial" w:hAnsi="Arial"/>
                <w:sz w:val="16"/>
                <w:szCs w:val="16"/>
                <w:b w:val="1"/>
                <w:bCs w:val="1"/>
                <w:color w:val="auto"/>
              </w:rPr>
              <w:t>FILINGS REFERENCED FOR</w:t>
            </w:r>
          </w:p>
        </w:tc>
      </w:tr>
      <w:tr>
        <w:trPr>
          <w:trHeight w:val="210"/>
        </w:trPr>
        <w:tc>
          <w:tcPr>
            <w:tcW w:w="1260" w:type="dxa"/>
            <w:vAlign w:val="bottom"/>
            <w:gridSpan w:val="2"/>
          </w:tcPr>
          <w:p>
            <w:pPr>
              <w:ind w:left="220"/>
              <w:spacing w:after="0"/>
              <w:rPr>
                <w:sz w:val="20"/>
                <w:szCs w:val="20"/>
                <w:color w:val="auto"/>
              </w:rPr>
            </w:pPr>
            <w:r>
              <w:rPr>
                <w:rFonts w:ascii="Arial" w:cs="Arial" w:eastAsia="Arial" w:hAnsi="Arial"/>
                <w:sz w:val="16"/>
                <w:szCs w:val="16"/>
                <w:b w:val="1"/>
                <w:bCs w:val="1"/>
                <w:color w:val="auto"/>
              </w:rPr>
              <w:t>NUMBER</w:t>
            </w:r>
          </w:p>
        </w:tc>
        <w:tc>
          <w:tcPr>
            <w:tcW w:w="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20" w:type="dxa"/>
            <w:vAlign w:val="bottom"/>
            <w:gridSpan w:val="11"/>
          </w:tcPr>
          <w:p>
            <w:pPr>
              <w:ind w:left="340"/>
              <w:spacing w:after="0"/>
              <w:rPr>
                <w:sz w:val="20"/>
                <w:szCs w:val="20"/>
                <w:color w:val="auto"/>
              </w:rPr>
            </w:pPr>
            <w:r>
              <w:rPr>
                <w:rFonts w:ascii="Arial" w:cs="Arial" w:eastAsia="Arial" w:hAnsi="Arial"/>
                <w:sz w:val="16"/>
                <w:szCs w:val="16"/>
                <w:b w:val="1"/>
                <w:bCs w:val="1"/>
                <w:color w:val="auto"/>
              </w:rPr>
              <w:t>DESCRIPTION OF EXHIBITS</w:t>
            </w:r>
          </w:p>
        </w:tc>
        <w:tc>
          <w:tcPr>
            <w:tcW w:w="3700" w:type="dxa"/>
            <w:vAlign w:val="bottom"/>
          </w:tcPr>
          <w:p>
            <w:pPr>
              <w:ind w:left="500"/>
              <w:spacing w:after="0"/>
              <w:rPr>
                <w:sz w:val="20"/>
                <w:szCs w:val="20"/>
                <w:color w:val="auto"/>
              </w:rPr>
            </w:pPr>
            <w:r>
              <w:rPr>
                <w:rFonts w:ascii="Arial" w:cs="Arial" w:eastAsia="Arial" w:hAnsi="Arial"/>
                <w:sz w:val="16"/>
                <w:szCs w:val="16"/>
                <w:b w:val="1"/>
                <w:bCs w:val="1"/>
                <w:color w:val="auto"/>
              </w:rPr>
              <w:t>INCORPORATION BY REFERENCE</w:t>
            </w:r>
          </w:p>
        </w:tc>
      </w:tr>
      <w:tr>
        <w:trPr>
          <w:trHeight w:val="40"/>
        </w:trPr>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r>
      <w:tr>
        <w:trPr>
          <w:trHeight w:val="338"/>
        </w:trPr>
        <w:tc>
          <w:tcPr>
            <w:tcW w:w="1140" w:type="dxa"/>
            <w:vAlign w:val="bottom"/>
          </w:tcPr>
          <w:p>
            <w:pPr>
              <w:jc w:val="center"/>
              <w:spacing w:after="0"/>
              <w:rPr>
                <w:sz w:val="20"/>
                <w:szCs w:val="20"/>
                <w:color w:val="auto"/>
              </w:rPr>
            </w:pPr>
            <w:r>
              <w:rPr>
                <w:rFonts w:ascii="Arial" w:cs="Arial" w:eastAsia="Arial" w:hAnsi="Arial"/>
                <w:sz w:val="20"/>
                <w:szCs w:val="20"/>
                <w:color w:val="auto"/>
                <w:w w:val="94"/>
              </w:rPr>
              <w:t>10.1*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tcBorders>
              <w:bottom w:val="single" w:sz="8" w:color="0000FF"/>
            </w:tcBorders>
            <w:gridSpan w:val="10"/>
          </w:tcPr>
          <w:p>
            <w:pPr>
              <w:spacing w:after="0"/>
              <w:rPr>
                <w:rFonts w:ascii="Arial" w:cs="Arial" w:eastAsia="Arial" w:hAnsi="Arial"/>
                <w:sz w:val="20"/>
                <w:szCs w:val="20"/>
                <w:color w:val="0000FF"/>
                <w:w w:val="98"/>
              </w:rPr>
            </w:pPr>
            <w:hyperlink r:id="rId33">
              <w:r>
                <w:rPr>
                  <w:rFonts w:ascii="Arial" w:cs="Arial" w:eastAsia="Arial" w:hAnsi="Arial"/>
                  <w:sz w:val="20"/>
                  <w:szCs w:val="20"/>
                  <w:color w:val="0000FF"/>
                  <w:w w:val="98"/>
                </w:rPr>
                <w:t>Severance Agreement, dated as of January 14, 2020, by and between</w:t>
              </w:r>
            </w:hyperlink>
          </w:p>
        </w:tc>
        <w:tc>
          <w:tcPr>
            <w:tcW w:w="100" w:type="dxa"/>
            <w:vAlign w:val="bottom"/>
            <w:gridSpan w:val="2"/>
          </w:tcPr>
          <w:p>
            <w:pPr>
              <w:spacing w:after="0"/>
              <w:rPr>
                <w:sz w:val="24"/>
                <w:szCs w:val="24"/>
                <w:color w:val="auto"/>
              </w:rPr>
            </w:pPr>
          </w:p>
        </w:tc>
        <w:tc>
          <w:tcPr>
            <w:tcW w:w="3700" w:type="dxa"/>
            <w:vAlign w:val="bottom"/>
          </w:tcPr>
          <w:p>
            <w:pPr>
              <w:ind w:left="40"/>
              <w:spacing w:after="0"/>
              <w:rPr>
                <w:sz w:val="20"/>
                <w:szCs w:val="20"/>
                <w:color w:val="auto"/>
              </w:rPr>
            </w:pPr>
            <w:r>
              <w:rPr>
                <w:rFonts w:ascii="Arial" w:cs="Arial" w:eastAsia="Arial" w:hAnsi="Arial"/>
                <w:sz w:val="20"/>
                <w:szCs w:val="20"/>
                <w:color w:val="auto"/>
                <w:w w:val="97"/>
              </w:rPr>
              <w:t>December  29,  2019  Form  10-K,  Exhibit</w:t>
            </w:r>
          </w:p>
        </w:tc>
      </w:tr>
      <w:tr>
        <w:trPr>
          <w:trHeight w:val="209"/>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40" w:type="dxa"/>
            <w:vAlign w:val="bottom"/>
            <w:tcBorders>
              <w:bottom w:val="single" w:sz="8" w:color="0000FF"/>
            </w:tcBorders>
            <w:gridSpan w:val="5"/>
          </w:tcPr>
          <w:p>
            <w:pPr>
              <w:spacing w:after="0" w:line="209" w:lineRule="exact"/>
              <w:rPr>
                <w:rFonts w:ascii="Arial" w:cs="Arial" w:eastAsia="Arial" w:hAnsi="Arial"/>
                <w:sz w:val="20"/>
                <w:szCs w:val="20"/>
                <w:color w:val="0000FF"/>
                <w:w w:val="89"/>
              </w:rPr>
            </w:pPr>
            <w:hyperlink r:id="rId33">
              <w:r>
                <w:rPr>
                  <w:rFonts w:ascii="Arial" w:cs="Arial" w:eastAsia="Arial" w:hAnsi="Arial"/>
                  <w:sz w:val="20"/>
                  <w:szCs w:val="20"/>
                  <w:color w:val="0000FF"/>
                  <w:w w:val="89"/>
                </w:rPr>
                <w:t>Donagh H. Herlihy and OS Management, Inc.</w:t>
              </w:r>
            </w:hyperlink>
          </w:p>
        </w:tc>
        <w:tc>
          <w:tcPr>
            <w:tcW w:w="2580" w:type="dxa"/>
            <w:vAlign w:val="bottom"/>
            <w:gridSpan w:val="7"/>
          </w:tcPr>
          <w:p>
            <w:pPr>
              <w:spacing w:after="0"/>
              <w:rPr>
                <w:sz w:val="18"/>
                <w:szCs w:val="18"/>
                <w:color w:val="auto"/>
              </w:rPr>
            </w:pPr>
          </w:p>
        </w:tc>
        <w:tc>
          <w:tcPr>
            <w:tcW w:w="3700" w:type="dxa"/>
            <w:vAlign w:val="bottom"/>
          </w:tcPr>
          <w:p>
            <w:pPr>
              <w:ind w:left="40"/>
              <w:spacing w:after="0" w:line="209" w:lineRule="exact"/>
              <w:rPr>
                <w:sz w:val="20"/>
                <w:szCs w:val="20"/>
                <w:color w:val="auto"/>
              </w:rPr>
            </w:pPr>
            <w:r>
              <w:rPr>
                <w:rFonts w:ascii="Arial" w:cs="Arial" w:eastAsia="Arial" w:hAnsi="Arial"/>
                <w:sz w:val="20"/>
                <w:szCs w:val="20"/>
                <w:color w:val="auto"/>
              </w:rPr>
              <w:t>10.38</w:t>
            </w:r>
          </w:p>
        </w:tc>
      </w:tr>
      <w:tr>
        <w:trPr>
          <w:trHeight w:val="385"/>
        </w:trPr>
        <w:tc>
          <w:tcPr>
            <w:tcW w:w="1140" w:type="dxa"/>
            <w:vAlign w:val="bottom"/>
          </w:tcPr>
          <w:p>
            <w:pPr>
              <w:jc w:val="center"/>
              <w:spacing w:after="0"/>
              <w:rPr>
                <w:sz w:val="20"/>
                <w:szCs w:val="20"/>
                <w:color w:val="auto"/>
              </w:rPr>
            </w:pPr>
            <w:r>
              <w:rPr>
                <w:rFonts w:ascii="Arial" w:cs="Arial" w:eastAsia="Arial" w:hAnsi="Arial"/>
                <w:sz w:val="20"/>
                <w:szCs w:val="20"/>
                <w:color w:val="auto"/>
                <w:w w:val="94"/>
              </w:rPr>
              <w:t>10.2*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tcBorders>
              <w:bottom w:val="single" w:sz="8" w:color="0000FF"/>
            </w:tcBorders>
            <w:gridSpan w:val="10"/>
          </w:tcPr>
          <w:p>
            <w:pPr>
              <w:spacing w:after="0"/>
              <w:rPr>
                <w:rFonts w:ascii="Arial" w:cs="Arial" w:eastAsia="Arial" w:hAnsi="Arial"/>
                <w:sz w:val="20"/>
                <w:szCs w:val="20"/>
                <w:color w:val="0000FF"/>
                <w:w w:val="91"/>
              </w:rPr>
            </w:pPr>
            <w:hyperlink r:id="rId34">
              <w:r>
                <w:rPr>
                  <w:rFonts w:ascii="Arial" w:cs="Arial" w:eastAsia="Arial" w:hAnsi="Arial"/>
                  <w:sz w:val="20"/>
                  <w:szCs w:val="20"/>
                  <w:color w:val="0000FF"/>
                  <w:w w:val="91"/>
                </w:rPr>
                <w:t>Resignation Agreement, effective March 6, 2020, by and between Elizabeth</w:t>
              </w:r>
            </w:hyperlink>
          </w:p>
        </w:tc>
        <w:tc>
          <w:tcPr>
            <w:tcW w:w="100" w:type="dxa"/>
            <w:vAlign w:val="bottom"/>
            <w:gridSpan w:val="2"/>
          </w:tcPr>
          <w:p>
            <w:pPr>
              <w:spacing w:after="0"/>
              <w:rPr>
                <w:sz w:val="24"/>
                <w:szCs w:val="24"/>
                <w:color w:val="auto"/>
              </w:rPr>
            </w:pPr>
          </w:p>
        </w:tc>
        <w:tc>
          <w:tcPr>
            <w:tcW w:w="3700" w:type="dxa"/>
            <w:vAlign w:val="bottom"/>
          </w:tcPr>
          <w:p>
            <w:pPr>
              <w:ind w:left="40"/>
              <w:spacing w:after="0"/>
              <w:rPr>
                <w:sz w:val="20"/>
                <w:szCs w:val="20"/>
                <w:color w:val="auto"/>
              </w:rPr>
            </w:pPr>
            <w:r>
              <w:rPr>
                <w:rFonts w:ascii="Arial" w:cs="Arial" w:eastAsia="Arial" w:hAnsi="Arial"/>
                <w:sz w:val="20"/>
                <w:szCs w:val="20"/>
                <w:color w:val="auto"/>
                <w:w w:val="97"/>
              </w:rPr>
              <w:t>December  29,  2019  Form  10-K,  Exhibit</w:t>
            </w:r>
          </w:p>
        </w:tc>
      </w:tr>
      <w:tr>
        <w:trPr>
          <w:trHeight w:val="209"/>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tcBorders>
              <w:bottom w:val="single" w:sz="8" w:color="0000FF"/>
            </w:tcBorders>
            <w:gridSpan w:val="4"/>
          </w:tcPr>
          <w:p>
            <w:pPr>
              <w:spacing w:after="0" w:line="209" w:lineRule="exact"/>
              <w:rPr>
                <w:rFonts w:ascii="Arial" w:cs="Arial" w:eastAsia="Arial" w:hAnsi="Arial"/>
                <w:sz w:val="20"/>
                <w:szCs w:val="20"/>
                <w:color w:val="0000FF"/>
                <w:w w:val="91"/>
              </w:rPr>
            </w:pPr>
            <w:hyperlink r:id="rId34">
              <w:r>
                <w:rPr>
                  <w:rFonts w:ascii="Arial" w:cs="Arial" w:eastAsia="Arial" w:hAnsi="Arial"/>
                  <w:sz w:val="20"/>
                  <w:szCs w:val="20"/>
                  <w:color w:val="0000FF"/>
                  <w:w w:val="91"/>
                </w:rPr>
                <w:t>A. Smith and Bloomin’ Brands, Inc.</w:t>
              </w:r>
            </w:hyperlink>
          </w:p>
        </w:tc>
        <w:tc>
          <w:tcPr>
            <w:tcW w:w="3360" w:type="dxa"/>
            <w:vAlign w:val="bottom"/>
            <w:gridSpan w:val="8"/>
          </w:tcPr>
          <w:p>
            <w:pPr>
              <w:spacing w:after="0"/>
              <w:rPr>
                <w:sz w:val="18"/>
                <w:szCs w:val="18"/>
                <w:color w:val="auto"/>
              </w:rPr>
            </w:pPr>
          </w:p>
        </w:tc>
        <w:tc>
          <w:tcPr>
            <w:tcW w:w="3700" w:type="dxa"/>
            <w:vAlign w:val="bottom"/>
          </w:tcPr>
          <w:p>
            <w:pPr>
              <w:ind w:left="40"/>
              <w:spacing w:after="0" w:line="209" w:lineRule="exact"/>
              <w:rPr>
                <w:sz w:val="20"/>
                <w:szCs w:val="20"/>
                <w:color w:val="auto"/>
              </w:rPr>
            </w:pPr>
            <w:r>
              <w:rPr>
                <w:rFonts w:ascii="Arial" w:cs="Arial" w:eastAsia="Arial" w:hAnsi="Arial"/>
                <w:sz w:val="20"/>
                <w:szCs w:val="20"/>
                <w:color w:val="auto"/>
              </w:rPr>
              <w:t>10.39</w:t>
            </w:r>
          </w:p>
        </w:tc>
      </w:tr>
      <w:tr>
        <w:trPr>
          <w:trHeight w:val="385"/>
        </w:trPr>
        <w:tc>
          <w:tcPr>
            <w:tcW w:w="1140" w:type="dxa"/>
            <w:vAlign w:val="bottom"/>
          </w:tcPr>
          <w:p>
            <w:pPr>
              <w:jc w:val="center"/>
              <w:spacing w:after="0"/>
              <w:rPr>
                <w:sz w:val="20"/>
                <w:szCs w:val="20"/>
                <w:color w:val="auto"/>
              </w:rPr>
            </w:pPr>
            <w:r>
              <w:rPr>
                <w:rFonts w:ascii="Arial" w:cs="Arial" w:eastAsia="Arial" w:hAnsi="Arial"/>
                <w:sz w:val="20"/>
                <w:szCs w:val="20"/>
                <w:color w:val="auto"/>
                <w:w w:val="94"/>
              </w:rPr>
              <w:t>10.3*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tcBorders>
              <w:bottom w:val="single" w:sz="8" w:color="0000FF"/>
            </w:tcBorders>
            <w:gridSpan w:val="10"/>
          </w:tcPr>
          <w:p>
            <w:pPr>
              <w:spacing w:after="0"/>
              <w:rPr>
                <w:rFonts w:ascii="Arial" w:cs="Arial" w:eastAsia="Arial" w:hAnsi="Arial"/>
                <w:sz w:val="20"/>
                <w:szCs w:val="20"/>
                <w:color w:val="0000FF"/>
              </w:rPr>
            </w:pPr>
            <w:hyperlink r:id="rId35">
              <w:r>
                <w:rPr>
                  <w:rFonts w:ascii="Arial" w:cs="Arial" w:eastAsia="Arial" w:hAnsi="Arial"/>
                  <w:sz w:val="20"/>
                  <w:szCs w:val="20"/>
                  <w:color w:val="0000FF"/>
                </w:rPr>
                <w:t>Employment Offer Letter Agreement, dated as of February 14, 2020,</w:t>
              </w:r>
            </w:hyperlink>
          </w:p>
        </w:tc>
        <w:tc>
          <w:tcPr>
            <w:tcW w:w="100" w:type="dxa"/>
            <w:vAlign w:val="bottom"/>
            <w:gridSpan w:val="2"/>
          </w:tcPr>
          <w:p>
            <w:pPr>
              <w:spacing w:after="0"/>
              <w:rPr>
                <w:sz w:val="24"/>
                <w:szCs w:val="24"/>
                <w:color w:val="auto"/>
              </w:rPr>
            </w:pPr>
          </w:p>
        </w:tc>
        <w:tc>
          <w:tcPr>
            <w:tcW w:w="3700" w:type="dxa"/>
            <w:vAlign w:val="bottom"/>
          </w:tcPr>
          <w:p>
            <w:pPr>
              <w:ind w:left="40"/>
              <w:spacing w:after="0"/>
              <w:rPr>
                <w:sz w:val="20"/>
                <w:szCs w:val="20"/>
                <w:color w:val="auto"/>
              </w:rPr>
            </w:pPr>
            <w:r>
              <w:rPr>
                <w:rFonts w:ascii="Arial" w:cs="Arial" w:eastAsia="Arial" w:hAnsi="Arial"/>
                <w:sz w:val="20"/>
                <w:szCs w:val="20"/>
                <w:color w:val="auto"/>
                <w:w w:val="97"/>
              </w:rPr>
              <w:t>December  29,  2019  Form  10-K,  Exhibit</w:t>
            </w:r>
          </w:p>
        </w:tc>
      </w:tr>
      <w:tr>
        <w:trPr>
          <w:trHeight w:val="210"/>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20" w:type="dxa"/>
            <w:vAlign w:val="bottom"/>
            <w:tcBorders>
              <w:bottom w:val="single" w:sz="8" w:color="0000FF"/>
            </w:tcBorders>
            <w:gridSpan w:val="7"/>
          </w:tcPr>
          <w:p>
            <w:pPr>
              <w:spacing w:after="0" w:line="209" w:lineRule="exact"/>
              <w:rPr>
                <w:rFonts w:ascii="Arial" w:cs="Arial" w:eastAsia="Arial" w:hAnsi="Arial"/>
                <w:sz w:val="20"/>
                <w:szCs w:val="20"/>
                <w:color w:val="0000FF"/>
                <w:w w:val="90"/>
              </w:rPr>
            </w:pPr>
            <w:hyperlink r:id="rId35">
              <w:r>
                <w:rPr>
                  <w:rFonts w:ascii="Arial" w:cs="Arial" w:eastAsia="Arial" w:hAnsi="Arial"/>
                  <w:sz w:val="20"/>
                  <w:szCs w:val="20"/>
                  <w:color w:val="0000FF"/>
                  <w:w w:val="90"/>
                </w:rPr>
                <w:t>between Bloomin’ Brands, Inc. and Gregg Scarlett</w:t>
              </w:r>
            </w:hyperlink>
          </w:p>
        </w:tc>
        <w:tc>
          <w:tcPr>
            <w:tcW w:w="2200" w:type="dxa"/>
            <w:vAlign w:val="bottom"/>
            <w:gridSpan w:val="5"/>
          </w:tcPr>
          <w:p>
            <w:pPr>
              <w:spacing w:after="0"/>
              <w:rPr>
                <w:sz w:val="18"/>
                <w:szCs w:val="18"/>
                <w:color w:val="auto"/>
              </w:rPr>
            </w:pPr>
          </w:p>
        </w:tc>
        <w:tc>
          <w:tcPr>
            <w:tcW w:w="3700" w:type="dxa"/>
            <w:vAlign w:val="bottom"/>
          </w:tcPr>
          <w:p>
            <w:pPr>
              <w:ind w:left="40"/>
              <w:spacing w:after="0" w:line="209" w:lineRule="exact"/>
              <w:rPr>
                <w:sz w:val="20"/>
                <w:szCs w:val="20"/>
                <w:color w:val="auto"/>
              </w:rPr>
            </w:pPr>
            <w:r>
              <w:rPr>
                <w:rFonts w:ascii="Arial" w:cs="Arial" w:eastAsia="Arial" w:hAnsi="Arial"/>
                <w:sz w:val="20"/>
                <w:szCs w:val="20"/>
                <w:color w:val="auto"/>
              </w:rPr>
              <w:t>10.40</w:t>
            </w:r>
          </w:p>
        </w:tc>
      </w:tr>
      <w:tr>
        <w:trPr>
          <w:trHeight w:val="385"/>
        </w:trPr>
        <w:tc>
          <w:tcPr>
            <w:tcW w:w="1140" w:type="dxa"/>
            <w:vAlign w:val="bottom"/>
          </w:tcPr>
          <w:p>
            <w:pPr>
              <w:jc w:val="center"/>
              <w:spacing w:after="0"/>
              <w:rPr>
                <w:sz w:val="20"/>
                <w:szCs w:val="20"/>
                <w:color w:val="auto"/>
              </w:rPr>
            </w:pPr>
            <w:r>
              <w:rPr>
                <w:rFonts w:ascii="Arial" w:cs="Arial" w:eastAsia="Arial" w:hAnsi="Arial"/>
                <w:sz w:val="20"/>
                <w:szCs w:val="20"/>
                <w:color w:val="auto"/>
                <w:w w:val="94"/>
              </w:rPr>
              <w:t>10.4*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00" w:type="dxa"/>
            <w:vAlign w:val="bottom"/>
            <w:tcBorders>
              <w:bottom w:val="single" w:sz="8" w:color="0000FF"/>
            </w:tcBorders>
            <w:gridSpan w:val="9"/>
          </w:tcPr>
          <w:p>
            <w:pPr>
              <w:spacing w:after="0"/>
              <w:rPr>
                <w:rFonts w:ascii="Arial" w:cs="Arial" w:eastAsia="Arial" w:hAnsi="Arial"/>
                <w:sz w:val="20"/>
                <w:szCs w:val="20"/>
                <w:color w:val="0000FF"/>
                <w:w w:val="93"/>
              </w:rPr>
            </w:pPr>
            <w:hyperlink w:anchor="page56">
              <w:r>
                <w:rPr>
                  <w:rFonts w:ascii="Arial" w:cs="Arial" w:eastAsia="Arial" w:hAnsi="Arial"/>
                  <w:sz w:val="20"/>
                  <w:szCs w:val="20"/>
                  <w:color w:val="0000FF"/>
                  <w:w w:val="93"/>
                </w:rPr>
                <w:t>Amendment to Officer Employment Agreement, dated as of April 6, 2020,</w:t>
              </w:r>
            </w:hyperlink>
          </w:p>
        </w:tc>
        <w:tc>
          <w:tcPr>
            <w:tcW w:w="120" w:type="dxa"/>
            <w:vAlign w:val="bottom"/>
            <w:gridSpan w:val="3"/>
          </w:tcPr>
          <w:p>
            <w:pPr>
              <w:spacing w:after="0"/>
              <w:rPr>
                <w:sz w:val="24"/>
                <w:szCs w:val="24"/>
                <w:color w:val="auto"/>
              </w:rPr>
            </w:pPr>
          </w:p>
        </w:tc>
        <w:tc>
          <w:tcPr>
            <w:tcW w:w="3700" w:type="dxa"/>
            <w:vAlign w:val="bottom"/>
          </w:tcPr>
          <w:p>
            <w:pPr>
              <w:ind w:left="40"/>
              <w:spacing w:after="0"/>
              <w:rPr>
                <w:sz w:val="20"/>
                <w:szCs w:val="20"/>
                <w:color w:val="auto"/>
              </w:rPr>
            </w:pPr>
            <w:r>
              <w:rPr>
                <w:rFonts w:ascii="Arial" w:cs="Arial" w:eastAsia="Arial" w:hAnsi="Arial"/>
                <w:sz w:val="20"/>
                <w:szCs w:val="20"/>
                <w:color w:val="auto"/>
              </w:rPr>
              <w:t>Filed herewith</w:t>
            </w:r>
          </w:p>
        </w:tc>
      </w:tr>
      <w:tr>
        <w:trPr>
          <w:trHeight w:val="209"/>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0" w:type="dxa"/>
            <w:vAlign w:val="bottom"/>
            <w:tcBorders>
              <w:bottom w:val="single" w:sz="8" w:color="0000FF"/>
            </w:tcBorders>
            <w:gridSpan w:val="6"/>
          </w:tcPr>
          <w:p>
            <w:pPr>
              <w:spacing w:after="0" w:line="209" w:lineRule="exact"/>
              <w:rPr>
                <w:rFonts w:ascii="Arial" w:cs="Arial" w:eastAsia="Arial" w:hAnsi="Arial"/>
                <w:sz w:val="20"/>
                <w:szCs w:val="20"/>
                <w:color w:val="0000FF"/>
                <w:w w:val="90"/>
              </w:rPr>
            </w:pPr>
            <w:hyperlink w:anchor="page56">
              <w:r>
                <w:rPr>
                  <w:rFonts w:ascii="Arial" w:cs="Arial" w:eastAsia="Arial" w:hAnsi="Arial"/>
                  <w:sz w:val="20"/>
                  <w:szCs w:val="20"/>
                  <w:color w:val="0000FF"/>
                  <w:w w:val="90"/>
                </w:rPr>
                <w:t>between Bloomin’ Brands, Inc. and David J. Deno</w:t>
              </w:r>
            </w:hyperlink>
          </w:p>
        </w:tc>
        <w:tc>
          <w:tcPr>
            <w:tcW w:w="2220" w:type="dxa"/>
            <w:vAlign w:val="bottom"/>
            <w:gridSpan w:val="6"/>
          </w:tcPr>
          <w:p>
            <w:pPr>
              <w:spacing w:after="0"/>
              <w:rPr>
                <w:sz w:val="18"/>
                <w:szCs w:val="18"/>
                <w:color w:val="auto"/>
              </w:rPr>
            </w:pPr>
          </w:p>
        </w:tc>
        <w:tc>
          <w:tcPr>
            <w:tcW w:w="3700" w:type="dxa"/>
            <w:vAlign w:val="bottom"/>
          </w:tcPr>
          <w:p>
            <w:pPr>
              <w:spacing w:after="0"/>
              <w:rPr>
                <w:sz w:val="18"/>
                <w:szCs w:val="18"/>
                <w:color w:val="auto"/>
              </w:rPr>
            </w:pPr>
          </w:p>
        </w:tc>
      </w:tr>
      <w:tr>
        <w:trPr>
          <w:trHeight w:val="385"/>
        </w:trPr>
        <w:tc>
          <w:tcPr>
            <w:tcW w:w="1140" w:type="dxa"/>
            <w:vAlign w:val="bottom"/>
          </w:tcPr>
          <w:p>
            <w:pPr>
              <w:jc w:val="center"/>
              <w:spacing w:after="0"/>
              <w:rPr>
                <w:sz w:val="20"/>
                <w:szCs w:val="20"/>
                <w:color w:val="auto"/>
              </w:rPr>
            </w:pPr>
            <w:r>
              <w:rPr>
                <w:rFonts w:ascii="Arial" w:cs="Arial" w:eastAsia="Arial" w:hAnsi="Arial"/>
                <w:sz w:val="20"/>
                <w:szCs w:val="20"/>
                <w:color w:val="auto"/>
                <w:w w:val="87"/>
              </w:rPr>
              <w:t>10.5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tcBorders>
              <w:bottom w:val="single" w:sz="8" w:color="0000FF"/>
            </w:tcBorders>
            <w:gridSpan w:val="10"/>
          </w:tcPr>
          <w:p>
            <w:pPr>
              <w:spacing w:after="0"/>
              <w:rPr>
                <w:rFonts w:ascii="Arial" w:cs="Arial" w:eastAsia="Arial" w:hAnsi="Arial"/>
                <w:sz w:val="20"/>
                <w:szCs w:val="20"/>
                <w:color w:val="0000FF"/>
                <w:w w:val="92"/>
              </w:rPr>
            </w:pPr>
            <w:hyperlink r:id="rId36">
              <w:r>
                <w:rPr>
                  <w:rFonts w:ascii="Arial" w:cs="Arial" w:eastAsia="Arial" w:hAnsi="Arial"/>
                  <w:sz w:val="20"/>
                  <w:szCs w:val="20"/>
                  <w:color w:val="0000FF"/>
                  <w:w w:val="92"/>
                </w:rPr>
                <w:t>First Amendment to Amended and Restated Credit Agreement, dated as of</w:t>
              </w:r>
            </w:hyperlink>
          </w:p>
        </w:tc>
        <w:tc>
          <w:tcPr>
            <w:tcW w:w="100" w:type="dxa"/>
            <w:vAlign w:val="bottom"/>
            <w:gridSpan w:val="2"/>
          </w:tcPr>
          <w:p>
            <w:pPr>
              <w:spacing w:after="0"/>
              <w:rPr>
                <w:sz w:val="24"/>
                <w:szCs w:val="24"/>
                <w:color w:val="auto"/>
              </w:rPr>
            </w:pPr>
          </w:p>
        </w:tc>
        <w:tc>
          <w:tcPr>
            <w:tcW w:w="3700" w:type="dxa"/>
            <w:vAlign w:val="bottom"/>
          </w:tcPr>
          <w:p>
            <w:pPr>
              <w:ind w:left="40"/>
              <w:spacing w:after="0"/>
              <w:rPr>
                <w:sz w:val="20"/>
                <w:szCs w:val="20"/>
                <w:color w:val="auto"/>
              </w:rPr>
            </w:pPr>
            <w:r>
              <w:rPr>
                <w:rFonts w:ascii="Arial" w:cs="Arial" w:eastAsia="Arial" w:hAnsi="Arial"/>
                <w:sz w:val="20"/>
                <w:szCs w:val="20"/>
                <w:color w:val="auto"/>
              </w:rPr>
              <w:t>May 5, 2020 Form 8-K, Exhibit 10.1</w:t>
            </w:r>
          </w:p>
        </w:tc>
      </w:tr>
      <w:tr>
        <w:trPr>
          <w:trHeight w:val="209"/>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tcBorders>
              <w:bottom w:val="single" w:sz="8" w:color="0000FF"/>
            </w:tcBorders>
            <w:gridSpan w:val="10"/>
          </w:tcPr>
          <w:p>
            <w:pPr>
              <w:spacing w:after="0" w:line="209" w:lineRule="exact"/>
              <w:rPr>
                <w:rFonts w:ascii="Arial" w:cs="Arial" w:eastAsia="Arial" w:hAnsi="Arial"/>
                <w:sz w:val="20"/>
                <w:szCs w:val="20"/>
                <w:color w:val="0000FF"/>
                <w:w w:val="92"/>
              </w:rPr>
            </w:pPr>
            <w:hyperlink r:id="rId36">
              <w:r>
                <w:rPr>
                  <w:rFonts w:ascii="Arial" w:cs="Arial" w:eastAsia="Arial" w:hAnsi="Arial"/>
                  <w:sz w:val="20"/>
                  <w:szCs w:val="20"/>
                  <w:color w:val="0000FF"/>
                  <w:w w:val="92"/>
                </w:rPr>
                <w:t>May 4, 2020, among Bloomin’ Brands, Inc., OSI Restaurant Partners, LLC,</w:t>
              </w:r>
            </w:hyperlink>
          </w:p>
        </w:tc>
        <w:tc>
          <w:tcPr>
            <w:tcW w:w="100" w:type="dxa"/>
            <w:vAlign w:val="bottom"/>
            <w:gridSpan w:val="2"/>
          </w:tcPr>
          <w:p>
            <w:pPr>
              <w:spacing w:after="0"/>
              <w:rPr>
                <w:sz w:val="18"/>
                <w:szCs w:val="18"/>
                <w:color w:val="auto"/>
              </w:rPr>
            </w:pPr>
          </w:p>
        </w:tc>
        <w:tc>
          <w:tcPr>
            <w:tcW w:w="370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tcBorders>
              <w:bottom w:val="single" w:sz="8" w:color="0000FF"/>
            </w:tcBorders>
            <w:gridSpan w:val="10"/>
          </w:tcPr>
          <w:p>
            <w:pPr>
              <w:spacing w:after="0" w:line="209" w:lineRule="exact"/>
              <w:rPr>
                <w:rFonts w:ascii="Arial" w:cs="Arial" w:eastAsia="Arial" w:hAnsi="Arial"/>
                <w:sz w:val="20"/>
                <w:szCs w:val="20"/>
                <w:color w:val="0000FF"/>
                <w:w w:val="93"/>
              </w:rPr>
            </w:pPr>
            <w:hyperlink r:id="rId36">
              <w:r>
                <w:rPr>
                  <w:rFonts w:ascii="Arial" w:cs="Arial" w:eastAsia="Arial" w:hAnsi="Arial"/>
                  <w:sz w:val="20"/>
                  <w:szCs w:val="20"/>
                  <w:color w:val="0000FF"/>
                  <w:w w:val="93"/>
                </w:rPr>
                <w:t>the lenders party thereto, and Wells Fargo Bank, National Association, as</w:t>
              </w:r>
            </w:hyperlink>
          </w:p>
        </w:tc>
        <w:tc>
          <w:tcPr>
            <w:tcW w:w="100" w:type="dxa"/>
            <w:vAlign w:val="bottom"/>
            <w:gridSpan w:val="2"/>
          </w:tcPr>
          <w:p>
            <w:pPr>
              <w:spacing w:after="0"/>
              <w:rPr>
                <w:sz w:val="18"/>
                <w:szCs w:val="18"/>
                <w:color w:val="auto"/>
              </w:rPr>
            </w:pPr>
          </w:p>
        </w:tc>
        <w:tc>
          <w:tcPr>
            <w:tcW w:w="370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20" w:type="dxa"/>
            <w:vAlign w:val="bottom"/>
            <w:gridSpan w:val="12"/>
          </w:tcPr>
          <w:p>
            <w:pPr>
              <w:spacing w:after="0" w:line="209" w:lineRule="exact"/>
              <w:rPr>
                <w:rFonts w:ascii="Arial" w:cs="Arial" w:eastAsia="Arial" w:hAnsi="Arial"/>
                <w:sz w:val="20"/>
                <w:szCs w:val="20"/>
                <w:color w:val="0000FF"/>
              </w:rPr>
            </w:pPr>
            <w:hyperlink r:id="rId36">
              <w:r>
                <w:rPr>
                  <w:rFonts w:ascii="Arial" w:cs="Arial" w:eastAsia="Arial" w:hAnsi="Arial"/>
                  <w:sz w:val="20"/>
                  <w:szCs w:val="20"/>
                  <w:color w:val="0000FF"/>
                </w:rPr>
                <w:t>administrative agent</w:t>
              </w:r>
            </w:hyperlink>
          </w:p>
        </w:tc>
        <w:tc>
          <w:tcPr>
            <w:tcW w:w="370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385"/>
        </w:trPr>
        <w:tc>
          <w:tcPr>
            <w:tcW w:w="1140" w:type="dxa"/>
            <w:vAlign w:val="bottom"/>
          </w:tcPr>
          <w:p>
            <w:pPr>
              <w:jc w:val="center"/>
              <w:spacing w:after="0"/>
              <w:rPr>
                <w:sz w:val="20"/>
                <w:szCs w:val="20"/>
                <w:color w:val="auto"/>
              </w:rPr>
            </w:pPr>
            <w:r>
              <w:rPr>
                <w:rFonts w:ascii="Arial" w:cs="Arial" w:eastAsia="Arial" w:hAnsi="Arial"/>
                <w:sz w:val="20"/>
                <w:szCs w:val="20"/>
                <w:color w:val="auto"/>
                <w:w w:val="87"/>
              </w:rPr>
              <w:t>10.6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tcBorders>
              <w:bottom w:val="single" w:sz="8" w:color="0000FF"/>
            </w:tcBorders>
            <w:gridSpan w:val="10"/>
          </w:tcPr>
          <w:p>
            <w:pPr>
              <w:spacing w:after="0"/>
              <w:rPr>
                <w:rFonts w:ascii="Arial" w:cs="Arial" w:eastAsia="Arial" w:hAnsi="Arial"/>
                <w:sz w:val="20"/>
                <w:szCs w:val="20"/>
                <w:color w:val="0000FF"/>
                <w:w w:val="96"/>
              </w:rPr>
            </w:pPr>
            <w:hyperlink w:anchor="page59">
              <w:r>
                <w:rPr>
                  <w:rFonts w:ascii="Arial" w:cs="Arial" w:eastAsia="Arial" w:hAnsi="Arial"/>
                  <w:sz w:val="20"/>
                  <w:szCs w:val="20"/>
                  <w:color w:val="0000FF"/>
                  <w:w w:val="96"/>
                </w:rPr>
                <w:t>Consulting Agreement effective June 1, 2020, by and between Bloomin’</w:t>
              </w:r>
            </w:hyperlink>
          </w:p>
        </w:tc>
        <w:tc>
          <w:tcPr>
            <w:tcW w:w="100" w:type="dxa"/>
            <w:vAlign w:val="bottom"/>
            <w:gridSpan w:val="2"/>
          </w:tcPr>
          <w:p>
            <w:pPr>
              <w:spacing w:after="0"/>
              <w:rPr>
                <w:sz w:val="24"/>
                <w:szCs w:val="24"/>
                <w:color w:val="auto"/>
              </w:rPr>
            </w:pPr>
          </w:p>
        </w:tc>
        <w:tc>
          <w:tcPr>
            <w:tcW w:w="3700" w:type="dxa"/>
            <w:vAlign w:val="bottom"/>
          </w:tcPr>
          <w:p>
            <w:pPr>
              <w:ind w:left="40"/>
              <w:spacing w:after="0"/>
              <w:rPr>
                <w:sz w:val="20"/>
                <w:szCs w:val="20"/>
                <w:color w:val="auto"/>
              </w:rPr>
            </w:pPr>
            <w:r>
              <w:rPr>
                <w:rFonts w:ascii="Arial" w:cs="Arial" w:eastAsia="Arial" w:hAnsi="Arial"/>
                <w:sz w:val="20"/>
                <w:szCs w:val="20"/>
                <w:color w:val="auto"/>
              </w:rPr>
              <w:t>Filed herewith</w:t>
            </w:r>
          </w:p>
        </w:tc>
      </w:tr>
      <w:tr>
        <w:trPr>
          <w:trHeight w:val="209"/>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80" w:type="dxa"/>
            <w:vAlign w:val="bottom"/>
            <w:tcBorders>
              <w:bottom w:val="single" w:sz="8" w:color="0000FF"/>
            </w:tcBorders>
            <w:gridSpan w:val="3"/>
          </w:tcPr>
          <w:p>
            <w:pPr>
              <w:spacing w:after="0" w:line="209" w:lineRule="exact"/>
              <w:rPr>
                <w:rFonts w:ascii="Arial" w:cs="Arial" w:eastAsia="Arial" w:hAnsi="Arial"/>
                <w:sz w:val="20"/>
                <w:szCs w:val="20"/>
                <w:color w:val="0000FF"/>
                <w:w w:val="87"/>
              </w:rPr>
            </w:pPr>
            <w:hyperlink w:anchor="page59">
              <w:r>
                <w:rPr>
                  <w:rFonts w:ascii="Arial" w:cs="Arial" w:eastAsia="Arial" w:hAnsi="Arial"/>
                  <w:sz w:val="20"/>
                  <w:szCs w:val="20"/>
                  <w:color w:val="0000FF"/>
                  <w:w w:val="87"/>
                </w:rPr>
                <w:t>Brands, Inc. and Joseph J. Kadow</w:t>
              </w:r>
            </w:hyperlink>
          </w:p>
        </w:tc>
        <w:tc>
          <w:tcPr>
            <w:tcW w:w="3540" w:type="dxa"/>
            <w:vAlign w:val="bottom"/>
            <w:gridSpan w:val="9"/>
          </w:tcPr>
          <w:p>
            <w:pPr>
              <w:spacing w:after="0"/>
              <w:rPr>
                <w:sz w:val="18"/>
                <w:szCs w:val="18"/>
                <w:color w:val="auto"/>
              </w:rPr>
            </w:pPr>
          </w:p>
        </w:tc>
        <w:tc>
          <w:tcPr>
            <w:tcW w:w="3700" w:type="dxa"/>
            <w:vAlign w:val="bottom"/>
          </w:tcPr>
          <w:p>
            <w:pPr>
              <w:spacing w:after="0"/>
              <w:rPr>
                <w:sz w:val="18"/>
                <w:szCs w:val="18"/>
                <w:color w:val="auto"/>
              </w:rPr>
            </w:pPr>
          </w:p>
        </w:tc>
      </w:tr>
      <w:tr>
        <w:trPr>
          <w:trHeight w:val="385"/>
        </w:trPr>
        <w:tc>
          <w:tcPr>
            <w:tcW w:w="1140" w:type="dxa"/>
            <w:vAlign w:val="bottom"/>
          </w:tcPr>
          <w:p>
            <w:pPr>
              <w:jc w:val="center"/>
              <w:spacing w:after="0"/>
              <w:rPr>
                <w:sz w:val="20"/>
                <w:szCs w:val="20"/>
                <w:color w:val="auto"/>
              </w:rPr>
            </w:pPr>
            <w:r>
              <w:rPr>
                <w:rFonts w:ascii="Arial" w:cs="Arial" w:eastAsia="Arial" w:hAnsi="Arial"/>
                <w:sz w:val="20"/>
                <w:szCs w:val="20"/>
                <w:color w:val="auto"/>
                <w:w w:val="87"/>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tcBorders>
              <w:bottom w:val="single" w:sz="8" w:color="0000FF"/>
            </w:tcBorders>
            <w:gridSpan w:val="10"/>
          </w:tcPr>
          <w:p>
            <w:pPr>
              <w:spacing w:after="0"/>
              <w:rPr>
                <w:rFonts w:ascii="Arial" w:cs="Arial" w:eastAsia="Arial" w:hAnsi="Arial"/>
                <w:sz w:val="20"/>
                <w:szCs w:val="20"/>
                <w:color w:val="0000FF"/>
              </w:rPr>
            </w:pPr>
            <w:hyperlink w:anchor="page64">
              <w:r>
                <w:rPr>
                  <w:rFonts w:ascii="Arial" w:cs="Arial" w:eastAsia="Arial" w:hAnsi="Arial"/>
                  <w:sz w:val="20"/>
                  <w:szCs w:val="20"/>
                  <w:color w:val="0000FF"/>
                </w:rPr>
                <w:t>Certification of Chief Executive Officer pursuant to Section 302 of the</w:t>
              </w:r>
            </w:hyperlink>
          </w:p>
        </w:tc>
        <w:tc>
          <w:tcPr>
            <w:tcW w:w="100" w:type="dxa"/>
            <w:vAlign w:val="bottom"/>
            <w:gridSpan w:val="2"/>
          </w:tcPr>
          <w:p>
            <w:pPr>
              <w:spacing w:after="0"/>
              <w:rPr>
                <w:sz w:val="24"/>
                <w:szCs w:val="24"/>
                <w:color w:val="auto"/>
              </w:rPr>
            </w:pPr>
          </w:p>
        </w:tc>
        <w:tc>
          <w:tcPr>
            <w:tcW w:w="3700" w:type="dxa"/>
            <w:vAlign w:val="bottom"/>
          </w:tcPr>
          <w:p>
            <w:pPr>
              <w:ind w:left="40"/>
              <w:spacing w:after="0"/>
              <w:rPr>
                <w:sz w:val="20"/>
                <w:szCs w:val="20"/>
                <w:color w:val="auto"/>
              </w:rPr>
            </w:pPr>
            <w:r>
              <w:rPr>
                <w:rFonts w:ascii="Arial" w:cs="Arial" w:eastAsia="Arial" w:hAnsi="Arial"/>
                <w:sz w:val="20"/>
                <w:szCs w:val="20"/>
                <w:color w:val="auto"/>
              </w:rPr>
              <w:t>Filed herewith</w:t>
            </w:r>
          </w:p>
        </w:tc>
      </w:tr>
      <w:tr>
        <w:trPr>
          <w:trHeight w:val="210"/>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tcBorders>
              <w:bottom w:val="single" w:sz="8" w:color="0000FF"/>
            </w:tcBorders>
            <w:gridSpan w:val="2"/>
          </w:tcPr>
          <w:p>
            <w:pPr>
              <w:spacing w:after="0" w:line="209" w:lineRule="exact"/>
              <w:rPr>
                <w:rFonts w:ascii="Arial" w:cs="Arial" w:eastAsia="Arial" w:hAnsi="Arial"/>
                <w:sz w:val="20"/>
                <w:szCs w:val="20"/>
                <w:color w:val="0000FF"/>
                <w:w w:val="88"/>
              </w:rPr>
            </w:pPr>
            <w:hyperlink w:anchor="page64">
              <w:r>
                <w:rPr>
                  <w:rFonts w:ascii="Arial" w:cs="Arial" w:eastAsia="Arial" w:hAnsi="Arial"/>
                  <w:sz w:val="20"/>
                  <w:szCs w:val="20"/>
                  <w:color w:val="0000FF"/>
                  <w:w w:val="88"/>
                </w:rPr>
                <w:t>Sarbanes-Oxley Act of 2002</w:t>
              </w:r>
            </w:hyperlink>
          </w:p>
        </w:tc>
        <w:tc>
          <w:tcPr>
            <w:tcW w:w="3980" w:type="dxa"/>
            <w:vAlign w:val="bottom"/>
            <w:gridSpan w:val="10"/>
          </w:tcPr>
          <w:p>
            <w:pPr>
              <w:spacing w:after="0"/>
              <w:rPr>
                <w:sz w:val="18"/>
                <w:szCs w:val="18"/>
                <w:color w:val="auto"/>
              </w:rPr>
            </w:pPr>
          </w:p>
        </w:tc>
        <w:tc>
          <w:tcPr>
            <w:tcW w:w="3700" w:type="dxa"/>
            <w:vAlign w:val="bottom"/>
          </w:tcPr>
          <w:p>
            <w:pPr>
              <w:spacing w:after="0"/>
              <w:rPr>
                <w:sz w:val="18"/>
                <w:szCs w:val="18"/>
                <w:color w:val="auto"/>
              </w:rPr>
            </w:pPr>
          </w:p>
        </w:tc>
      </w:tr>
      <w:tr>
        <w:trPr>
          <w:trHeight w:val="385"/>
        </w:trPr>
        <w:tc>
          <w:tcPr>
            <w:tcW w:w="1140" w:type="dxa"/>
            <w:vAlign w:val="bottom"/>
          </w:tcPr>
          <w:p>
            <w:pPr>
              <w:jc w:val="center"/>
              <w:spacing w:after="0"/>
              <w:rPr>
                <w:sz w:val="20"/>
                <w:szCs w:val="20"/>
                <w:color w:val="auto"/>
              </w:rPr>
            </w:pPr>
            <w:r>
              <w:rPr>
                <w:rFonts w:ascii="Arial" w:cs="Arial" w:eastAsia="Arial" w:hAnsi="Arial"/>
                <w:sz w:val="20"/>
                <w:szCs w:val="20"/>
                <w:color w:val="auto"/>
                <w:w w:val="87"/>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tcBorders>
              <w:bottom w:val="single" w:sz="8" w:color="0000FF"/>
            </w:tcBorders>
            <w:gridSpan w:val="10"/>
          </w:tcPr>
          <w:p>
            <w:pPr>
              <w:spacing w:after="0"/>
              <w:rPr>
                <w:rFonts w:ascii="Arial" w:cs="Arial" w:eastAsia="Arial" w:hAnsi="Arial"/>
                <w:sz w:val="20"/>
                <w:szCs w:val="20"/>
                <w:color w:val="0000FF"/>
              </w:rPr>
            </w:pPr>
            <w:hyperlink w:anchor="page65">
              <w:r>
                <w:rPr>
                  <w:rFonts w:ascii="Arial" w:cs="Arial" w:eastAsia="Arial" w:hAnsi="Arial"/>
                  <w:sz w:val="20"/>
                  <w:szCs w:val="20"/>
                  <w:color w:val="0000FF"/>
                </w:rPr>
                <w:t>Certification of Chief Financial Officer pursuant to Section 302 of the</w:t>
              </w:r>
            </w:hyperlink>
          </w:p>
        </w:tc>
        <w:tc>
          <w:tcPr>
            <w:tcW w:w="100" w:type="dxa"/>
            <w:vAlign w:val="bottom"/>
            <w:gridSpan w:val="2"/>
          </w:tcPr>
          <w:p>
            <w:pPr>
              <w:spacing w:after="0"/>
              <w:rPr>
                <w:sz w:val="24"/>
                <w:szCs w:val="24"/>
                <w:color w:val="auto"/>
              </w:rPr>
            </w:pPr>
          </w:p>
        </w:tc>
        <w:tc>
          <w:tcPr>
            <w:tcW w:w="3700" w:type="dxa"/>
            <w:vAlign w:val="bottom"/>
          </w:tcPr>
          <w:p>
            <w:pPr>
              <w:ind w:left="40"/>
              <w:spacing w:after="0"/>
              <w:rPr>
                <w:sz w:val="20"/>
                <w:szCs w:val="20"/>
                <w:color w:val="auto"/>
              </w:rPr>
            </w:pPr>
            <w:r>
              <w:rPr>
                <w:rFonts w:ascii="Arial" w:cs="Arial" w:eastAsia="Arial" w:hAnsi="Arial"/>
                <w:sz w:val="20"/>
                <w:szCs w:val="20"/>
                <w:color w:val="auto"/>
              </w:rPr>
              <w:t>Filed herewith</w:t>
            </w:r>
          </w:p>
        </w:tc>
      </w:tr>
      <w:tr>
        <w:trPr>
          <w:trHeight w:val="210"/>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tcBorders>
              <w:bottom w:val="single" w:sz="8" w:color="0000FF"/>
            </w:tcBorders>
            <w:gridSpan w:val="2"/>
          </w:tcPr>
          <w:p>
            <w:pPr>
              <w:spacing w:after="0" w:line="209" w:lineRule="exact"/>
              <w:rPr>
                <w:rFonts w:ascii="Arial" w:cs="Arial" w:eastAsia="Arial" w:hAnsi="Arial"/>
                <w:sz w:val="20"/>
                <w:szCs w:val="20"/>
                <w:color w:val="0000FF"/>
                <w:w w:val="88"/>
              </w:rPr>
            </w:pPr>
            <w:hyperlink w:anchor="page65">
              <w:r>
                <w:rPr>
                  <w:rFonts w:ascii="Arial" w:cs="Arial" w:eastAsia="Arial" w:hAnsi="Arial"/>
                  <w:sz w:val="20"/>
                  <w:szCs w:val="20"/>
                  <w:color w:val="0000FF"/>
                  <w:w w:val="88"/>
                </w:rPr>
                <w:t>Sarbanes-Oxley Act of 2002</w:t>
              </w:r>
            </w:hyperlink>
          </w:p>
        </w:tc>
        <w:tc>
          <w:tcPr>
            <w:tcW w:w="3980" w:type="dxa"/>
            <w:vAlign w:val="bottom"/>
            <w:gridSpan w:val="10"/>
          </w:tcPr>
          <w:p>
            <w:pPr>
              <w:spacing w:after="0"/>
              <w:rPr>
                <w:sz w:val="18"/>
                <w:szCs w:val="18"/>
                <w:color w:val="auto"/>
              </w:rPr>
            </w:pPr>
          </w:p>
        </w:tc>
        <w:tc>
          <w:tcPr>
            <w:tcW w:w="3700" w:type="dxa"/>
            <w:vAlign w:val="bottom"/>
          </w:tcPr>
          <w:p>
            <w:pPr>
              <w:spacing w:after="0"/>
              <w:rPr>
                <w:sz w:val="18"/>
                <w:szCs w:val="18"/>
                <w:color w:val="auto"/>
              </w:rPr>
            </w:pPr>
          </w:p>
        </w:tc>
      </w:tr>
      <w:tr>
        <w:trPr>
          <w:trHeight w:val="385"/>
        </w:trPr>
        <w:tc>
          <w:tcPr>
            <w:tcW w:w="1140" w:type="dxa"/>
            <w:vAlign w:val="bottom"/>
          </w:tcPr>
          <w:p>
            <w:pPr>
              <w:jc w:val="center"/>
              <w:spacing w:after="0"/>
              <w:rPr>
                <w:sz w:val="20"/>
                <w:szCs w:val="20"/>
                <w:color w:val="auto"/>
              </w:rPr>
            </w:pPr>
            <w:r>
              <w:rPr>
                <w:rFonts w:ascii="Arial" w:cs="Arial" w:eastAsia="Arial" w:hAnsi="Arial"/>
                <w:sz w:val="20"/>
                <w:szCs w:val="20"/>
                <w:color w:val="auto"/>
                <w:w w:val="87"/>
              </w:rPr>
              <w:t>32.1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00" w:type="dxa"/>
            <w:vAlign w:val="bottom"/>
            <w:tcBorders>
              <w:bottom w:val="single" w:sz="8" w:color="0000FF"/>
            </w:tcBorders>
            <w:gridSpan w:val="9"/>
          </w:tcPr>
          <w:p>
            <w:pPr>
              <w:spacing w:after="0"/>
              <w:rPr>
                <w:rFonts w:ascii="Arial" w:cs="Arial" w:eastAsia="Arial" w:hAnsi="Arial"/>
                <w:sz w:val="20"/>
                <w:szCs w:val="20"/>
                <w:color w:val="0000FF"/>
                <w:w w:val="91"/>
              </w:rPr>
            </w:pPr>
            <w:hyperlink w:anchor="page66">
              <w:r>
                <w:rPr>
                  <w:rFonts w:ascii="Arial" w:cs="Arial" w:eastAsia="Arial" w:hAnsi="Arial"/>
                  <w:sz w:val="20"/>
                  <w:szCs w:val="20"/>
                  <w:color w:val="0000FF"/>
                  <w:w w:val="91"/>
                </w:rPr>
                <w:t>Certification of Chief Executive Officer pursuant to 18 U.S.C. Section 1350,</w:t>
              </w:r>
            </w:hyperlink>
          </w:p>
        </w:tc>
        <w:tc>
          <w:tcPr>
            <w:tcW w:w="120" w:type="dxa"/>
            <w:vAlign w:val="bottom"/>
            <w:gridSpan w:val="3"/>
          </w:tcPr>
          <w:p>
            <w:pPr>
              <w:spacing w:after="0"/>
              <w:rPr>
                <w:sz w:val="24"/>
                <w:szCs w:val="24"/>
                <w:color w:val="auto"/>
              </w:rPr>
            </w:pPr>
          </w:p>
        </w:tc>
        <w:tc>
          <w:tcPr>
            <w:tcW w:w="3700" w:type="dxa"/>
            <w:vAlign w:val="bottom"/>
          </w:tcPr>
          <w:p>
            <w:pPr>
              <w:ind w:left="40"/>
              <w:spacing w:after="0"/>
              <w:rPr>
                <w:sz w:val="20"/>
                <w:szCs w:val="20"/>
                <w:color w:val="auto"/>
              </w:rPr>
            </w:pPr>
            <w:r>
              <w:rPr>
                <w:rFonts w:ascii="Arial" w:cs="Arial" w:eastAsia="Arial" w:hAnsi="Arial"/>
                <w:sz w:val="20"/>
                <w:szCs w:val="20"/>
                <w:color w:val="auto"/>
              </w:rPr>
              <w:t>Furnished herewith</w:t>
            </w:r>
          </w:p>
        </w:tc>
      </w:tr>
      <w:tr>
        <w:trPr>
          <w:trHeight w:val="254"/>
        </w:trPr>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20" w:type="dxa"/>
            <w:vAlign w:val="bottom"/>
            <w:gridSpan w:val="12"/>
          </w:tcPr>
          <w:p>
            <w:pPr>
              <w:spacing w:after="0"/>
              <w:rPr>
                <w:rFonts w:ascii="Arial" w:cs="Arial" w:eastAsia="Arial" w:hAnsi="Arial"/>
                <w:sz w:val="20"/>
                <w:szCs w:val="20"/>
                <w:u w:val="single" w:color="auto"/>
                <w:color w:val="0000FF"/>
                <w:w w:val="94"/>
              </w:rPr>
            </w:pPr>
            <w:hyperlink w:anchor="page66">
              <w:r>
                <w:rPr>
                  <w:rFonts w:ascii="Arial" w:cs="Arial" w:eastAsia="Arial" w:hAnsi="Arial"/>
                  <w:sz w:val="20"/>
                  <w:szCs w:val="20"/>
                  <w:u w:val="single" w:color="auto"/>
                  <w:color w:val="0000FF"/>
                  <w:w w:val="94"/>
                </w:rPr>
                <w:t>as adopted pursuant to Section 906 of the Sarbanes-Oxley Act of 2002 (1)</w:t>
              </w:r>
            </w:hyperlink>
          </w:p>
        </w:tc>
        <w:tc>
          <w:tcPr>
            <w:tcW w:w="3700" w:type="dxa"/>
            <w:vAlign w:val="bottom"/>
          </w:tcPr>
          <w:p>
            <w:pPr>
              <w:spacing w:after="0"/>
              <w:rPr>
                <w:sz w:val="22"/>
                <w:szCs w:val="22"/>
                <w:color w:val="auto"/>
              </w:rPr>
            </w:pPr>
          </w:p>
        </w:tc>
      </w:tr>
      <w:tr>
        <w:trPr>
          <w:trHeight w:val="360"/>
        </w:trPr>
        <w:tc>
          <w:tcPr>
            <w:tcW w:w="1140" w:type="dxa"/>
            <w:vAlign w:val="bottom"/>
          </w:tcPr>
          <w:p>
            <w:pPr>
              <w:jc w:val="center"/>
              <w:spacing w:after="0"/>
              <w:rPr>
                <w:sz w:val="20"/>
                <w:szCs w:val="20"/>
                <w:color w:val="auto"/>
              </w:rPr>
            </w:pPr>
            <w:r>
              <w:rPr>
                <w:rFonts w:ascii="Arial" w:cs="Arial" w:eastAsia="Arial" w:hAnsi="Arial"/>
                <w:sz w:val="20"/>
                <w:szCs w:val="20"/>
                <w:color w:val="auto"/>
                <w:w w:val="87"/>
              </w:rPr>
              <w:t>32.2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80" w:type="dxa"/>
            <w:vAlign w:val="bottom"/>
            <w:tcBorders>
              <w:bottom w:val="single" w:sz="8" w:color="0000FF"/>
            </w:tcBorders>
            <w:gridSpan w:val="8"/>
          </w:tcPr>
          <w:p>
            <w:pPr>
              <w:spacing w:after="0"/>
              <w:rPr>
                <w:rFonts w:ascii="Arial" w:cs="Arial" w:eastAsia="Arial" w:hAnsi="Arial"/>
                <w:sz w:val="20"/>
                <w:szCs w:val="20"/>
                <w:color w:val="0000FF"/>
                <w:w w:val="92"/>
              </w:rPr>
            </w:pPr>
            <w:hyperlink w:anchor="page67">
              <w:r>
                <w:rPr>
                  <w:rFonts w:ascii="Arial" w:cs="Arial" w:eastAsia="Arial" w:hAnsi="Arial"/>
                  <w:sz w:val="20"/>
                  <w:szCs w:val="20"/>
                  <w:color w:val="0000FF"/>
                  <w:w w:val="92"/>
                </w:rPr>
                <w:t>Certification of Chief Financial Officer pursuant to 18 U.S.C. Section 1350,</w:t>
              </w:r>
            </w:hyperlink>
          </w:p>
        </w:tc>
        <w:tc>
          <w:tcPr>
            <w:tcW w:w="140" w:type="dxa"/>
            <w:vAlign w:val="bottom"/>
            <w:gridSpan w:val="4"/>
          </w:tcPr>
          <w:p>
            <w:pPr>
              <w:spacing w:after="0"/>
              <w:rPr>
                <w:sz w:val="24"/>
                <w:szCs w:val="24"/>
                <w:color w:val="auto"/>
              </w:rPr>
            </w:pPr>
          </w:p>
        </w:tc>
        <w:tc>
          <w:tcPr>
            <w:tcW w:w="3700" w:type="dxa"/>
            <w:vAlign w:val="bottom"/>
          </w:tcPr>
          <w:p>
            <w:pPr>
              <w:ind w:left="40"/>
              <w:spacing w:after="0"/>
              <w:rPr>
                <w:sz w:val="20"/>
                <w:szCs w:val="20"/>
                <w:color w:val="auto"/>
              </w:rPr>
            </w:pPr>
            <w:r>
              <w:rPr>
                <w:rFonts w:ascii="Arial" w:cs="Arial" w:eastAsia="Arial" w:hAnsi="Arial"/>
                <w:sz w:val="20"/>
                <w:szCs w:val="20"/>
                <w:color w:val="auto"/>
              </w:rPr>
              <w:t>Furnished herewith</w:t>
            </w:r>
          </w:p>
        </w:tc>
      </w:tr>
      <w:tr>
        <w:trPr>
          <w:trHeight w:val="254"/>
        </w:trPr>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20" w:type="dxa"/>
            <w:vAlign w:val="bottom"/>
            <w:gridSpan w:val="12"/>
          </w:tcPr>
          <w:p>
            <w:pPr>
              <w:spacing w:after="0"/>
              <w:rPr>
                <w:rFonts w:ascii="Arial" w:cs="Arial" w:eastAsia="Arial" w:hAnsi="Arial"/>
                <w:sz w:val="20"/>
                <w:szCs w:val="20"/>
                <w:u w:val="single" w:color="auto"/>
                <w:color w:val="0000FF"/>
                <w:w w:val="94"/>
              </w:rPr>
            </w:pPr>
            <w:hyperlink w:anchor="page67">
              <w:r>
                <w:rPr>
                  <w:rFonts w:ascii="Arial" w:cs="Arial" w:eastAsia="Arial" w:hAnsi="Arial"/>
                  <w:sz w:val="20"/>
                  <w:szCs w:val="20"/>
                  <w:u w:val="single" w:color="auto"/>
                  <w:color w:val="0000FF"/>
                  <w:w w:val="94"/>
                </w:rPr>
                <w:t>as adopted pursuant to Section 906 of the Sarbanes-Oxley Act of 2002 (1)</w:t>
              </w:r>
            </w:hyperlink>
          </w:p>
        </w:tc>
        <w:tc>
          <w:tcPr>
            <w:tcW w:w="3700" w:type="dxa"/>
            <w:vAlign w:val="bottom"/>
          </w:tcPr>
          <w:p>
            <w:pPr>
              <w:spacing w:after="0"/>
              <w:rPr>
                <w:sz w:val="22"/>
                <w:szCs w:val="22"/>
                <w:color w:val="auto"/>
              </w:rPr>
            </w:pPr>
          </w:p>
        </w:tc>
      </w:tr>
      <w:tr>
        <w:trPr>
          <w:trHeight w:val="405"/>
        </w:trPr>
        <w:tc>
          <w:tcPr>
            <w:tcW w:w="1260" w:type="dxa"/>
            <w:vAlign w:val="bottom"/>
            <w:gridSpan w:val="2"/>
          </w:tcPr>
          <w:p>
            <w:pPr>
              <w:ind w:left="240"/>
              <w:spacing w:after="0"/>
              <w:rPr>
                <w:sz w:val="20"/>
                <w:szCs w:val="20"/>
                <w:color w:val="auto"/>
              </w:rPr>
            </w:pPr>
            <w:r>
              <w:rPr>
                <w:rFonts w:ascii="Arial" w:cs="Arial" w:eastAsia="Arial" w:hAnsi="Arial"/>
                <w:sz w:val="20"/>
                <w:szCs w:val="20"/>
                <w:color w:val="auto"/>
              </w:rPr>
              <w:t>101.INS</w:t>
            </w:r>
          </w:p>
        </w:tc>
        <w:tc>
          <w:tcPr>
            <w:tcW w:w="40" w:type="dxa"/>
            <w:vAlign w:val="bottom"/>
          </w:tcPr>
          <w:p>
            <w:pPr>
              <w:spacing w:after="0"/>
              <w:rPr>
                <w:sz w:val="24"/>
                <w:szCs w:val="24"/>
                <w:color w:val="auto"/>
              </w:rPr>
            </w:pPr>
          </w:p>
        </w:tc>
        <w:tc>
          <w:tcPr>
            <w:tcW w:w="6220" w:type="dxa"/>
            <w:vAlign w:val="bottom"/>
            <w:gridSpan w:val="12"/>
          </w:tcPr>
          <w:p>
            <w:pPr>
              <w:spacing w:after="0"/>
              <w:rPr>
                <w:sz w:val="20"/>
                <w:szCs w:val="20"/>
                <w:color w:val="auto"/>
              </w:rPr>
            </w:pPr>
            <w:r>
              <w:rPr>
                <w:rFonts w:ascii="Arial" w:cs="Arial" w:eastAsia="Arial" w:hAnsi="Arial"/>
                <w:sz w:val="20"/>
                <w:szCs w:val="20"/>
                <w:color w:val="auto"/>
              </w:rPr>
              <w:t>XBRL Instance Document</w:t>
            </w:r>
          </w:p>
        </w:tc>
        <w:tc>
          <w:tcPr>
            <w:tcW w:w="3700" w:type="dxa"/>
            <w:vAlign w:val="bottom"/>
          </w:tcPr>
          <w:p>
            <w:pPr>
              <w:ind w:left="40"/>
              <w:spacing w:after="0"/>
              <w:rPr>
                <w:sz w:val="20"/>
                <w:szCs w:val="20"/>
                <w:color w:val="auto"/>
              </w:rPr>
            </w:pPr>
            <w:r>
              <w:rPr>
                <w:rFonts w:ascii="Arial" w:cs="Arial" w:eastAsia="Arial" w:hAnsi="Arial"/>
                <w:sz w:val="20"/>
                <w:szCs w:val="20"/>
                <w:color w:val="auto"/>
              </w:rPr>
              <w:t>Filed herewith</w:t>
            </w:r>
          </w:p>
        </w:tc>
      </w:tr>
      <w:tr>
        <w:trPr>
          <w:trHeight w:val="405"/>
        </w:trPr>
        <w:tc>
          <w:tcPr>
            <w:tcW w:w="1260" w:type="dxa"/>
            <w:vAlign w:val="bottom"/>
            <w:gridSpan w:val="2"/>
          </w:tcPr>
          <w:p>
            <w:pPr>
              <w:ind w:left="200"/>
              <w:spacing w:after="0"/>
              <w:rPr>
                <w:sz w:val="20"/>
                <w:szCs w:val="20"/>
                <w:color w:val="auto"/>
              </w:rPr>
            </w:pPr>
            <w:r>
              <w:rPr>
                <w:rFonts w:ascii="Arial" w:cs="Arial" w:eastAsia="Arial" w:hAnsi="Arial"/>
                <w:sz w:val="20"/>
                <w:szCs w:val="20"/>
                <w:color w:val="auto"/>
              </w:rPr>
              <w:t>101.SCH</w:t>
            </w:r>
          </w:p>
        </w:tc>
        <w:tc>
          <w:tcPr>
            <w:tcW w:w="40" w:type="dxa"/>
            <w:vAlign w:val="bottom"/>
          </w:tcPr>
          <w:p>
            <w:pPr>
              <w:spacing w:after="0"/>
              <w:rPr>
                <w:sz w:val="24"/>
                <w:szCs w:val="24"/>
                <w:color w:val="auto"/>
              </w:rPr>
            </w:pPr>
          </w:p>
        </w:tc>
        <w:tc>
          <w:tcPr>
            <w:tcW w:w="6220" w:type="dxa"/>
            <w:vAlign w:val="bottom"/>
            <w:gridSpan w:val="12"/>
          </w:tcPr>
          <w:p>
            <w:pPr>
              <w:spacing w:after="0"/>
              <w:rPr>
                <w:sz w:val="20"/>
                <w:szCs w:val="20"/>
                <w:color w:val="auto"/>
              </w:rPr>
            </w:pPr>
            <w:r>
              <w:rPr>
                <w:rFonts w:ascii="Arial" w:cs="Arial" w:eastAsia="Arial" w:hAnsi="Arial"/>
                <w:sz w:val="20"/>
                <w:szCs w:val="20"/>
                <w:color w:val="auto"/>
              </w:rPr>
              <w:t>XBRL Taxonomy Extension Schema Document</w:t>
            </w:r>
          </w:p>
        </w:tc>
        <w:tc>
          <w:tcPr>
            <w:tcW w:w="3700" w:type="dxa"/>
            <w:vAlign w:val="bottom"/>
          </w:tcPr>
          <w:p>
            <w:pPr>
              <w:ind w:left="40"/>
              <w:spacing w:after="0"/>
              <w:rPr>
                <w:sz w:val="20"/>
                <w:szCs w:val="20"/>
                <w:color w:val="auto"/>
              </w:rPr>
            </w:pPr>
            <w:r>
              <w:rPr>
                <w:rFonts w:ascii="Arial" w:cs="Arial" w:eastAsia="Arial" w:hAnsi="Arial"/>
                <w:sz w:val="20"/>
                <w:szCs w:val="20"/>
                <w:color w:val="auto"/>
              </w:rPr>
              <w:t>Filed herewith</w:t>
            </w:r>
          </w:p>
        </w:tc>
      </w:tr>
      <w:tr>
        <w:trPr>
          <w:trHeight w:val="405"/>
        </w:trPr>
        <w:tc>
          <w:tcPr>
            <w:tcW w:w="1260" w:type="dxa"/>
            <w:vAlign w:val="bottom"/>
            <w:gridSpan w:val="2"/>
          </w:tcPr>
          <w:p>
            <w:pPr>
              <w:ind w:left="200"/>
              <w:spacing w:after="0"/>
              <w:rPr>
                <w:sz w:val="20"/>
                <w:szCs w:val="20"/>
                <w:color w:val="auto"/>
              </w:rPr>
            </w:pPr>
            <w:r>
              <w:rPr>
                <w:rFonts w:ascii="Arial" w:cs="Arial" w:eastAsia="Arial" w:hAnsi="Arial"/>
                <w:sz w:val="20"/>
                <w:szCs w:val="20"/>
                <w:color w:val="auto"/>
              </w:rPr>
              <w:t>101.CAL</w:t>
            </w:r>
          </w:p>
        </w:tc>
        <w:tc>
          <w:tcPr>
            <w:tcW w:w="40" w:type="dxa"/>
            <w:vAlign w:val="bottom"/>
          </w:tcPr>
          <w:p>
            <w:pPr>
              <w:spacing w:after="0"/>
              <w:rPr>
                <w:sz w:val="24"/>
                <w:szCs w:val="24"/>
                <w:color w:val="auto"/>
              </w:rPr>
            </w:pPr>
          </w:p>
        </w:tc>
        <w:tc>
          <w:tcPr>
            <w:tcW w:w="6220" w:type="dxa"/>
            <w:vAlign w:val="bottom"/>
            <w:gridSpan w:val="12"/>
          </w:tcPr>
          <w:p>
            <w:pPr>
              <w:spacing w:after="0"/>
              <w:rPr>
                <w:sz w:val="20"/>
                <w:szCs w:val="20"/>
                <w:color w:val="auto"/>
              </w:rPr>
            </w:pPr>
            <w:r>
              <w:rPr>
                <w:rFonts w:ascii="Arial" w:cs="Arial" w:eastAsia="Arial" w:hAnsi="Arial"/>
                <w:sz w:val="20"/>
                <w:szCs w:val="20"/>
                <w:color w:val="auto"/>
              </w:rPr>
              <w:t>XBRL Taxonomy Extension Calculation Linkbase Document</w:t>
            </w:r>
          </w:p>
        </w:tc>
        <w:tc>
          <w:tcPr>
            <w:tcW w:w="3700" w:type="dxa"/>
            <w:vAlign w:val="bottom"/>
          </w:tcPr>
          <w:p>
            <w:pPr>
              <w:ind w:left="40"/>
              <w:spacing w:after="0"/>
              <w:rPr>
                <w:sz w:val="20"/>
                <w:szCs w:val="20"/>
                <w:color w:val="auto"/>
              </w:rPr>
            </w:pPr>
            <w:r>
              <w:rPr>
                <w:rFonts w:ascii="Arial" w:cs="Arial" w:eastAsia="Arial" w:hAnsi="Arial"/>
                <w:sz w:val="20"/>
                <w:szCs w:val="20"/>
                <w:color w:val="auto"/>
              </w:rPr>
              <w:t>Filed herewith</w:t>
            </w:r>
          </w:p>
        </w:tc>
      </w:tr>
      <w:tr>
        <w:trPr>
          <w:trHeight w:val="405"/>
        </w:trPr>
        <w:tc>
          <w:tcPr>
            <w:tcW w:w="1260" w:type="dxa"/>
            <w:vAlign w:val="bottom"/>
            <w:gridSpan w:val="2"/>
          </w:tcPr>
          <w:p>
            <w:pPr>
              <w:ind w:left="220"/>
              <w:spacing w:after="0"/>
              <w:rPr>
                <w:sz w:val="20"/>
                <w:szCs w:val="20"/>
                <w:color w:val="auto"/>
              </w:rPr>
            </w:pPr>
            <w:r>
              <w:rPr>
                <w:rFonts w:ascii="Arial" w:cs="Arial" w:eastAsia="Arial" w:hAnsi="Arial"/>
                <w:sz w:val="20"/>
                <w:szCs w:val="20"/>
                <w:color w:val="auto"/>
              </w:rPr>
              <w:t>101.DEF</w:t>
            </w:r>
          </w:p>
        </w:tc>
        <w:tc>
          <w:tcPr>
            <w:tcW w:w="40" w:type="dxa"/>
            <w:vAlign w:val="bottom"/>
          </w:tcPr>
          <w:p>
            <w:pPr>
              <w:spacing w:after="0"/>
              <w:rPr>
                <w:sz w:val="24"/>
                <w:szCs w:val="24"/>
                <w:color w:val="auto"/>
              </w:rPr>
            </w:pPr>
          </w:p>
        </w:tc>
        <w:tc>
          <w:tcPr>
            <w:tcW w:w="6220" w:type="dxa"/>
            <w:vAlign w:val="bottom"/>
            <w:gridSpan w:val="12"/>
          </w:tcPr>
          <w:p>
            <w:pPr>
              <w:spacing w:after="0"/>
              <w:rPr>
                <w:sz w:val="20"/>
                <w:szCs w:val="20"/>
                <w:color w:val="auto"/>
              </w:rPr>
            </w:pPr>
            <w:r>
              <w:rPr>
                <w:rFonts w:ascii="Arial" w:cs="Arial" w:eastAsia="Arial" w:hAnsi="Arial"/>
                <w:sz w:val="20"/>
                <w:szCs w:val="20"/>
                <w:color w:val="auto"/>
              </w:rPr>
              <w:t>XBRL Taxonomy Extension Definition Linkbase Document</w:t>
            </w:r>
          </w:p>
        </w:tc>
        <w:tc>
          <w:tcPr>
            <w:tcW w:w="3700" w:type="dxa"/>
            <w:vAlign w:val="bottom"/>
          </w:tcPr>
          <w:p>
            <w:pPr>
              <w:ind w:left="40"/>
              <w:spacing w:after="0"/>
              <w:rPr>
                <w:sz w:val="20"/>
                <w:szCs w:val="20"/>
                <w:color w:val="auto"/>
              </w:rPr>
            </w:pPr>
            <w:r>
              <w:rPr>
                <w:rFonts w:ascii="Arial" w:cs="Arial" w:eastAsia="Arial" w:hAnsi="Arial"/>
                <w:sz w:val="20"/>
                <w:szCs w:val="20"/>
                <w:color w:val="auto"/>
              </w:rPr>
              <w:t>Filed herewith</w:t>
            </w:r>
          </w:p>
        </w:tc>
      </w:tr>
      <w:tr>
        <w:trPr>
          <w:trHeight w:val="405"/>
        </w:trPr>
        <w:tc>
          <w:tcPr>
            <w:tcW w:w="1260" w:type="dxa"/>
            <w:vAlign w:val="bottom"/>
            <w:gridSpan w:val="2"/>
          </w:tcPr>
          <w:p>
            <w:pPr>
              <w:ind w:left="200"/>
              <w:spacing w:after="0"/>
              <w:rPr>
                <w:sz w:val="20"/>
                <w:szCs w:val="20"/>
                <w:color w:val="auto"/>
              </w:rPr>
            </w:pPr>
            <w:r>
              <w:rPr>
                <w:rFonts w:ascii="Arial" w:cs="Arial" w:eastAsia="Arial" w:hAnsi="Arial"/>
                <w:sz w:val="20"/>
                <w:szCs w:val="20"/>
                <w:color w:val="auto"/>
              </w:rPr>
              <w:t>101.LAB</w:t>
            </w:r>
          </w:p>
        </w:tc>
        <w:tc>
          <w:tcPr>
            <w:tcW w:w="40" w:type="dxa"/>
            <w:vAlign w:val="bottom"/>
          </w:tcPr>
          <w:p>
            <w:pPr>
              <w:spacing w:after="0"/>
              <w:rPr>
                <w:sz w:val="24"/>
                <w:szCs w:val="24"/>
                <w:color w:val="auto"/>
              </w:rPr>
            </w:pPr>
          </w:p>
        </w:tc>
        <w:tc>
          <w:tcPr>
            <w:tcW w:w="6220" w:type="dxa"/>
            <w:vAlign w:val="bottom"/>
            <w:gridSpan w:val="12"/>
          </w:tcPr>
          <w:p>
            <w:pPr>
              <w:spacing w:after="0"/>
              <w:rPr>
                <w:sz w:val="20"/>
                <w:szCs w:val="20"/>
                <w:color w:val="auto"/>
              </w:rPr>
            </w:pPr>
            <w:r>
              <w:rPr>
                <w:rFonts w:ascii="Arial" w:cs="Arial" w:eastAsia="Arial" w:hAnsi="Arial"/>
                <w:sz w:val="20"/>
                <w:szCs w:val="20"/>
                <w:color w:val="auto"/>
              </w:rPr>
              <w:t>XBRL Taxonomy Extension Label Linkbase Document</w:t>
            </w:r>
          </w:p>
        </w:tc>
        <w:tc>
          <w:tcPr>
            <w:tcW w:w="3700" w:type="dxa"/>
            <w:vAlign w:val="bottom"/>
          </w:tcPr>
          <w:p>
            <w:pPr>
              <w:ind w:left="40"/>
              <w:spacing w:after="0"/>
              <w:rPr>
                <w:sz w:val="20"/>
                <w:szCs w:val="20"/>
                <w:color w:val="auto"/>
              </w:rPr>
            </w:pPr>
            <w:r>
              <w:rPr>
                <w:rFonts w:ascii="Arial" w:cs="Arial" w:eastAsia="Arial" w:hAnsi="Arial"/>
                <w:sz w:val="20"/>
                <w:szCs w:val="20"/>
                <w:color w:val="auto"/>
              </w:rPr>
              <w:t>Filed herewith</w:t>
            </w:r>
          </w:p>
        </w:tc>
      </w:tr>
      <w:tr>
        <w:trPr>
          <w:trHeight w:val="405"/>
        </w:trPr>
        <w:tc>
          <w:tcPr>
            <w:tcW w:w="1260" w:type="dxa"/>
            <w:vAlign w:val="bottom"/>
            <w:gridSpan w:val="2"/>
          </w:tcPr>
          <w:p>
            <w:pPr>
              <w:ind w:left="220"/>
              <w:spacing w:after="0"/>
              <w:rPr>
                <w:sz w:val="20"/>
                <w:szCs w:val="20"/>
                <w:color w:val="auto"/>
              </w:rPr>
            </w:pPr>
            <w:r>
              <w:rPr>
                <w:rFonts w:ascii="Arial" w:cs="Arial" w:eastAsia="Arial" w:hAnsi="Arial"/>
                <w:sz w:val="20"/>
                <w:szCs w:val="20"/>
                <w:color w:val="auto"/>
              </w:rPr>
              <w:t>101.PRE</w:t>
            </w:r>
          </w:p>
        </w:tc>
        <w:tc>
          <w:tcPr>
            <w:tcW w:w="40" w:type="dxa"/>
            <w:vAlign w:val="bottom"/>
          </w:tcPr>
          <w:p>
            <w:pPr>
              <w:spacing w:after="0"/>
              <w:rPr>
                <w:sz w:val="24"/>
                <w:szCs w:val="24"/>
                <w:color w:val="auto"/>
              </w:rPr>
            </w:pPr>
          </w:p>
        </w:tc>
        <w:tc>
          <w:tcPr>
            <w:tcW w:w="6220" w:type="dxa"/>
            <w:vAlign w:val="bottom"/>
            <w:gridSpan w:val="12"/>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3700" w:type="dxa"/>
            <w:vAlign w:val="bottom"/>
          </w:tcPr>
          <w:p>
            <w:pPr>
              <w:ind w:left="40"/>
              <w:spacing w:after="0"/>
              <w:rPr>
                <w:sz w:val="20"/>
                <w:szCs w:val="20"/>
                <w:color w:val="auto"/>
              </w:rPr>
            </w:pPr>
            <w:r>
              <w:rPr>
                <w:rFonts w:ascii="Arial" w:cs="Arial" w:eastAsia="Arial" w:hAnsi="Arial"/>
                <w:sz w:val="20"/>
                <w:szCs w:val="20"/>
                <w:color w:val="auto"/>
              </w:rPr>
              <w:t>Filed herewith</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 Management contract or compensatory plan or arrangement required to be filed as an exhibit.</w:t>
      </w:r>
    </w:p>
    <w:p>
      <w:pPr>
        <w:spacing w:after="0" w:line="229" w:lineRule="exact"/>
        <w:rPr>
          <w:sz w:val="20"/>
          <w:szCs w:val="20"/>
          <w:color w:val="auto"/>
        </w:rPr>
      </w:pPr>
    </w:p>
    <w:p>
      <w:pPr>
        <w:jc w:val="both"/>
        <w:ind w:firstLine="8"/>
        <w:spacing w:after="0" w:line="250" w:lineRule="auto"/>
        <w:tabs>
          <w:tab w:leader="none" w:pos="29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40"/>
          </w:cols>
          <w:pgMar w:left="320" w:top="122" w:right="33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5" w:lineRule="exact"/>
        <w:rPr>
          <w:sz w:val="20"/>
          <w:szCs w:val="20"/>
          <w:color w:val="auto"/>
        </w:rPr>
      </w:pPr>
    </w:p>
    <w:p>
      <w:pPr>
        <w:ind w:left="40"/>
        <w:spacing w:after="0"/>
        <w:tabs>
          <w:tab w:leader="none" w:pos="4620" w:val="left"/>
        </w:tabs>
        <w:rPr>
          <w:sz w:val="20"/>
          <w:szCs w:val="20"/>
          <w:color w:val="auto"/>
        </w:rPr>
      </w:pPr>
      <w:r>
        <w:rPr>
          <w:rFonts w:ascii="Arial" w:cs="Arial" w:eastAsia="Arial" w:hAnsi="Arial"/>
          <w:sz w:val="20"/>
          <w:szCs w:val="20"/>
          <w:color w:val="auto"/>
        </w:rPr>
        <w:t>Date:  May 21, 2020</w:t>
      </w:r>
      <w:r>
        <w:rPr>
          <w:sz w:val="20"/>
          <w:szCs w:val="20"/>
          <w:color w:val="auto"/>
        </w:rPr>
        <w:tab/>
      </w:r>
      <w:r>
        <w:rPr>
          <w:rFonts w:ascii="Arial" w:cs="Arial" w:eastAsia="Arial" w:hAnsi="Arial"/>
          <w:sz w:val="19"/>
          <w:szCs w:val="19"/>
          <w:color w:val="auto"/>
        </w:rPr>
        <w:t>BLOOMIN’ BRANDS, INC.</w:t>
      </w:r>
    </w:p>
    <w:p>
      <w:pPr>
        <w:spacing w:after="0" w:line="54"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(Registrant)</w:t>
      </w:r>
    </w:p>
    <w:p>
      <w:pPr>
        <w:spacing w:after="0" w:line="216"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By: /s/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27305</wp:posOffset>
            </wp:positionV>
            <wp:extent cx="41922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4192270" cy="17145"/>
                    </a:xfrm>
                    <a:prstGeom prst="rect">
                      <a:avLst/>
                    </a:prstGeom>
                    <a:noFill/>
                  </pic:spPr>
                </pic:pic>
              </a:graphicData>
            </a:graphic>
          </wp:anchor>
        </w:drawing>
      </w:r>
    </w:p>
    <w:p>
      <w:pPr>
        <w:spacing w:after="0" w:line="61"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Christopher Meyer</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Executive Vice President and Chief Financial Officer</w:t>
      </w:r>
    </w:p>
    <w:p>
      <w:pPr>
        <w:ind w:left="5120"/>
        <w:spacing w:after="0"/>
        <w:rPr>
          <w:sz w:val="20"/>
          <w:szCs w:val="20"/>
          <w:color w:val="auto"/>
        </w:rPr>
      </w:pPr>
      <w:r>
        <w:rPr>
          <w:rFonts w:ascii="Arial" w:cs="Arial" w:eastAsia="Arial" w:hAnsi="Arial"/>
          <w:sz w:val="20"/>
          <w:szCs w:val="20"/>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[Remainder of page intentionally left blank]</w:t>
      </w:r>
    </w:p>
    <w:p>
      <w:pPr>
        <w:sectPr>
          <w:pgSz w:w="11900" w:h="16838" w:orient="portrait"/>
          <w:cols w:equalWidth="0" w:num="1">
            <w:col w:w="11240"/>
          </w:cols>
          <w:pgMar w:left="320" w:top="122" w:right="339" w:bottom="1440" w:gutter="0" w:footer="0" w:header="0"/>
        </w:sectPr>
      </w:pPr>
    </w:p>
    <w:bookmarkStart w:id="55" w:name="page56"/>
    <w:bookmarkEnd w:id="55"/>
    <w:p>
      <w:pPr>
        <w:ind w:left="10220"/>
        <w:spacing w:after="0"/>
        <w:rPr>
          <w:sz w:val="20"/>
          <w:szCs w:val="20"/>
          <w:color w:val="auto"/>
        </w:rPr>
      </w:pPr>
      <w:r>
        <w:rPr>
          <w:rFonts w:ascii="Arial" w:cs="Arial" w:eastAsia="Arial" w:hAnsi="Arial"/>
          <w:sz w:val="17"/>
          <w:szCs w:val="17"/>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FIRST AMENDMENT TO</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AMENDED AND RESTATED OFFICER EMPLOYMENT AGREEMENT</w:t>
      </w:r>
    </w:p>
    <w:p>
      <w:pPr>
        <w:spacing w:after="0" w:line="226" w:lineRule="exact"/>
        <w:rPr>
          <w:sz w:val="20"/>
          <w:szCs w:val="20"/>
          <w:color w:val="auto"/>
        </w:rPr>
      </w:pPr>
    </w:p>
    <w:p>
      <w:pPr>
        <w:ind w:right="20" w:firstLine="648"/>
        <w:spacing w:after="0" w:line="302" w:lineRule="auto"/>
        <w:rPr>
          <w:sz w:val="20"/>
          <w:szCs w:val="20"/>
          <w:color w:val="auto"/>
        </w:rPr>
      </w:pPr>
      <w:r>
        <w:rPr>
          <w:rFonts w:ascii="Arial" w:cs="Arial" w:eastAsia="Arial" w:hAnsi="Arial"/>
          <w:sz w:val="19"/>
          <w:szCs w:val="19"/>
          <w:color w:val="auto"/>
        </w:rPr>
        <w:t>THIS FIRST AMENDMENT (the “</w:t>
      </w:r>
      <w:r>
        <w:rPr>
          <w:rFonts w:ascii="Arial" w:cs="Arial" w:eastAsia="Arial" w:hAnsi="Arial"/>
          <w:sz w:val="19"/>
          <w:szCs w:val="19"/>
          <w:u w:val="single" w:color="auto"/>
          <w:color w:val="auto"/>
        </w:rPr>
        <w:t>Amendment</w:t>
      </w:r>
      <w:r>
        <w:rPr>
          <w:rFonts w:ascii="Arial" w:cs="Arial" w:eastAsia="Arial" w:hAnsi="Arial"/>
          <w:sz w:val="19"/>
          <w:szCs w:val="19"/>
          <w:color w:val="auto"/>
        </w:rPr>
        <w:t>”) to the AMENDED AND RESTATED OFFICER EMPLOYMENT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dated April 1, 2019 is made and entered into effective April 6, 2020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between Bloomin’ Brands,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David J. Deno (hereinafter referred to as “</w:t>
      </w:r>
      <w:r>
        <w:rPr>
          <w:rFonts w:ascii="Arial" w:cs="Arial" w:eastAsia="Arial" w:hAnsi="Arial"/>
          <w:sz w:val="19"/>
          <w:szCs w:val="19"/>
          <w:u w:val="single" w:color="auto"/>
          <w:color w:val="auto"/>
        </w:rPr>
        <w:t>Executive</w:t>
      </w:r>
      <w:r>
        <w:rPr>
          <w:rFonts w:ascii="Arial" w:cs="Arial" w:eastAsia="Arial" w:hAnsi="Arial"/>
          <w:sz w:val="19"/>
          <w:szCs w:val="19"/>
          <w:color w:val="auto"/>
        </w:rPr>
        <w:t>”). All capitalized terms used and not otherwise defined herein have the meanings set forth in the Agreement.</w:t>
      </w:r>
    </w:p>
    <w:p>
      <w:pPr>
        <w:spacing w:after="0" w:line="142"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WHEREAS, the in light of the ongoing impact of the COVID-19 virus on the Company, Executive has elected to forgo a portion of his Base Salary;</w:t>
      </w:r>
    </w:p>
    <w:p>
      <w:pPr>
        <w:spacing w:after="0" w:line="175"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WHEREAS, the Company and the Executive desire to enter into this Amendment to reflect the parties’ agreement with respect to Base Salary and its impact on the other provisions of the Agreement.</w:t>
      </w:r>
    </w:p>
    <w:p>
      <w:pPr>
        <w:spacing w:after="0" w:line="175" w:lineRule="exact"/>
        <w:rPr>
          <w:sz w:val="20"/>
          <w:szCs w:val="20"/>
          <w:color w:val="auto"/>
        </w:rPr>
      </w:pPr>
    </w:p>
    <w:p>
      <w:pPr>
        <w:ind w:right="820" w:firstLine="648"/>
        <w:spacing w:after="0" w:line="343" w:lineRule="auto"/>
        <w:rPr>
          <w:sz w:val="20"/>
          <w:szCs w:val="20"/>
          <w:color w:val="auto"/>
        </w:rPr>
      </w:pPr>
      <w:r>
        <w:rPr>
          <w:rFonts w:ascii="Arial" w:cs="Arial" w:eastAsia="Arial" w:hAnsi="Arial"/>
          <w:sz w:val="19"/>
          <w:szCs w:val="19"/>
          <w:color w:val="auto"/>
        </w:rPr>
        <w:t>NOW, THEREFORE, in consideration of the foregoing premises and the mutual promises, terms, provisions and conditions set forth in this Agreement, the parties hereby agree that the Agreement is hereby amended as follows:</w:t>
      </w:r>
    </w:p>
    <w:p>
      <w:pPr>
        <w:spacing w:after="0" w:line="71" w:lineRule="exact"/>
        <w:rPr>
          <w:sz w:val="20"/>
          <w:szCs w:val="20"/>
          <w:color w:val="auto"/>
        </w:rPr>
      </w:pPr>
    </w:p>
    <w:p>
      <w:pPr>
        <w:ind w:left="1460" w:hanging="804"/>
        <w:spacing w:after="0"/>
        <w:tabs>
          <w:tab w:leader="none" w:pos="1460" w:val="left"/>
        </w:tabs>
        <w:numPr>
          <w:ilvl w:val="0"/>
          <w:numId w:val="43"/>
        </w:numPr>
        <w:rPr>
          <w:rFonts w:ascii="Arial" w:cs="Arial" w:eastAsia="Arial" w:hAnsi="Arial"/>
          <w:sz w:val="19"/>
          <w:szCs w:val="19"/>
          <w:color w:val="auto"/>
        </w:rPr>
      </w:pPr>
      <w:r>
        <w:rPr>
          <w:rFonts w:ascii="Arial" w:cs="Arial" w:eastAsia="Arial" w:hAnsi="Arial"/>
          <w:sz w:val="19"/>
          <w:szCs w:val="19"/>
          <w:b w:val="1"/>
          <w:bCs w:val="1"/>
          <w:u w:val="single" w:color="auto"/>
          <w:color w:val="auto"/>
        </w:rPr>
        <w:t>Base Salary</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5(a) of the Agreement is hereby amended and restated in its entirety to read as follows:</w:t>
      </w:r>
    </w:p>
    <w:p>
      <w:pPr>
        <w:spacing w:after="0" w:line="247"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“a. During the Term of Employment, the Executive shall be entitled to an annual base salary equal to Nine Hundred Thousand Dollars ($900,000), payable in equal biweekly installments by the Company, subject to annual review for increase, but not decrease, in the discretion of the Board or the Compensation Committee of the Board (the “</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Notwithstanding anything in the Agreement to the contrary, Executive hereby consents to the temporary reduction (the “</w:t>
      </w:r>
      <w:r>
        <w:rPr>
          <w:rFonts w:ascii="Arial" w:cs="Arial" w:eastAsia="Arial" w:hAnsi="Arial"/>
          <w:sz w:val="19"/>
          <w:szCs w:val="19"/>
          <w:u w:val="single" w:color="auto"/>
          <w:color w:val="auto"/>
        </w:rPr>
        <w:t>Salary</w:t>
      </w:r>
      <w:r>
        <w:rPr>
          <w:rFonts w:ascii="Arial" w:cs="Arial" w:eastAsia="Arial" w:hAnsi="Arial"/>
          <w:sz w:val="19"/>
          <w:szCs w:val="19"/>
          <w:color w:val="auto"/>
        </w:rPr>
        <w:t xml:space="preserve"> </w:t>
      </w:r>
      <w:r>
        <w:rPr>
          <w:rFonts w:ascii="Arial" w:cs="Arial" w:eastAsia="Arial" w:hAnsi="Arial"/>
          <w:sz w:val="19"/>
          <w:szCs w:val="19"/>
          <w:u w:val="single" w:color="auto"/>
          <w:color w:val="auto"/>
        </w:rPr>
        <w:t>Reduction</w:t>
      </w:r>
      <w:r>
        <w:rPr>
          <w:rFonts w:ascii="Arial" w:cs="Arial" w:eastAsia="Arial" w:hAnsi="Arial"/>
          <w:sz w:val="19"/>
          <w:szCs w:val="19"/>
          <w:color w:val="auto"/>
        </w:rPr>
        <w:t>”) of Executive’s annual base salary such that Executive shall forgo all base salary in excess of the amount necessary to cover his required contributions to his employment benefits and related payroll taxes from the pay period beginning April 6, 2020 and continuing until a date determined by the Board (the “</w:t>
      </w:r>
      <w:r>
        <w:rPr>
          <w:rFonts w:ascii="Arial" w:cs="Arial" w:eastAsia="Arial" w:hAnsi="Arial"/>
          <w:sz w:val="19"/>
          <w:szCs w:val="19"/>
          <w:u w:val="single" w:color="auto"/>
          <w:color w:val="auto"/>
        </w:rPr>
        <w:t>Salary Reduction Period</w:t>
      </w:r>
      <w:r>
        <w:rPr>
          <w:rFonts w:ascii="Arial" w:cs="Arial" w:eastAsia="Arial" w:hAnsi="Arial"/>
          <w:sz w:val="19"/>
          <w:szCs w:val="19"/>
          <w:color w:val="auto"/>
        </w:rPr>
        <w:t>”). For all other purposes under this Agreement, all references to “Base Salary” or “base salary” shall mean, (i) at all times during the Salary Reduction Period, Nine Hundred Thousand Dollars ($900,000), unless such amount is increased by the Board or otherwise amended by the mutual agreement of the parties, or, (ii) at all other times, Executive’s annual base salary then in effect, as the same may be increased from time to time at the discretion of the Board or the Compensation Committee.”</w:t>
      </w:r>
    </w:p>
    <w:p>
      <w:pPr>
        <w:spacing w:after="0" w:line="157" w:lineRule="exact"/>
        <w:rPr>
          <w:sz w:val="20"/>
          <w:szCs w:val="20"/>
          <w:color w:val="auto"/>
        </w:rPr>
      </w:pPr>
    </w:p>
    <w:p>
      <w:pPr>
        <w:ind w:right="60" w:firstLine="656"/>
        <w:spacing w:after="0" w:line="282" w:lineRule="auto"/>
        <w:tabs>
          <w:tab w:leader="none" w:pos="990" w:val="left"/>
        </w:tabs>
        <w:numPr>
          <w:ilvl w:val="0"/>
          <w:numId w:val="44"/>
        </w:numPr>
        <w:rPr>
          <w:rFonts w:ascii="Arial" w:cs="Arial" w:eastAsia="Arial" w:hAnsi="Arial"/>
          <w:sz w:val="22"/>
          <w:szCs w:val="22"/>
          <w:color w:val="auto"/>
        </w:rPr>
      </w:pPr>
      <w:r>
        <w:rPr>
          <w:rFonts w:ascii="Arial" w:cs="Arial" w:eastAsia="Arial" w:hAnsi="Arial"/>
          <w:sz w:val="22"/>
          <w:szCs w:val="22"/>
          <w:b w:val="1"/>
          <w:bCs w:val="1"/>
          <w:u w:val="single" w:color="auto"/>
          <w:color w:val="auto"/>
        </w:rPr>
        <w:t>Good Reason</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avoidance of doubt, the Salary Reduction shall not constitute “Good Reason” as defined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Agreement or constitute a breach by the Company of its obligations under the Agreement.</w:t>
      </w:r>
    </w:p>
    <w:p>
      <w:pPr>
        <w:spacing w:after="0" w:line="148" w:lineRule="exact"/>
        <w:rPr>
          <w:rFonts w:ascii="Arial" w:cs="Arial" w:eastAsia="Arial" w:hAnsi="Arial"/>
          <w:sz w:val="22"/>
          <w:szCs w:val="22"/>
          <w:color w:val="auto"/>
        </w:rPr>
      </w:pPr>
    </w:p>
    <w:p>
      <w:pPr>
        <w:ind w:right="80" w:firstLine="656"/>
        <w:spacing w:after="0" w:line="262" w:lineRule="auto"/>
        <w:tabs>
          <w:tab w:leader="none" w:pos="990" w:val="left"/>
        </w:tabs>
        <w:numPr>
          <w:ilvl w:val="0"/>
          <w:numId w:val="44"/>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of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expressly amended by this Amendment, all other terms and conditions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remain in full force and effect and unmodified hereby. Whenever the Agreement is referred to in the Agreement or in any other agreement,</w:t>
      </w:r>
    </w:p>
    <w:p>
      <w:pPr>
        <w:sectPr>
          <w:pgSz w:w="11900" w:h="16838" w:orient="portrait"/>
          <w:cols w:equalWidth="0" w:num="1">
            <w:col w:w="11220"/>
          </w:cols>
          <w:pgMar w:left="320" w:top="283" w:right="35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document or instrument, such reference shall be deemed to be to the Agreement as amended by this Amendment.</w:t>
      </w:r>
    </w:p>
    <w:p>
      <w:pPr>
        <w:spacing w:after="0" w:line="214" w:lineRule="exact"/>
        <w:rPr>
          <w:sz w:val="20"/>
          <w:szCs w:val="20"/>
          <w:color w:val="auto"/>
        </w:rPr>
      </w:pPr>
    </w:p>
    <w:p>
      <w:pPr>
        <w:jc w:val="both"/>
        <w:ind w:right="20" w:firstLine="656"/>
        <w:spacing w:after="0" w:line="262" w:lineRule="auto"/>
        <w:tabs>
          <w:tab w:leader="none" w:pos="990" w:val="left"/>
        </w:tabs>
        <w:numPr>
          <w:ilvl w:val="0"/>
          <w:numId w:val="45"/>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The validity, interpretation, and performance of this Amendment shall be governed, interpreted,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in accordance with the laws of the State of Florida without giving effect to the principles of comity or conflicts of laws thereof.</w:t>
      </w:r>
    </w:p>
    <w:p>
      <w:pPr>
        <w:spacing w:after="0" w:line="170" w:lineRule="exact"/>
        <w:rPr>
          <w:rFonts w:ascii="Arial" w:cs="Arial" w:eastAsia="Arial" w:hAnsi="Arial"/>
          <w:sz w:val="22"/>
          <w:szCs w:val="22"/>
          <w:color w:val="auto"/>
        </w:rPr>
      </w:pPr>
    </w:p>
    <w:p>
      <w:pPr>
        <w:ind w:firstLine="656"/>
        <w:spacing w:after="0" w:line="302" w:lineRule="auto"/>
        <w:tabs>
          <w:tab w:leader="none" w:pos="990" w:val="left"/>
        </w:tabs>
        <w:numPr>
          <w:ilvl w:val="0"/>
          <w:numId w:val="45"/>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 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This Amendment constitutes the entire agreement between the parties hereto</w:t>
      </w:r>
      <w:r>
        <w:rPr>
          <w:rFonts w:ascii="Arial" w:cs="Arial" w:eastAsia="Arial" w:hAnsi="Arial"/>
          <w:sz w:val="19"/>
          <w:szCs w:val="19"/>
          <w:b w:val="1"/>
          <w:bCs w:val="1"/>
          <w:color w:val="auto"/>
        </w:rPr>
        <w:t xml:space="preserve"> </w:t>
      </w:r>
      <w:r>
        <w:rPr>
          <w:rFonts w:ascii="Arial" w:cs="Arial" w:eastAsia="Arial" w:hAnsi="Arial"/>
          <w:sz w:val="19"/>
          <w:szCs w:val="19"/>
          <w:color w:val="auto"/>
        </w:rPr>
        <w:t>concerning the subject matter hereof, and supersedes all prior memoranda, correspondence, conversations, negotiations and agreements, whether written or oral, with respect thereto. This Amendment may be executed in several identical counterparts that together shall constitute but one and the same Amendment. Signatures of the parties transmitted by facsimile, PDF transmission or other electronic means shall be deemed to be their original signatures for all legal and other purposes.</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604" w:right="379" w:bottom="1440" w:gutter="0" w:footer="0" w:header="0"/>
        </w:sectPr>
      </w:pPr>
    </w:p>
    <w:bookmarkStart w:id="57" w:name="page58"/>
    <w:bookmarkEnd w:id="57"/>
    <w:p>
      <w:pPr>
        <w:ind w:left="660"/>
        <w:spacing w:after="0"/>
        <w:rPr>
          <w:sz w:val="20"/>
          <w:szCs w:val="20"/>
          <w:color w:val="auto"/>
        </w:rPr>
      </w:pPr>
      <w:r>
        <w:rPr>
          <w:rFonts w:ascii="Arial" w:cs="Arial" w:eastAsia="Arial" w:hAnsi="Arial"/>
          <w:sz w:val="19"/>
          <w:szCs w:val="19"/>
          <w:color w:val="auto"/>
        </w:rPr>
        <w:t>IN WITNESS WHEREOF, the undersigned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00" w:type="dxa"/>
            <w:vAlign w:val="bottom"/>
            <w:gridSpan w:val="4"/>
          </w:tcPr>
          <w:p>
            <w:pPr>
              <w:ind w:left="20"/>
              <w:spacing w:after="0"/>
              <w:rPr>
                <w:sz w:val="20"/>
                <w:szCs w:val="20"/>
                <w:color w:val="auto"/>
              </w:rPr>
            </w:pPr>
            <w:r>
              <w:rPr>
                <w:rFonts w:ascii="Arial" w:cs="Arial" w:eastAsia="Arial" w:hAnsi="Arial"/>
                <w:sz w:val="22"/>
                <w:szCs w:val="22"/>
                <w:b w:val="1"/>
                <w:bCs w:val="1"/>
                <w:color w:val="auto"/>
              </w:rPr>
              <w:t>EXECUTIVE</w:t>
            </w:r>
          </w:p>
        </w:tc>
      </w:tr>
      <w:tr>
        <w:trPr>
          <w:trHeight w:val="925"/>
        </w:trPr>
        <w:tc>
          <w:tcPr>
            <w:tcW w:w="4300" w:type="dxa"/>
            <w:vAlign w:val="bottom"/>
          </w:tcPr>
          <w:p>
            <w:pPr>
              <w:ind w:left="80"/>
              <w:spacing w:after="0"/>
              <w:rPr>
                <w:sz w:val="20"/>
                <w:szCs w:val="20"/>
                <w:color w:val="auto"/>
              </w:rPr>
            </w:pPr>
            <w:r>
              <w:rPr>
                <w:rFonts w:ascii="Arial" w:cs="Arial" w:eastAsia="Arial" w:hAnsi="Arial"/>
                <w:sz w:val="20"/>
                <w:szCs w:val="20"/>
                <w:color w:val="auto"/>
              </w:rPr>
              <w:t>/s/ Lorilyn Miklavic</w:t>
            </w:r>
          </w:p>
        </w:tc>
        <w:tc>
          <w:tcPr>
            <w:tcW w:w="680" w:type="dxa"/>
            <w:vAlign w:val="bottom"/>
          </w:tcPr>
          <w:p>
            <w:pPr>
              <w:spacing w:after="0"/>
              <w:rPr>
                <w:sz w:val="24"/>
                <w:szCs w:val="24"/>
                <w:color w:val="auto"/>
              </w:rPr>
            </w:pPr>
          </w:p>
        </w:tc>
        <w:tc>
          <w:tcPr>
            <w:tcW w:w="4700" w:type="dxa"/>
            <w:vAlign w:val="bottom"/>
            <w:gridSpan w:val="4"/>
          </w:tcPr>
          <w:p>
            <w:pPr>
              <w:ind w:left="80"/>
              <w:spacing w:after="0"/>
              <w:rPr>
                <w:sz w:val="20"/>
                <w:szCs w:val="20"/>
                <w:color w:val="auto"/>
              </w:rPr>
            </w:pPr>
            <w:r>
              <w:rPr>
                <w:rFonts w:ascii="Arial" w:cs="Arial" w:eastAsia="Arial" w:hAnsi="Arial"/>
                <w:sz w:val="20"/>
                <w:szCs w:val="20"/>
                <w:color w:val="auto"/>
              </w:rPr>
              <w:t>/s/ David J. Deno</w:t>
            </w:r>
          </w:p>
        </w:tc>
      </w:tr>
      <w:tr>
        <w:trPr>
          <w:trHeight w:val="23"/>
        </w:trPr>
        <w:tc>
          <w:tcPr>
            <w:tcW w:w="430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3960" w:type="dxa"/>
            <w:vAlign w:val="bottom"/>
            <w:tcBorders>
              <w:bottom w:val="single" w:sz="8" w:color="auto"/>
            </w:tcBorders>
            <w:gridSpan w:val="3"/>
          </w:tcPr>
          <w:p>
            <w:pPr>
              <w:spacing w:after="0"/>
              <w:rPr>
                <w:sz w:val="2"/>
                <w:szCs w:val="2"/>
                <w:color w:val="auto"/>
              </w:rPr>
            </w:pPr>
          </w:p>
        </w:tc>
        <w:tc>
          <w:tcPr>
            <w:tcW w:w="740" w:type="dxa"/>
            <w:vAlign w:val="bottom"/>
          </w:tcPr>
          <w:p>
            <w:pPr>
              <w:spacing w:after="0"/>
              <w:rPr>
                <w:sz w:val="2"/>
                <w:szCs w:val="2"/>
                <w:color w:val="auto"/>
              </w:rPr>
            </w:pPr>
          </w:p>
        </w:tc>
      </w:tr>
      <w:tr>
        <w:trPr>
          <w:trHeight w:val="254"/>
        </w:trPr>
        <w:tc>
          <w:tcPr>
            <w:tcW w:w="4300" w:type="dxa"/>
            <w:vAlign w:val="bottom"/>
          </w:tcPr>
          <w:p>
            <w:pPr>
              <w:ind w:left="40"/>
              <w:spacing w:after="0"/>
              <w:rPr>
                <w:sz w:val="20"/>
                <w:szCs w:val="20"/>
                <w:color w:val="auto"/>
              </w:rPr>
            </w:pPr>
            <w:r>
              <w:rPr>
                <w:rFonts w:ascii="Arial" w:cs="Arial" w:eastAsia="Arial" w:hAnsi="Arial"/>
                <w:sz w:val="20"/>
                <w:szCs w:val="20"/>
                <w:color w:val="auto"/>
              </w:rPr>
              <w:t>Witness</w:t>
            </w:r>
          </w:p>
        </w:tc>
        <w:tc>
          <w:tcPr>
            <w:tcW w:w="680" w:type="dxa"/>
            <w:vAlign w:val="bottom"/>
          </w:tcPr>
          <w:p>
            <w:pPr>
              <w:spacing w:after="0"/>
              <w:rPr>
                <w:sz w:val="22"/>
                <w:szCs w:val="22"/>
                <w:color w:val="auto"/>
              </w:rPr>
            </w:pPr>
          </w:p>
        </w:tc>
        <w:tc>
          <w:tcPr>
            <w:tcW w:w="4700" w:type="dxa"/>
            <w:vAlign w:val="bottom"/>
            <w:gridSpan w:val="4"/>
          </w:tcPr>
          <w:p>
            <w:pPr>
              <w:ind w:left="20"/>
              <w:spacing w:after="0"/>
              <w:rPr>
                <w:sz w:val="20"/>
                <w:szCs w:val="20"/>
                <w:color w:val="auto"/>
              </w:rPr>
            </w:pPr>
            <w:r>
              <w:rPr>
                <w:rFonts w:ascii="Arial" w:cs="Arial" w:eastAsia="Arial" w:hAnsi="Arial"/>
                <w:sz w:val="20"/>
                <w:szCs w:val="20"/>
                <w:color w:val="auto"/>
              </w:rPr>
              <w:t>David J. Deno</w:t>
            </w:r>
          </w:p>
        </w:tc>
      </w:tr>
      <w:tr>
        <w:trPr>
          <w:trHeight w:val="283"/>
        </w:trPr>
        <w:tc>
          <w:tcPr>
            <w:tcW w:w="4300" w:type="dxa"/>
            <w:vAlign w:val="bottom"/>
          </w:tcPr>
          <w:p>
            <w:pPr>
              <w:ind w:left="40"/>
              <w:spacing w:after="0"/>
              <w:rPr>
                <w:sz w:val="20"/>
                <w:szCs w:val="20"/>
                <w:color w:val="auto"/>
              </w:rPr>
            </w:pPr>
            <w:r>
              <w:rPr>
                <w:rFonts w:ascii="Arial" w:cs="Arial" w:eastAsia="Arial" w:hAnsi="Arial"/>
                <w:sz w:val="20"/>
                <w:szCs w:val="20"/>
                <w:color w:val="auto"/>
              </w:rPr>
              <w:t>Lorilyn Miklavic</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
        </w:trPr>
        <w:tc>
          <w:tcPr>
            <w:tcW w:w="430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4"/>
        </w:trPr>
        <w:tc>
          <w:tcPr>
            <w:tcW w:w="4300" w:type="dxa"/>
            <w:vAlign w:val="bottom"/>
          </w:tcPr>
          <w:p>
            <w:pPr>
              <w:ind w:left="40"/>
              <w:spacing w:after="0"/>
              <w:rPr>
                <w:sz w:val="20"/>
                <w:szCs w:val="20"/>
                <w:color w:val="auto"/>
              </w:rPr>
            </w:pPr>
            <w:r>
              <w:rPr>
                <w:rFonts w:ascii="Arial" w:cs="Arial" w:eastAsia="Arial" w:hAnsi="Arial"/>
                <w:sz w:val="20"/>
                <w:szCs w:val="20"/>
                <w:color w:val="auto"/>
              </w:rPr>
              <w:t>Printed name of witness</w:t>
            </w: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932"/>
        </w:trPr>
        <w:tc>
          <w:tcPr>
            <w:tcW w:w="4300" w:type="dxa"/>
            <w:vAlign w:val="bottom"/>
          </w:tcPr>
          <w:p>
            <w:pPr>
              <w:ind w:left="80"/>
              <w:spacing w:after="0"/>
              <w:rPr>
                <w:sz w:val="20"/>
                <w:szCs w:val="20"/>
                <w:color w:val="auto"/>
              </w:rPr>
            </w:pPr>
            <w:r>
              <w:rPr>
                <w:rFonts w:ascii="Arial" w:cs="Arial" w:eastAsia="Arial" w:hAnsi="Arial"/>
                <w:sz w:val="20"/>
                <w:szCs w:val="20"/>
                <w:color w:val="auto"/>
              </w:rPr>
              <w:t>/s/ Stefanie Chalk</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
        </w:trPr>
        <w:tc>
          <w:tcPr>
            <w:tcW w:w="430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4"/>
        </w:trPr>
        <w:tc>
          <w:tcPr>
            <w:tcW w:w="4300" w:type="dxa"/>
            <w:vAlign w:val="bottom"/>
          </w:tcPr>
          <w:p>
            <w:pPr>
              <w:ind w:left="40"/>
              <w:spacing w:after="0"/>
              <w:rPr>
                <w:sz w:val="20"/>
                <w:szCs w:val="20"/>
                <w:color w:val="auto"/>
              </w:rPr>
            </w:pPr>
            <w:r>
              <w:rPr>
                <w:rFonts w:ascii="Arial" w:cs="Arial" w:eastAsia="Arial" w:hAnsi="Arial"/>
                <w:sz w:val="20"/>
                <w:szCs w:val="20"/>
                <w:color w:val="auto"/>
              </w:rPr>
              <w:t>Witness</w:t>
            </w: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4300" w:type="dxa"/>
            <w:vAlign w:val="bottom"/>
          </w:tcPr>
          <w:p>
            <w:pPr>
              <w:ind w:left="40"/>
              <w:spacing w:after="0"/>
              <w:rPr>
                <w:sz w:val="20"/>
                <w:szCs w:val="20"/>
                <w:color w:val="auto"/>
              </w:rPr>
            </w:pPr>
            <w:r>
              <w:rPr>
                <w:rFonts w:ascii="Arial" w:cs="Arial" w:eastAsia="Arial" w:hAnsi="Arial"/>
                <w:sz w:val="20"/>
                <w:szCs w:val="20"/>
                <w:color w:val="auto"/>
              </w:rPr>
              <w:t>Stefanie Chalk</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
        </w:trPr>
        <w:tc>
          <w:tcPr>
            <w:tcW w:w="430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4"/>
        </w:trPr>
        <w:tc>
          <w:tcPr>
            <w:tcW w:w="4300" w:type="dxa"/>
            <w:vAlign w:val="bottom"/>
          </w:tcPr>
          <w:p>
            <w:pPr>
              <w:ind w:left="40"/>
              <w:spacing w:after="0"/>
              <w:rPr>
                <w:sz w:val="20"/>
                <w:szCs w:val="20"/>
                <w:color w:val="auto"/>
              </w:rPr>
            </w:pPr>
            <w:r>
              <w:rPr>
                <w:rFonts w:ascii="Arial" w:cs="Arial" w:eastAsia="Arial" w:hAnsi="Arial"/>
                <w:sz w:val="20"/>
                <w:szCs w:val="20"/>
                <w:color w:val="auto"/>
              </w:rPr>
              <w:t>Printed name of witness</w:t>
            </w: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3"/>
        </w:trPr>
        <w:tc>
          <w:tcPr>
            <w:tcW w:w="4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00" w:type="dxa"/>
            <w:vAlign w:val="bottom"/>
            <w:gridSpan w:val="4"/>
          </w:tcPr>
          <w:p>
            <w:pPr>
              <w:ind w:left="20"/>
              <w:spacing w:after="0"/>
              <w:rPr>
                <w:sz w:val="20"/>
                <w:szCs w:val="20"/>
                <w:color w:val="auto"/>
              </w:rPr>
            </w:pPr>
            <w:r>
              <w:rPr>
                <w:rFonts w:ascii="Arial" w:cs="Arial" w:eastAsia="Arial" w:hAnsi="Arial"/>
                <w:sz w:val="20"/>
                <w:szCs w:val="20"/>
                <w:b w:val="1"/>
                <w:bCs w:val="1"/>
                <w:color w:val="auto"/>
              </w:rPr>
              <w:t>COMPANY</w:t>
            </w:r>
          </w:p>
        </w:tc>
      </w:tr>
      <w:tr>
        <w:trPr>
          <w:trHeight w:val="303"/>
        </w:trPr>
        <w:tc>
          <w:tcPr>
            <w:tcW w:w="4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00" w:type="dxa"/>
            <w:vAlign w:val="bottom"/>
            <w:gridSpan w:val="4"/>
          </w:tcPr>
          <w:p>
            <w:pPr>
              <w:ind w:left="20"/>
              <w:spacing w:after="0"/>
              <w:rPr>
                <w:sz w:val="20"/>
                <w:szCs w:val="20"/>
                <w:color w:val="auto"/>
              </w:rPr>
            </w:pPr>
            <w:r>
              <w:rPr>
                <w:rFonts w:ascii="Arial" w:cs="Arial" w:eastAsia="Arial" w:hAnsi="Arial"/>
                <w:sz w:val="22"/>
                <w:szCs w:val="22"/>
                <w:color w:val="auto"/>
                <w:w w:val="93"/>
              </w:rPr>
              <w:t>BLOOMIN’ BRANDS, INC., a Delaware corporation</w:t>
            </w:r>
          </w:p>
        </w:tc>
      </w:tr>
      <w:tr>
        <w:trPr>
          <w:trHeight w:val="601"/>
        </w:trPr>
        <w:tc>
          <w:tcPr>
            <w:tcW w:w="4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Arial" w:cs="Arial" w:eastAsia="Arial" w:hAnsi="Arial"/>
                <w:sz w:val="20"/>
                <w:szCs w:val="20"/>
                <w:color w:val="auto"/>
              </w:rPr>
              <w:t>By:</w:t>
            </w:r>
          </w:p>
        </w:tc>
        <w:tc>
          <w:tcPr>
            <w:tcW w:w="360" w:type="dxa"/>
            <w:vAlign w:val="bottom"/>
          </w:tcPr>
          <w:p>
            <w:pPr>
              <w:spacing w:after="0"/>
              <w:rPr>
                <w:sz w:val="24"/>
                <w:szCs w:val="24"/>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/s/ Kelly Lefferts</w:t>
            </w:r>
          </w:p>
        </w:tc>
      </w:tr>
      <w:tr>
        <w:trPr>
          <w:trHeight w:val="23"/>
        </w:trPr>
        <w:tc>
          <w:tcPr>
            <w:tcW w:w="4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r>
      <w:tr>
        <w:trPr>
          <w:trHeight w:val="254"/>
        </w:trPr>
        <w:tc>
          <w:tcPr>
            <w:tcW w:w="4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900" w:type="dxa"/>
            <w:vAlign w:val="bottom"/>
            <w:gridSpan w:val="2"/>
          </w:tcPr>
          <w:p>
            <w:pPr>
              <w:ind w:left="20"/>
              <w:spacing w:after="0"/>
              <w:rPr>
                <w:sz w:val="20"/>
                <w:szCs w:val="20"/>
                <w:color w:val="auto"/>
              </w:rPr>
            </w:pPr>
            <w:r>
              <w:rPr>
                <w:rFonts w:ascii="Arial" w:cs="Arial" w:eastAsia="Arial" w:hAnsi="Arial"/>
                <w:sz w:val="20"/>
                <w:szCs w:val="20"/>
                <w:color w:val="auto"/>
              </w:rPr>
              <w:t>Name: Kelly Lefferts</w:t>
            </w:r>
          </w:p>
        </w:tc>
      </w:tr>
      <w:tr>
        <w:trPr>
          <w:trHeight w:val="283"/>
        </w:trPr>
        <w:tc>
          <w:tcPr>
            <w:tcW w:w="4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00" w:type="dxa"/>
            <w:vAlign w:val="bottom"/>
            <w:gridSpan w:val="2"/>
          </w:tcPr>
          <w:p>
            <w:pPr>
              <w:ind w:left="20"/>
              <w:spacing w:after="0"/>
              <w:rPr>
                <w:sz w:val="20"/>
                <w:szCs w:val="20"/>
                <w:color w:val="auto"/>
              </w:rPr>
            </w:pPr>
            <w:r>
              <w:rPr>
                <w:rFonts w:ascii="Arial" w:cs="Arial" w:eastAsia="Arial" w:hAnsi="Arial"/>
                <w:sz w:val="20"/>
                <w:szCs w:val="20"/>
                <w:color w:val="auto"/>
              </w:rPr>
              <w:t>Title: Chief Legal Officer</w:t>
            </w:r>
          </w:p>
        </w:tc>
      </w:tr>
      <w:tr>
        <w:trPr>
          <w:trHeight w:val="722"/>
        </w:trPr>
        <w:tc>
          <w:tcPr>
            <w:tcW w:w="4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3</w:t>
            </w:r>
          </w:p>
        </w:tc>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139"/>
          </w:cols>
          <w:pgMar w:left="320" w:top="595" w:right="1440" w:bottom="1440" w:gutter="0" w:footer="0" w:header="0"/>
        </w:sectPr>
      </w:pPr>
    </w:p>
    <w:bookmarkStart w:id="58" w:name="page59"/>
    <w:bookmarkEnd w:id="58"/>
    <w:p>
      <w:pPr>
        <w:ind w:left="10280"/>
        <w:spacing w:after="0"/>
        <w:rPr>
          <w:sz w:val="20"/>
          <w:szCs w:val="20"/>
          <w:color w:val="auto"/>
        </w:rPr>
      </w:pPr>
      <w:r>
        <w:rPr>
          <w:rFonts w:ascii="Arial" w:cs="Arial" w:eastAsia="Arial" w:hAnsi="Arial"/>
          <w:sz w:val="17"/>
          <w:szCs w:val="17"/>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CONSULTING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Consulting Agreement (“</w:t>
      </w:r>
      <w:r>
        <w:rPr>
          <w:rFonts w:ascii="Arial" w:cs="Arial" w:eastAsia="Arial" w:hAnsi="Arial"/>
          <w:sz w:val="19"/>
          <w:szCs w:val="19"/>
          <w:b w:val="1"/>
          <w:bCs w:val="1"/>
          <w:color w:val="auto"/>
        </w:rPr>
        <w:t>Agreement</w:t>
      </w:r>
      <w:r>
        <w:rPr>
          <w:rFonts w:ascii="Arial" w:cs="Arial" w:eastAsia="Arial" w:hAnsi="Arial"/>
          <w:sz w:val="19"/>
          <w:szCs w:val="19"/>
          <w:color w:val="auto"/>
        </w:rPr>
        <w:t>”) is made and entered into by and between Joseph J. Kadow (“</w:t>
      </w:r>
      <w:r>
        <w:rPr>
          <w:rFonts w:ascii="Arial" w:cs="Arial" w:eastAsia="Arial" w:hAnsi="Arial"/>
          <w:sz w:val="19"/>
          <w:szCs w:val="19"/>
          <w:b w:val="1"/>
          <w:bCs w:val="1"/>
          <w:color w:val="auto"/>
        </w:rPr>
        <w:t>Consultant</w:t>
      </w:r>
      <w:r>
        <w:rPr>
          <w:rFonts w:ascii="Arial" w:cs="Arial" w:eastAsia="Arial" w:hAnsi="Arial"/>
          <w:sz w:val="19"/>
          <w:szCs w:val="19"/>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and Bloomin’ Brands, Inc. (“</w:t>
      </w:r>
      <w:r>
        <w:rPr>
          <w:rFonts w:ascii="Arial" w:cs="Arial" w:eastAsia="Arial" w:hAnsi="Arial"/>
          <w:sz w:val="22"/>
          <w:szCs w:val="22"/>
          <w:b w:val="1"/>
          <w:bCs w:val="1"/>
          <w:color w:val="auto"/>
        </w:rPr>
        <w:t>Company</w:t>
      </w:r>
      <w:r>
        <w:rPr>
          <w:rFonts w:ascii="Arial" w:cs="Arial" w:eastAsia="Arial" w:hAnsi="Arial"/>
          <w:sz w:val="22"/>
          <w:szCs w:val="22"/>
          <w:color w:val="auto"/>
        </w:rPr>
        <w:t>”). Consultant and Company (collectively the “</w:t>
      </w:r>
      <w:r>
        <w:rPr>
          <w:rFonts w:ascii="Arial" w:cs="Arial" w:eastAsia="Arial" w:hAnsi="Arial"/>
          <w:sz w:val="22"/>
          <w:szCs w:val="22"/>
          <w:b w:val="1"/>
          <w:bCs w:val="1"/>
          <w:color w:val="auto"/>
        </w:rPr>
        <w:t>Parties</w:t>
      </w:r>
      <w:r>
        <w:rPr>
          <w:rFonts w:ascii="Arial" w:cs="Arial" w:eastAsia="Arial" w:hAnsi="Arial"/>
          <w:sz w:val="22"/>
          <w:szCs w:val="22"/>
          <w:color w:val="auto"/>
        </w:rPr>
        <w:t>”) agree as follows:</w:t>
      </w:r>
    </w:p>
    <w:p>
      <w:pPr>
        <w:spacing w:after="0" w:line="94" w:lineRule="exact"/>
        <w:rPr>
          <w:sz w:val="20"/>
          <w:szCs w:val="20"/>
          <w:color w:val="auto"/>
        </w:rPr>
      </w:pPr>
    </w:p>
    <w:p>
      <w:pPr>
        <w:ind w:left="1160" w:hanging="828"/>
        <w:spacing w:after="0"/>
        <w:tabs>
          <w:tab w:leader="none" w:pos="1160"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SERVICES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656"/>
        <w:spacing w:after="0" w:line="241" w:lineRule="auto"/>
        <w:tabs>
          <w:tab w:leader="none" w:pos="1536" w:val="left"/>
        </w:tabs>
        <w:numPr>
          <w:ilvl w:val="2"/>
          <w:numId w:val="46"/>
        </w:numPr>
        <w:rPr>
          <w:rFonts w:ascii="Arial" w:cs="Arial" w:eastAsia="Arial" w:hAnsi="Arial"/>
          <w:sz w:val="19"/>
          <w:szCs w:val="19"/>
          <w:color w:val="auto"/>
        </w:rPr>
      </w:pPr>
      <w:r>
        <w:rPr>
          <w:rFonts w:ascii="Arial" w:cs="Arial" w:eastAsia="Arial" w:hAnsi="Arial"/>
          <w:sz w:val="19"/>
          <w:szCs w:val="19"/>
          <w:color w:val="auto"/>
        </w:rPr>
        <w:t>The Company hereby engages the Consultant, and the Consultant hereby accept such engagement, as an independent contractor to provide strategy, crisis management and government relations advice on an as needed basis to the Company’s Chief Executive Officer on the terms and conditions set forth in this Agreement (the “</w:t>
      </w:r>
      <w:r>
        <w:rPr>
          <w:rFonts w:ascii="Arial" w:cs="Arial" w:eastAsia="Arial" w:hAnsi="Arial"/>
          <w:sz w:val="19"/>
          <w:szCs w:val="19"/>
          <w:b w:val="1"/>
          <w:bCs w:val="1"/>
          <w:color w:val="auto"/>
        </w:rPr>
        <w:t>Services</w:t>
      </w:r>
      <w:r>
        <w:rPr>
          <w:rFonts w:ascii="Arial" w:cs="Arial" w:eastAsia="Arial" w:hAnsi="Arial"/>
          <w:sz w:val="19"/>
          <w:szCs w:val="19"/>
          <w:color w:val="auto"/>
        </w:rPr>
        <w:t>”); provided however, bona fide services to be performed hereunder shall not at any time exceed an average level of bona fide services of twenty percent (20%) of the average level of bona fide services performed by the Consultant over the immediately preceding thirty-six</w:t>
      </w:r>
    </w:p>
    <w:p>
      <w:pPr>
        <w:spacing w:after="0" w:line="1" w:lineRule="exact"/>
        <w:rPr>
          <w:rFonts w:ascii="Arial" w:cs="Arial" w:eastAsia="Arial" w:hAnsi="Arial"/>
          <w:sz w:val="19"/>
          <w:szCs w:val="19"/>
          <w:color w:val="auto"/>
        </w:rPr>
      </w:pPr>
    </w:p>
    <w:p>
      <w:pPr>
        <w:ind w:left="420" w:hanging="412"/>
        <w:spacing w:after="0"/>
        <w:tabs>
          <w:tab w:leader="none" w:pos="4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month period.</w:t>
      </w:r>
    </w:p>
    <w:p>
      <w:pPr>
        <w:spacing w:after="0" w:line="201" w:lineRule="exact"/>
        <w:rPr>
          <w:rFonts w:ascii="Arial" w:cs="Arial" w:eastAsia="Arial" w:hAnsi="Arial"/>
          <w:sz w:val="22"/>
          <w:szCs w:val="22"/>
          <w:color w:val="auto"/>
        </w:rPr>
      </w:pPr>
    </w:p>
    <w:p>
      <w:pPr>
        <w:ind w:firstLine="656"/>
        <w:spacing w:after="0" w:line="232" w:lineRule="auto"/>
        <w:tabs>
          <w:tab w:leader="none" w:pos="1548" w:val="left"/>
        </w:tabs>
        <w:numPr>
          <w:ilvl w:val="2"/>
          <w:numId w:val="47"/>
        </w:numPr>
        <w:rPr>
          <w:rFonts w:ascii="Arial" w:cs="Arial" w:eastAsia="Arial" w:hAnsi="Arial"/>
          <w:sz w:val="22"/>
          <w:szCs w:val="22"/>
          <w:color w:val="auto"/>
        </w:rPr>
      </w:pPr>
      <w:r>
        <w:rPr>
          <w:rFonts w:ascii="Arial" w:cs="Arial" w:eastAsia="Arial" w:hAnsi="Arial"/>
          <w:sz w:val="22"/>
          <w:szCs w:val="22"/>
          <w:color w:val="auto"/>
        </w:rPr>
        <w:t>The Company shall not control the manner or means by which the Consultant performs the Services, including but not limited to the time and place the Consultant performs the Services.</w:t>
      </w:r>
    </w:p>
    <w:p>
      <w:pPr>
        <w:spacing w:after="0" w:line="199" w:lineRule="exact"/>
        <w:rPr>
          <w:rFonts w:ascii="Arial" w:cs="Arial" w:eastAsia="Arial" w:hAnsi="Arial"/>
          <w:sz w:val="22"/>
          <w:szCs w:val="22"/>
          <w:color w:val="auto"/>
        </w:rPr>
      </w:pPr>
    </w:p>
    <w:p>
      <w:pPr>
        <w:ind w:firstLine="656"/>
        <w:spacing w:after="0" w:line="232" w:lineRule="auto"/>
        <w:tabs>
          <w:tab w:leader="none" w:pos="1536" w:val="left"/>
        </w:tabs>
        <w:numPr>
          <w:ilvl w:val="2"/>
          <w:numId w:val="47"/>
        </w:numPr>
        <w:rPr>
          <w:rFonts w:ascii="Arial" w:cs="Arial" w:eastAsia="Arial" w:hAnsi="Arial"/>
          <w:sz w:val="22"/>
          <w:szCs w:val="22"/>
          <w:color w:val="auto"/>
        </w:rPr>
      </w:pPr>
      <w:r>
        <w:rPr>
          <w:rFonts w:ascii="Arial" w:cs="Arial" w:eastAsia="Arial" w:hAnsi="Arial"/>
          <w:sz w:val="22"/>
          <w:szCs w:val="22"/>
          <w:color w:val="auto"/>
        </w:rPr>
        <w:t>The Consultant shall furnish, at the Consultant’s own expense, the equipment, supplies, and other materials used to perform the Services.</w:t>
      </w:r>
    </w:p>
    <w:p>
      <w:pPr>
        <w:spacing w:after="0" w:line="199" w:lineRule="exact"/>
        <w:rPr>
          <w:rFonts w:ascii="Arial" w:cs="Arial" w:eastAsia="Arial" w:hAnsi="Arial"/>
          <w:sz w:val="22"/>
          <w:szCs w:val="22"/>
          <w:color w:val="auto"/>
        </w:rPr>
      </w:pPr>
    </w:p>
    <w:p>
      <w:pPr>
        <w:ind w:firstLine="332"/>
        <w:spacing w:after="0" w:line="232" w:lineRule="auto"/>
        <w:tabs>
          <w:tab w:leader="none" w:pos="1152"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this Agreement shall commence on June 1, 2020, and shall continue for twelve (12) months, terminating on May 31, 2021 (the “</w:t>
      </w:r>
      <w:r>
        <w:rPr>
          <w:rFonts w:ascii="Arial" w:cs="Arial" w:eastAsia="Arial" w:hAnsi="Arial"/>
          <w:sz w:val="22"/>
          <w:szCs w:val="22"/>
          <w:b w:val="1"/>
          <w:bCs w:val="1"/>
          <w:color w:val="auto"/>
        </w:rPr>
        <w:t>Term</w:t>
      </w:r>
      <w:r>
        <w:rPr>
          <w:rFonts w:ascii="Arial" w:cs="Arial" w:eastAsia="Arial" w:hAnsi="Arial"/>
          <w:sz w:val="22"/>
          <w:szCs w:val="22"/>
          <w:color w:val="auto"/>
        </w:rPr>
        <w:t xml:space="preserve">”), unless earlier terminated in accordance with </w:t>
      </w:r>
      <w:r>
        <w:rPr>
          <w:rFonts w:ascii="Arial" w:cs="Arial" w:eastAsia="Arial" w:hAnsi="Arial"/>
          <w:sz w:val="22"/>
          <w:szCs w:val="22"/>
          <w:b w:val="1"/>
          <w:bCs w:val="1"/>
          <w:i w:val="1"/>
          <w:iCs w:val="1"/>
          <w:color w:val="auto"/>
        </w:rPr>
        <w:t>Section 8</w:t>
      </w:r>
      <w:r>
        <w:rPr>
          <w:rFonts w:ascii="Arial" w:cs="Arial" w:eastAsia="Arial" w:hAnsi="Arial"/>
          <w:sz w:val="22"/>
          <w:szCs w:val="22"/>
          <w:color w:val="auto"/>
        </w:rPr>
        <w:t xml:space="preserve"> .</w:t>
      </w:r>
    </w:p>
    <w:p>
      <w:pPr>
        <w:spacing w:after="0" w:line="199" w:lineRule="exact"/>
        <w:rPr>
          <w:rFonts w:ascii="Arial" w:cs="Arial" w:eastAsia="Arial" w:hAnsi="Arial"/>
          <w:sz w:val="22"/>
          <w:szCs w:val="22"/>
          <w:color w:val="auto"/>
        </w:rPr>
      </w:pPr>
    </w:p>
    <w:p>
      <w:pPr>
        <w:ind w:left="1160" w:hanging="828"/>
        <w:spacing w:after="0"/>
        <w:tabs>
          <w:tab w:leader="none" w:pos="1160"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FEES AND EXPENSES</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29" w:lineRule="auto"/>
        <w:tabs>
          <w:tab w:leader="none" w:pos="1464" w:val="left"/>
        </w:tabs>
        <w:numPr>
          <w:ilvl w:val="1"/>
          <w:numId w:val="48"/>
        </w:numPr>
        <w:rPr>
          <w:rFonts w:ascii="Arial" w:cs="Arial" w:eastAsia="Arial" w:hAnsi="Arial"/>
          <w:sz w:val="21"/>
          <w:szCs w:val="21"/>
          <w:color w:val="auto"/>
        </w:rPr>
      </w:pPr>
      <w:r>
        <w:rPr>
          <w:rFonts w:ascii="Arial" w:cs="Arial" w:eastAsia="Arial" w:hAnsi="Arial"/>
          <w:sz w:val="21"/>
          <w:szCs w:val="21"/>
          <w:color w:val="auto"/>
        </w:rPr>
        <w:t>As full compensation for the Services and the rights granted to the Company in this Agreement, the Company shall pay the Consultant a fixed fee of $30,000 per month (the “</w:t>
      </w:r>
      <w:r>
        <w:rPr>
          <w:rFonts w:ascii="Arial" w:cs="Arial" w:eastAsia="Arial" w:hAnsi="Arial"/>
          <w:sz w:val="21"/>
          <w:szCs w:val="21"/>
          <w:b w:val="1"/>
          <w:bCs w:val="1"/>
          <w:color w:val="auto"/>
        </w:rPr>
        <w:t>Fees</w:t>
      </w:r>
      <w:r>
        <w:rPr>
          <w:rFonts w:ascii="Arial" w:cs="Arial" w:eastAsia="Arial" w:hAnsi="Arial"/>
          <w:sz w:val="21"/>
          <w:szCs w:val="21"/>
          <w:color w:val="auto"/>
        </w:rPr>
        <w:t>”), payable in advance on the 1st day of each month during the Term. The Consultant acknowledges that the Consultant will receive an IRS Form 1099-MISC from the Company, and that the Consultant shall be solely responsible for all federal, state, and local taxes.</w:t>
      </w:r>
    </w:p>
    <w:p>
      <w:pPr>
        <w:spacing w:after="0" w:line="198" w:lineRule="exact"/>
        <w:rPr>
          <w:rFonts w:ascii="Arial" w:cs="Arial" w:eastAsia="Arial" w:hAnsi="Arial"/>
          <w:sz w:val="21"/>
          <w:szCs w:val="21"/>
          <w:color w:val="auto"/>
        </w:rPr>
      </w:pPr>
    </w:p>
    <w:p>
      <w:pPr>
        <w:jc w:val="both"/>
        <w:ind w:firstLine="656"/>
        <w:spacing w:after="0" w:line="268" w:lineRule="auto"/>
        <w:tabs>
          <w:tab w:leader="none" w:pos="1476" w:val="left"/>
        </w:tabs>
        <w:numPr>
          <w:ilvl w:val="1"/>
          <w:numId w:val="48"/>
        </w:numPr>
        <w:rPr>
          <w:rFonts w:ascii="Arial" w:cs="Arial" w:eastAsia="Arial" w:hAnsi="Arial"/>
          <w:sz w:val="19"/>
          <w:szCs w:val="19"/>
          <w:color w:val="auto"/>
        </w:rPr>
      </w:pPr>
      <w:r>
        <w:rPr>
          <w:rFonts w:ascii="Arial" w:cs="Arial" w:eastAsia="Arial" w:hAnsi="Arial"/>
          <w:sz w:val="19"/>
          <w:szCs w:val="19"/>
          <w:color w:val="auto"/>
        </w:rPr>
        <w:t>The Company shall reimburse the Consultant for any travel or other costs or expenses incurred by the Consultant in connection with the performance of the Services, provided costs or expenses are incurred in accordance with the Company’s Supplier Travel and Expense Policy and approved in advance by the Company’s Chief Executive Officer.</w:t>
      </w:r>
    </w:p>
    <w:p>
      <w:pPr>
        <w:spacing w:after="0" w:line="172" w:lineRule="exact"/>
        <w:rPr>
          <w:rFonts w:ascii="Arial" w:cs="Arial" w:eastAsia="Arial" w:hAnsi="Arial"/>
          <w:sz w:val="19"/>
          <w:szCs w:val="19"/>
          <w:color w:val="auto"/>
        </w:rPr>
      </w:pPr>
    </w:p>
    <w:p>
      <w:pPr>
        <w:ind w:left="1160" w:hanging="828"/>
        <w:spacing w:after="0"/>
        <w:tabs>
          <w:tab w:leader="none" w:pos="116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RELATIONSHIP OF THE PARTIES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656"/>
        <w:spacing w:after="0" w:line="216" w:lineRule="auto"/>
        <w:tabs>
          <w:tab w:leader="none" w:pos="1464"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Consultant is an independent contractor of the Company, and this Agreement shall not be construed to create any association, partnership, joint venture, employee, or agency relationship between the Consultant and the Company for any purpose. The Consultant has no authority (and shall not hold himself out as having authority) to bind the Company and the Consultant shall not make any agreements or representations on the Company’s behalf without the Company’s prior written consent.</w:t>
      </w:r>
    </w:p>
    <w:p>
      <w:pPr>
        <w:spacing w:after="0" w:line="198" w:lineRule="exact"/>
        <w:rPr>
          <w:rFonts w:ascii="Arial" w:cs="Arial" w:eastAsia="Arial" w:hAnsi="Arial"/>
          <w:sz w:val="22"/>
          <w:szCs w:val="22"/>
          <w:color w:val="auto"/>
        </w:rPr>
      </w:pPr>
    </w:p>
    <w:p>
      <w:pPr>
        <w:ind w:right="20" w:firstLine="656"/>
        <w:spacing w:after="0" w:line="232" w:lineRule="auto"/>
        <w:tabs>
          <w:tab w:leader="none" w:pos="1476"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Consultant will not be eligible to participate in any vacation, group medical or life insurance, disability, profit sharing or retirement benefits, or any other fringe benefits or benefit plans</w:t>
      </w:r>
    </w:p>
    <w:p>
      <w:pPr>
        <w:sectPr>
          <w:pgSz w:w="11900" w:h="16838" w:orient="portrait"/>
          <w:cols w:equalWidth="0" w:num="1">
            <w:col w:w="11240"/>
          </w:cols>
          <w:pgMar w:left="320" w:top="283" w:right="339" w:bottom="1440" w:gutter="0" w:footer="0" w:header="0"/>
        </w:sectPr>
      </w:pPr>
    </w:p>
    <w:bookmarkStart w:id="59" w:name="page60"/>
    <w:bookmarkEnd w:id="59"/>
    <w:p>
      <w:pPr>
        <w:jc w:val="both"/>
        <w:spacing w:after="0" w:line="222" w:lineRule="auto"/>
        <w:rPr>
          <w:sz w:val="20"/>
          <w:szCs w:val="20"/>
          <w:color w:val="auto"/>
        </w:rPr>
      </w:pPr>
      <w:r>
        <w:rPr>
          <w:rFonts w:ascii="Arial" w:cs="Arial" w:eastAsia="Arial" w:hAnsi="Arial"/>
          <w:sz w:val="21"/>
          <w:szCs w:val="21"/>
          <w:color w:val="auto"/>
        </w:rPr>
        <w:t>offered by the Company to its employees, and the Company will not be responsible for withholding or paying any income, payroll, Social Security, or other federal, state, or local taxes, making any insurance contributions, including for unemployment or disability, or obtaining workers’ compensation insurance on the Consultant’s behalf. The Consultant shall be responsible for, and shall indemnify the Company against, all such taxes or contributions, including penalties and interest. Any persons employed or engaged by the Consultant in connection with the performance of the Services shall be the Consultant’s employees or contractors and the Consultant shall be fully responsible for them and indemnify the Company against any claims made by or on behalf of any such employee or contractor.</w:t>
      </w:r>
    </w:p>
    <w:p>
      <w:pPr>
        <w:spacing w:after="0" w:line="205" w:lineRule="exact"/>
        <w:rPr>
          <w:sz w:val="20"/>
          <w:szCs w:val="20"/>
          <w:color w:val="auto"/>
        </w:rPr>
      </w:pPr>
    </w:p>
    <w:p>
      <w:pPr>
        <w:ind w:left="1160" w:hanging="828"/>
        <w:spacing w:after="0"/>
        <w:tabs>
          <w:tab w:leader="none" w:pos="116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656"/>
        <w:spacing w:after="0" w:line="243" w:lineRule="auto"/>
        <w:tabs>
          <w:tab w:leader="none" w:pos="1464" w:val="left"/>
        </w:tabs>
        <w:numPr>
          <w:ilvl w:val="1"/>
          <w:numId w:val="50"/>
        </w:numPr>
        <w:rPr>
          <w:rFonts w:ascii="Arial" w:cs="Arial" w:eastAsia="Arial" w:hAnsi="Arial"/>
          <w:sz w:val="19"/>
          <w:szCs w:val="19"/>
          <w:color w:val="auto"/>
        </w:rPr>
      </w:pPr>
      <w:r>
        <w:rPr>
          <w:rFonts w:ascii="Arial" w:cs="Arial" w:eastAsia="Arial" w:hAnsi="Arial"/>
          <w:sz w:val="19"/>
          <w:szCs w:val="19"/>
          <w:color w:val="auto"/>
        </w:rPr>
        <w:t>The Consultant acknowledges that the Consultant will have access to information that is treated as confidential and proprietary by the Company including without limitation trade secrets, technology, and information pertaining to business operations and strategies, customers, pricing, marketing, finances, sourcing, personnel, or operations of the Company, its affiliates, or their suppliers or customers, in each case whether spoken, written, printed, electronic, or in any other form or medium (collectively, the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Any Confidential Information that the Consultant develops in connection with the Services, including but not limited to any work product of the Consultant, shall be subject to the terms and conditions of this clause. The Consultant agrees to treat all Confidential Information as strictly confidential, not to disclose Confidential Information or permit it to be disclosed, in whole or part, to any third party without the prior written consent of the Company in each instance, and not to use any Confidential Information for any purpose except as required in the performance of the Services. The Consultant shall notify the Company immediately in the event the Consultant becomes aware of any loss or disclosure of any Confidential Information.</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ind w:left="1300" w:hanging="644"/>
        <w:spacing w:after="0"/>
        <w:tabs>
          <w:tab w:leader="none" w:pos="1300" w:val="left"/>
        </w:tabs>
        <w:numPr>
          <w:ilvl w:val="1"/>
          <w:numId w:val="50"/>
        </w:numPr>
        <w:rPr>
          <w:rFonts w:ascii="Arial" w:cs="Arial" w:eastAsia="Arial" w:hAnsi="Arial"/>
          <w:sz w:val="22"/>
          <w:szCs w:val="22"/>
          <w:color w:val="auto"/>
        </w:rPr>
      </w:pPr>
      <w:r>
        <w:rPr>
          <w:rFonts w:ascii="Arial" w:cs="Arial" w:eastAsia="Arial" w:hAnsi="Arial"/>
          <w:sz w:val="22"/>
          <w:szCs w:val="22"/>
          <w:color w:val="auto"/>
        </w:rPr>
        <w:t>Confidential Information shall not include information that:</w:t>
      </w:r>
    </w:p>
    <w:p>
      <w:pPr>
        <w:ind w:left="1300" w:firstLine="4"/>
        <w:spacing w:after="0" w:line="204" w:lineRule="auto"/>
        <w:tabs>
          <w:tab w:leader="none" w:pos="2080" w:val="left"/>
        </w:tabs>
        <w:numPr>
          <w:ilvl w:val="2"/>
          <w:numId w:val="50"/>
        </w:numPr>
        <w:rPr>
          <w:rFonts w:ascii="Arial" w:cs="Arial" w:eastAsia="Arial" w:hAnsi="Arial"/>
          <w:sz w:val="22"/>
          <w:szCs w:val="22"/>
          <w:color w:val="auto"/>
        </w:rPr>
      </w:pPr>
      <w:r>
        <w:rPr>
          <w:rFonts w:ascii="Arial" w:cs="Arial" w:eastAsia="Arial" w:hAnsi="Arial"/>
          <w:sz w:val="22"/>
          <w:szCs w:val="22"/>
          <w:color w:val="auto"/>
        </w:rPr>
        <w:t>is or becomes generally available to the public other than through the Consultant’s breach of this Agreement; or</w:t>
      </w:r>
    </w:p>
    <w:p>
      <w:pPr>
        <w:spacing w:after="0" w:line="1" w:lineRule="exact"/>
        <w:rPr>
          <w:rFonts w:ascii="Arial" w:cs="Arial" w:eastAsia="Arial" w:hAnsi="Arial"/>
          <w:sz w:val="22"/>
          <w:szCs w:val="22"/>
          <w:color w:val="auto"/>
        </w:rPr>
      </w:pPr>
    </w:p>
    <w:p>
      <w:pPr>
        <w:ind w:left="1300" w:firstLine="4"/>
        <w:spacing w:after="0" w:line="224" w:lineRule="auto"/>
        <w:tabs>
          <w:tab w:leader="none" w:pos="2140" w:val="left"/>
        </w:tabs>
        <w:numPr>
          <w:ilvl w:val="2"/>
          <w:numId w:val="50"/>
        </w:numPr>
        <w:rPr>
          <w:rFonts w:ascii="Arial" w:cs="Arial" w:eastAsia="Arial" w:hAnsi="Arial"/>
          <w:sz w:val="22"/>
          <w:szCs w:val="22"/>
          <w:color w:val="auto"/>
        </w:rPr>
      </w:pPr>
      <w:r>
        <w:rPr>
          <w:rFonts w:ascii="Arial" w:cs="Arial" w:eastAsia="Arial" w:hAnsi="Arial"/>
          <w:sz w:val="22"/>
          <w:szCs w:val="22"/>
          <w:color w:val="auto"/>
        </w:rPr>
        <w:t>is communicated to the Consultant by a third party that had no confidentiality obligations with respect to such information.</w:t>
      </w:r>
    </w:p>
    <w:p>
      <w:pPr>
        <w:spacing w:after="0" w:line="198" w:lineRule="exact"/>
        <w:rPr>
          <w:rFonts w:ascii="Arial" w:cs="Arial" w:eastAsia="Arial" w:hAnsi="Arial"/>
          <w:sz w:val="22"/>
          <w:szCs w:val="22"/>
          <w:color w:val="auto"/>
        </w:rPr>
      </w:pPr>
    </w:p>
    <w:p>
      <w:pPr>
        <w:jc w:val="both"/>
        <w:ind w:firstLine="656"/>
        <w:spacing w:after="0" w:line="224" w:lineRule="auto"/>
        <w:tabs>
          <w:tab w:leader="none" w:pos="1464" w:val="left"/>
        </w:tabs>
        <w:numPr>
          <w:ilvl w:val="1"/>
          <w:numId w:val="50"/>
        </w:numPr>
        <w:rPr>
          <w:rFonts w:ascii="Arial" w:cs="Arial" w:eastAsia="Arial" w:hAnsi="Arial"/>
          <w:sz w:val="21"/>
          <w:szCs w:val="21"/>
          <w:color w:val="auto"/>
        </w:rPr>
      </w:pPr>
      <w:r>
        <w:rPr>
          <w:rFonts w:ascii="Arial" w:cs="Arial" w:eastAsia="Arial" w:hAnsi="Arial"/>
          <w:sz w:val="21"/>
          <w:szCs w:val="21"/>
          <w:color w:val="auto"/>
        </w:rPr>
        <w:t>Nothing herein shall be construed to prevent disclosure of Confidential Information as may be required by applicable law or regulation, or pursuant to the valid order of a court of competent jurisdiction or an authorized government agency, provided that the disclosure does not exceed the extent of disclosure required by such law, regulation, or order. The Consultant agrees to provide written notice of any such order to the Company’s Chief Executive Officer within 48 hours of receiving such order, but in any event sufficiently in advance of making any disclosure to permit the Company to contest the order or seek confidentiality protections, as determined in the Company’s sole discretion.</w:t>
      </w:r>
    </w:p>
    <w:p>
      <w:pPr>
        <w:spacing w:after="0" w:line="200" w:lineRule="exact"/>
        <w:rPr>
          <w:rFonts w:ascii="Arial" w:cs="Arial" w:eastAsia="Arial" w:hAnsi="Arial"/>
          <w:sz w:val="21"/>
          <w:szCs w:val="21"/>
          <w:color w:val="auto"/>
        </w:rPr>
      </w:pPr>
    </w:p>
    <w:p>
      <w:pPr>
        <w:ind w:left="1160" w:hanging="828"/>
        <w:spacing w:after="0"/>
        <w:tabs>
          <w:tab w:leader="none" w:pos="116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1480" w:hanging="824"/>
        <w:spacing w:after="0"/>
        <w:tabs>
          <w:tab w:leader="none" w:pos="1480" w:val="left"/>
        </w:tabs>
        <w:numPr>
          <w:ilvl w:val="1"/>
          <w:numId w:val="50"/>
        </w:numPr>
        <w:rPr>
          <w:rFonts w:ascii="Arial" w:cs="Arial" w:eastAsia="Arial" w:hAnsi="Arial"/>
          <w:sz w:val="22"/>
          <w:szCs w:val="22"/>
          <w:color w:val="auto"/>
        </w:rPr>
      </w:pPr>
      <w:r>
        <w:rPr>
          <w:rFonts w:ascii="Arial" w:cs="Arial" w:eastAsia="Arial" w:hAnsi="Arial"/>
          <w:sz w:val="22"/>
          <w:szCs w:val="22"/>
          <w:color w:val="auto"/>
        </w:rPr>
        <w:t>The Consultant represents and warrants to the Company that:</w:t>
      </w:r>
    </w:p>
    <w:p>
      <w:pPr>
        <w:ind w:left="1300" w:right="20" w:firstLine="4"/>
        <w:spacing w:after="0" w:line="204" w:lineRule="auto"/>
        <w:tabs>
          <w:tab w:leader="none" w:pos="2080" w:val="left"/>
        </w:tabs>
        <w:numPr>
          <w:ilvl w:val="2"/>
          <w:numId w:val="50"/>
        </w:numPr>
        <w:rPr>
          <w:rFonts w:ascii="Arial" w:cs="Arial" w:eastAsia="Arial" w:hAnsi="Arial"/>
          <w:sz w:val="22"/>
          <w:szCs w:val="22"/>
          <w:color w:val="auto"/>
        </w:rPr>
      </w:pPr>
      <w:r>
        <w:rPr>
          <w:rFonts w:ascii="Arial" w:cs="Arial" w:eastAsia="Arial" w:hAnsi="Arial"/>
          <w:sz w:val="22"/>
          <w:szCs w:val="22"/>
          <w:color w:val="auto"/>
        </w:rPr>
        <w:t>the Consultant has the right to enter into this Agreement, to grant the rights granted herein, and to perform fully all the Consultant’s obligations in this Agreement; and</w:t>
      </w:r>
    </w:p>
    <w:p>
      <w:pPr>
        <w:spacing w:after="0" w:line="1" w:lineRule="exact"/>
        <w:rPr>
          <w:rFonts w:ascii="Arial" w:cs="Arial" w:eastAsia="Arial" w:hAnsi="Arial"/>
          <w:sz w:val="22"/>
          <w:szCs w:val="22"/>
          <w:color w:val="auto"/>
        </w:rPr>
      </w:pPr>
    </w:p>
    <w:p>
      <w:pPr>
        <w:jc w:val="both"/>
        <w:ind w:left="1300" w:firstLine="4"/>
        <w:spacing w:after="0" w:line="217" w:lineRule="auto"/>
        <w:tabs>
          <w:tab w:leader="none" w:pos="2140" w:val="left"/>
        </w:tabs>
        <w:numPr>
          <w:ilvl w:val="2"/>
          <w:numId w:val="50"/>
        </w:numPr>
        <w:rPr>
          <w:rFonts w:ascii="Arial" w:cs="Arial" w:eastAsia="Arial" w:hAnsi="Arial"/>
          <w:sz w:val="22"/>
          <w:szCs w:val="22"/>
          <w:color w:val="auto"/>
        </w:rPr>
      </w:pPr>
      <w:r>
        <w:rPr>
          <w:rFonts w:ascii="Arial" w:cs="Arial" w:eastAsia="Arial" w:hAnsi="Arial"/>
          <w:sz w:val="22"/>
          <w:szCs w:val="22"/>
          <w:color w:val="auto"/>
        </w:rPr>
        <w:t>the Consultant’s entering into this Agreement with the Company and the Consultant’s performance of the Services do not and will not conflict with or result in any breach or default under any other agreement to which the Consultant is subject.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577" w:right="339" w:bottom="1440" w:gutter="0" w:footer="0" w:header="0"/>
        </w:sectPr>
      </w:pPr>
    </w:p>
    <w:bookmarkStart w:id="60" w:name="page61"/>
    <w:bookmarkEnd w:id="60"/>
    <w:p>
      <w:pPr>
        <w:ind w:left="1480" w:hanging="824"/>
        <w:spacing w:after="0"/>
        <w:tabs>
          <w:tab w:leader="none" w:pos="1480" w:val="left"/>
        </w:tabs>
        <w:numPr>
          <w:ilvl w:val="1"/>
          <w:numId w:val="51"/>
        </w:numPr>
        <w:rPr>
          <w:rFonts w:ascii="Arial" w:cs="Arial" w:eastAsia="Arial" w:hAnsi="Arial"/>
          <w:sz w:val="22"/>
          <w:szCs w:val="22"/>
          <w:color w:val="auto"/>
        </w:rPr>
      </w:pPr>
      <w:r>
        <w:rPr>
          <w:rFonts w:ascii="Arial" w:cs="Arial" w:eastAsia="Arial" w:hAnsi="Arial"/>
          <w:sz w:val="22"/>
          <w:szCs w:val="22"/>
          <w:color w:val="auto"/>
        </w:rPr>
        <w:t>The Company hereby represents and warrants to the Consultant that:</w:t>
      </w:r>
    </w:p>
    <w:p>
      <w:pPr>
        <w:ind w:left="1300" w:firstLine="4"/>
        <w:spacing w:after="0" w:line="204" w:lineRule="auto"/>
        <w:tabs>
          <w:tab w:leader="none" w:pos="2080" w:val="left"/>
        </w:tabs>
        <w:numPr>
          <w:ilvl w:val="2"/>
          <w:numId w:val="51"/>
        </w:numPr>
        <w:rPr>
          <w:rFonts w:ascii="Arial" w:cs="Arial" w:eastAsia="Arial" w:hAnsi="Arial"/>
          <w:sz w:val="22"/>
          <w:szCs w:val="22"/>
          <w:color w:val="auto"/>
        </w:rPr>
      </w:pPr>
      <w:r>
        <w:rPr>
          <w:rFonts w:ascii="Arial" w:cs="Arial" w:eastAsia="Arial" w:hAnsi="Arial"/>
          <w:sz w:val="22"/>
          <w:szCs w:val="22"/>
          <w:color w:val="auto"/>
        </w:rPr>
        <w:t>it has the full right, power, and authority to enter into this Agreement and to perform its obligations hereunder; and</w:t>
      </w:r>
    </w:p>
    <w:p>
      <w:pPr>
        <w:spacing w:after="0" w:line="1" w:lineRule="exact"/>
        <w:rPr>
          <w:rFonts w:ascii="Arial" w:cs="Arial" w:eastAsia="Arial" w:hAnsi="Arial"/>
          <w:sz w:val="22"/>
          <w:szCs w:val="22"/>
          <w:color w:val="auto"/>
        </w:rPr>
      </w:pPr>
    </w:p>
    <w:p>
      <w:pPr>
        <w:ind w:left="1300" w:firstLine="4"/>
        <w:spacing w:after="0" w:line="224" w:lineRule="auto"/>
        <w:tabs>
          <w:tab w:leader="none" w:pos="2140" w:val="left"/>
        </w:tabs>
        <w:numPr>
          <w:ilvl w:val="2"/>
          <w:numId w:val="51"/>
        </w:numPr>
        <w:rPr>
          <w:rFonts w:ascii="Arial" w:cs="Arial" w:eastAsia="Arial" w:hAnsi="Arial"/>
          <w:sz w:val="22"/>
          <w:szCs w:val="22"/>
          <w:color w:val="auto"/>
        </w:rPr>
      </w:pPr>
      <w:r>
        <w:rPr>
          <w:rFonts w:ascii="Arial" w:cs="Arial" w:eastAsia="Arial" w:hAnsi="Arial"/>
          <w:sz w:val="22"/>
          <w:szCs w:val="22"/>
          <w:color w:val="auto"/>
        </w:rPr>
        <w:t>the execution of this Agreement by its representative whose signature is set forth at the end hereof has been duly authorized by all necessary corporate action.</w:t>
      </w:r>
    </w:p>
    <w:p>
      <w:pPr>
        <w:spacing w:after="0" w:line="198" w:lineRule="exact"/>
        <w:rPr>
          <w:rFonts w:ascii="Arial" w:cs="Arial" w:eastAsia="Arial" w:hAnsi="Arial"/>
          <w:sz w:val="22"/>
          <w:szCs w:val="22"/>
          <w:color w:val="auto"/>
        </w:rPr>
      </w:pPr>
    </w:p>
    <w:p>
      <w:pPr>
        <w:ind w:left="1160" w:hanging="828"/>
        <w:spacing w:after="0"/>
        <w:tabs>
          <w:tab w:leader="none" w:pos="116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656"/>
        <w:spacing w:after="0" w:line="257" w:lineRule="auto"/>
        <w:tabs>
          <w:tab w:leader="none" w:pos="1464"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Consultant shall defend, indemnify, and hold harmless the Company and its affiliates and their officers, directors, employees, agents, successors, and assigns from and against all losses, damages, liabilities, deficiencies, actions, judgments, interest, awards, penalties, fines, costs, or expenses of whatever kind (including reasonable attorneys’ fees) arising out of or resulting from the Consultant’s breach of any representation, warranty, or obligation under this Agreement.</w:t>
      </w:r>
    </w:p>
    <w:p>
      <w:pPr>
        <w:spacing w:after="0" w:line="184" w:lineRule="exact"/>
        <w:rPr>
          <w:rFonts w:ascii="Arial" w:cs="Arial" w:eastAsia="Arial" w:hAnsi="Arial"/>
          <w:sz w:val="19"/>
          <w:szCs w:val="19"/>
          <w:color w:val="auto"/>
        </w:rPr>
      </w:pPr>
    </w:p>
    <w:p>
      <w:pPr>
        <w:ind w:left="1480" w:hanging="824"/>
        <w:spacing w:after="0"/>
        <w:tabs>
          <w:tab w:leader="none" w:pos="1480"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Company may satisfy such indemnity (in whole or in part) by way of deduction from any payment due to</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Consultant.</w:t>
      </w:r>
    </w:p>
    <w:p>
      <w:pPr>
        <w:spacing w:after="0" w:line="201" w:lineRule="exact"/>
        <w:rPr>
          <w:rFonts w:ascii="Arial" w:cs="Arial" w:eastAsia="Arial" w:hAnsi="Arial"/>
          <w:sz w:val="19"/>
          <w:szCs w:val="19"/>
          <w:color w:val="auto"/>
        </w:rPr>
      </w:pPr>
    </w:p>
    <w:p>
      <w:pPr>
        <w:ind w:left="1160" w:hanging="828"/>
        <w:spacing w:after="0"/>
        <w:tabs>
          <w:tab w:leader="none" w:pos="116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1480" w:hanging="824"/>
        <w:spacing w:after="0"/>
        <w:tabs>
          <w:tab w:leader="none" w:pos="1480"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By the Consultant</w:t>
      </w:r>
      <w:r>
        <w:rPr>
          <w:rFonts w:ascii="Arial" w:cs="Arial" w:eastAsia="Arial" w:hAnsi="Arial"/>
          <w:sz w:val="22"/>
          <w:szCs w:val="22"/>
          <w:color w:val="auto"/>
        </w:rPr>
        <w:t>. The Consultant may terminate this Agreement:</w:t>
      </w:r>
    </w:p>
    <w:p>
      <w:pPr>
        <w:ind w:left="2080" w:hanging="776"/>
        <w:spacing w:after="0" w:line="214" w:lineRule="auto"/>
        <w:tabs>
          <w:tab w:leader="none" w:pos="2080" w:val="left"/>
        </w:tabs>
        <w:numPr>
          <w:ilvl w:val="2"/>
          <w:numId w:val="52"/>
        </w:numPr>
        <w:rPr>
          <w:rFonts w:ascii="Arial" w:cs="Arial" w:eastAsia="Arial" w:hAnsi="Arial"/>
          <w:sz w:val="21"/>
          <w:szCs w:val="21"/>
          <w:color w:val="auto"/>
        </w:rPr>
      </w:pPr>
      <w:r>
        <w:rPr>
          <w:rFonts w:ascii="Arial" w:cs="Arial" w:eastAsia="Arial" w:hAnsi="Arial"/>
          <w:sz w:val="21"/>
          <w:szCs w:val="21"/>
          <w:color w:val="auto"/>
        </w:rPr>
        <w:t>for any reason or no reason upon fifteen (15) calendar days’ written notice to the Company; and</w:t>
      </w:r>
    </w:p>
    <w:p>
      <w:pPr>
        <w:jc w:val="both"/>
        <w:ind w:left="1300" w:right="20" w:firstLine="4"/>
        <w:spacing w:after="0" w:line="258" w:lineRule="auto"/>
        <w:tabs>
          <w:tab w:leader="none" w:pos="2140" w:val="left"/>
        </w:tabs>
        <w:numPr>
          <w:ilvl w:val="2"/>
          <w:numId w:val="52"/>
        </w:numPr>
        <w:rPr>
          <w:rFonts w:ascii="Arial" w:cs="Arial" w:eastAsia="Arial" w:hAnsi="Arial"/>
          <w:sz w:val="19"/>
          <w:szCs w:val="19"/>
          <w:color w:val="auto"/>
        </w:rPr>
      </w:pPr>
      <w:r>
        <w:rPr>
          <w:rFonts w:ascii="Arial" w:cs="Arial" w:eastAsia="Arial" w:hAnsi="Arial"/>
          <w:sz w:val="19"/>
          <w:szCs w:val="19"/>
          <w:color w:val="auto"/>
        </w:rPr>
        <w:t>effective immediately upon written notice to the Company, if the Company breaches this Agreement and such breach is incapable of cure, or with respect to a breach capable of cure, the Company does not cure such breach within ten (10) business days after receipt of written notice of such breach.</w:t>
      </w:r>
    </w:p>
    <w:p>
      <w:pPr>
        <w:spacing w:after="0" w:line="162" w:lineRule="exact"/>
        <w:rPr>
          <w:rFonts w:ascii="Arial" w:cs="Arial" w:eastAsia="Arial" w:hAnsi="Arial"/>
          <w:sz w:val="19"/>
          <w:szCs w:val="19"/>
          <w:color w:val="auto"/>
        </w:rPr>
      </w:pPr>
    </w:p>
    <w:p>
      <w:pPr>
        <w:ind w:left="1480" w:hanging="824"/>
        <w:spacing w:after="0"/>
        <w:tabs>
          <w:tab w:leader="none" w:pos="1480"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By the Company</w:t>
      </w:r>
      <w:r>
        <w:rPr>
          <w:rFonts w:ascii="Arial" w:cs="Arial" w:eastAsia="Arial" w:hAnsi="Arial"/>
          <w:sz w:val="22"/>
          <w:szCs w:val="22"/>
          <w:color w:val="auto"/>
        </w:rPr>
        <w:t>. The Company may terminate this Agreement:</w:t>
      </w:r>
    </w:p>
    <w:p>
      <w:pPr>
        <w:ind w:left="2080" w:hanging="776"/>
        <w:spacing w:after="0" w:line="214" w:lineRule="auto"/>
        <w:tabs>
          <w:tab w:leader="none" w:pos="2080" w:val="left"/>
        </w:tabs>
        <w:numPr>
          <w:ilvl w:val="2"/>
          <w:numId w:val="52"/>
        </w:numPr>
        <w:rPr>
          <w:rFonts w:ascii="Arial" w:cs="Arial" w:eastAsia="Arial" w:hAnsi="Arial"/>
          <w:sz w:val="21"/>
          <w:szCs w:val="21"/>
          <w:color w:val="auto"/>
        </w:rPr>
      </w:pPr>
      <w:r>
        <w:rPr>
          <w:rFonts w:ascii="Arial" w:cs="Arial" w:eastAsia="Arial" w:hAnsi="Arial"/>
          <w:sz w:val="21"/>
          <w:szCs w:val="21"/>
          <w:color w:val="auto"/>
        </w:rPr>
        <w:t>for any reason or no reason upon fifteen (15) calendar days’ written notice to the Consultant; and</w:t>
      </w:r>
    </w:p>
    <w:p>
      <w:pPr>
        <w:jc w:val="both"/>
        <w:ind w:left="1300" w:firstLine="4"/>
        <w:spacing w:after="0" w:line="258" w:lineRule="auto"/>
        <w:tabs>
          <w:tab w:leader="none" w:pos="2140" w:val="left"/>
        </w:tabs>
        <w:numPr>
          <w:ilvl w:val="2"/>
          <w:numId w:val="52"/>
        </w:numPr>
        <w:rPr>
          <w:rFonts w:ascii="Arial" w:cs="Arial" w:eastAsia="Arial" w:hAnsi="Arial"/>
          <w:sz w:val="19"/>
          <w:szCs w:val="19"/>
          <w:color w:val="auto"/>
        </w:rPr>
      </w:pPr>
      <w:r>
        <w:rPr>
          <w:rFonts w:ascii="Arial" w:cs="Arial" w:eastAsia="Arial" w:hAnsi="Arial"/>
          <w:sz w:val="19"/>
          <w:szCs w:val="19"/>
          <w:color w:val="auto"/>
        </w:rPr>
        <w:t>effective immediately upon written notice to the Consultant, if the Consultant breaches this Agreement and such breach is incapable of cure, or with respect to a breach capable of cure, the Consultant does not cure such breach within ten (10) business days after receipt of written notice of such breach.</w:t>
      </w:r>
    </w:p>
    <w:p>
      <w:pPr>
        <w:spacing w:after="0" w:line="162" w:lineRule="exact"/>
        <w:rPr>
          <w:rFonts w:ascii="Arial" w:cs="Arial" w:eastAsia="Arial" w:hAnsi="Arial"/>
          <w:sz w:val="19"/>
          <w:szCs w:val="19"/>
          <w:color w:val="auto"/>
        </w:rPr>
      </w:pPr>
    </w:p>
    <w:p>
      <w:pPr>
        <w:ind w:left="1480" w:hanging="824"/>
        <w:spacing w:after="0"/>
        <w:tabs>
          <w:tab w:leader="none" w:pos="1480"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Payment Due on Termination</w:t>
      </w:r>
      <w:r>
        <w:rPr>
          <w:rFonts w:ascii="Arial" w:cs="Arial" w:eastAsia="Arial" w:hAnsi="Arial"/>
          <w:sz w:val="22"/>
          <w:szCs w:val="22"/>
          <w:color w:val="auto"/>
        </w:rPr>
        <w:t>. Upon termination of this Agreement:</w:t>
      </w:r>
    </w:p>
    <w:p>
      <w:pPr>
        <w:jc w:val="both"/>
        <w:ind w:left="1300" w:firstLine="4"/>
        <w:spacing w:after="0" w:line="204" w:lineRule="auto"/>
        <w:tabs>
          <w:tab w:leader="none" w:pos="2080" w:val="left"/>
        </w:tabs>
        <w:numPr>
          <w:ilvl w:val="2"/>
          <w:numId w:val="52"/>
        </w:numPr>
        <w:rPr>
          <w:rFonts w:ascii="Arial" w:cs="Arial" w:eastAsia="Arial" w:hAnsi="Arial"/>
          <w:sz w:val="22"/>
          <w:szCs w:val="22"/>
          <w:color w:val="auto"/>
        </w:rPr>
      </w:pPr>
      <w:r>
        <w:rPr>
          <w:rFonts w:ascii="Arial" w:cs="Arial" w:eastAsia="Arial" w:hAnsi="Arial"/>
          <w:sz w:val="22"/>
          <w:szCs w:val="22"/>
          <w:color w:val="auto"/>
        </w:rPr>
        <w:t>in the event of a termination pursuant to 8(a)(i) or 8(b)(ii), the Company shall pay the Consultant on a pro-rata basis any Fees then due and payable for any Services completed up to and including the date of such termination; and</w:t>
      </w:r>
    </w:p>
    <w:p>
      <w:pPr>
        <w:spacing w:after="0" w:line="2" w:lineRule="exact"/>
        <w:rPr>
          <w:rFonts w:ascii="Arial" w:cs="Arial" w:eastAsia="Arial" w:hAnsi="Arial"/>
          <w:sz w:val="22"/>
          <w:szCs w:val="22"/>
          <w:color w:val="auto"/>
        </w:rPr>
      </w:pPr>
    </w:p>
    <w:p>
      <w:pPr>
        <w:jc w:val="both"/>
        <w:ind w:left="1300" w:firstLine="4"/>
        <w:spacing w:after="0" w:line="217" w:lineRule="auto"/>
        <w:tabs>
          <w:tab w:leader="none" w:pos="2140" w:val="left"/>
        </w:tabs>
        <w:numPr>
          <w:ilvl w:val="2"/>
          <w:numId w:val="52"/>
        </w:numPr>
        <w:rPr>
          <w:rFonts w:ascii="Arial" w:cs="Arial" w:eastAsia="Arial" w:hAnsi="Arial"/>
          <w:sz w:val="22"/>
          <w:szCs w:val="22"/>
          <w:color w:val="auto"/>
        </w:rPr>
      </w:pPr>
      <w:r>
        <w:rPr>
          <w:rFonts w:ascii="Arial" w:cs="Arial" w:eastAsia="Arial" w:hAnsi="Arial"/>
          <w:sz w:val="22"/>
          <w:szCs w:val="22"/>
          <w:color w:val="auto"/>
        </w:rPr>
        <w:t>in the event of termination pursuant to 8(a)(ii) or 8(b)(i), the Company shall pay the Consultant a lump sum payment equal to any Fees which would have been payable for Services from the date of such termination through May 31, 2021.</w:t>
      </w:r>
    </w:p>
    <w:p>
      <w:pPr>
        <w:spacing w:after="0" w:line="200" w:lineRule="exact"/>
        <w:rPr>
          <w:rFonts w:ascii="Arial" w:cs="Arial" w:eastAsia="Arial" w:hAnsi="Arial"/>
          <w:sz w:val="22"/>
          <w:szCs w:val="22"/>
          <w:color w:val="auto"/>
        </w:rPr>
      </w:pPr>
    </w:p>
    <w:p>
      <w:pPr>
        <w:ind w:firstLine="656"/>
        <w:spacing w:after="0" w:line="213" w:lineRule="auto"/>
        <w:tabs>
          <w:tab w:leader="none" w:pos="1476" w:val="left"/>
        </w:tabs>
        <w:numPr>
          <w:ilvl w:val="1"/>
          <w:numId w:val="52"/>
        </w:numPr>
        <w:rPr>
          <w:rFonts w:ascii="Arial" w:cs="Arial" w:eastAsia="Arial" w:hAnsi="Arial"/>
          <w:sz w:val="22"/>
          <w:szCs w:val="22"/>
          <w:color w:val="auto"/>
        </w:rPr>
      </w:pPr>
      <w:r>
        <w:rPr>
          <w:rFonts w:ascii="Arial" w:cs="Arial" w:eastAsia="Arial" w:hAnsi="Arial"/>
          <w:sz w:val="22"/>
          <w:szCs w:val="22"/>
          <w:color w:val="auto"/>
        </w:rPr>
        <w:t>Upon expiration or termination of this Agreement for any reason, or at any other time upon the Company’s written request, the Consultant shall within Five (5) business days after such expiration or termination:</w:t>
      </w:r>
    </w:p>
    <w:p>
      <w:pPr>
        <w:ind w:left="1300" w:right="20" w:firstLine="4"/>
        <w:spacing w:after="0" w:line="204" w:lineRule="auto"/>
        <w:tabs>
          <w:tab w:leader="none" w:pos="2080" w:val="left"/>
        </w:tabs>
        <w:numPr>
          <w:ilvl w:val="2"/>
          <w:numId w:val="52"/>
        </w:numPr>
        <w:rPr>
          <w:rFonts w:ascii="Arial" w:cs="Arial" w:eastAsia="Arial" w:hAnsi="Arial"/>
          <w:sz w:val="22"/>
          <w:szCs w:val="22"/>
          <w:color w:val="auto"/>
        </w:rPr>
      </w:pPr>
      <w:r>
        <w:rPr>
          <w:rFonts w:ascii="Arial" w:cs="Arial" w:eastAsia="Arial" w:hAnsi="Arial"/>
          <w:sz w:val="22"/>
          <w:szCs w:val="22"/>
          <w:color w:val="auto"/>
        </w:rPr>
        <w:t>deliver to the Company any and all hardware, software, tools, equipment, or other materials provided for the Consultant’s use by the Company;</w:t>
      </w:r>
    </w:p>
    <w:p>
      <w:pPr>
        <w:spacing w:after="0" w:line="1" w:lineRule="exact"/>
        <w:rPr>
          <w:rFonts w:ascii="Arial" w:cs="Arial" w:eastAsia="Arial" w:hAnsi="Arial"/>
          <w:sz w:val="22"/>
          <w:szCs w:val="22"/>
          <w:color w:val="auto"/>
        </w:rPr>
      </w:pPr>
    </w:p>
    <w:p>
      <w:pPr>
        <w:ind w:left="2140" w:hanging="836"/>
        <w:spacing w:after="0"/>
        <w:tabs>
          <w:tab w:leader="none" w:pos="2140" w:val="left"/>
        </w:tabs>
        <w:numPr>
          <w:ilvl w:val="2"/>
          <w:numId w:val="52"/>
        </w:numPr>
        <w:rPr>
          <w:rFonts w:ascii="Arial" w:cs="Arial" w:eastAsia="Arial" w:hAnsi="Arial"/>
          <w:sz w:val="22"/>
          <w:szCs w:val="22"/>
          <w:color w:val="auto"/>
        </w:rPr>
      </w:pPr>
      <w:r>
        <w:rPr>
          <w:rFonts w:ascii="Arial" w:cs="Arial" w:eastAsia="Arial" w:hAnsi="Arial"/>
          <w:sz w:val="22"/>
          <w:szCs w:val="22"/>
          <w:color w:val="auto"/>
        </w:rPr>
        <w:t>deliver to the Company all tangible documents and materials (and any copies)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558" w:right="339" w:bottom="1440" w:gutter="0" w:footer="0" w:header="0"/>
        </w:sectPr>
      </w:pPr>
    </w:p>
    <w:bookmarkStart w:id="61" w:name="page62"/>
    <w:bookmarkEnd w:id="61"/>
    <w:p>
      <w:pPr>
        <w:ind w:left="1300"/>
        <w:spacing w:after="0"/>
        <w:rPr>
          <w:sz w:val="20"/>
          <w:szCs w:val="20"/>
          <w:color w:val="auto"/>
        </w:rPr>
      </w:pPr>
      <w:r>
        <w:rPr>
          <w:rFonts w:ascii="Arial" w:cs="Arial" w:eastAsia="Arial" w:hAnsi="Arial"/>
          <w:sz w:val="22"/>
          <w:szCs w:val="22"/>
          <w:color w:val="auto"/>
        </w:rPr>
        <w:t>containing, reflecting, incorporating, or based on the Confidential Information;</w:t>
      </w:r>
    </w:p>
    <w:p>
      <w:pPr>
        <w:ind w:left="1300" w:firstLine="4"/>
        <w:spacing w:after="0" w:line="204" w:lineRule="auto"/>
        <w:tabs>
          <w:tab w:leader="none" w:pos="2200" w:val="left"/>
        </w:tabs>
        <w:numPr>
          <w:ilvl w:val="2"/>
          <w:numId w:val="53"/>
        </w:numPr>
        <w:rPr>
          <w:rFonts w:ascii="Arial" w:cs="Arial" w:eastAsia="Arial" w:hAnsi="Arial"/>
          <w:sz w:val="22"/>
          <w:szCs w:val="22"/>
          <w:color w:val="auto"/>
        </w:rPr>
      </w:pPr>
      <w:r>
        <w:rPr>
          <w:rFonts w:ascii="Arial" w:cs="Arial" w:eastAsia="Arial" w:hAnsi="Arial"/>
          <w:sz w:val="22"/>
          <w:szCs w:val="22"/>
          <w:color w:val="auto"/>
        </w:rPr>
        <w:t>permanently and securely erase all the Confidential Information from the Consultant’s computer systems; and</w:t>
      </w:r>
    </w:p>
    <w:p>
      <w:pPr>
        <w:spacing w:after="0" w:line="1" w:lineRule="exact"/>
        <w:rPr>
          <w:rFonts w:ascii="Arial" w:cs="Arial" w:eastAsia="Arial" w:hAnsi="Arial"/>
          <w:sz w:val="22"/>
          <w:szCs w:val="22"/>
          <w:color w:val="auto"/>
        </w:rPr>
      </w:pPr>
    </w:p>
    <w:p>
      <w:pPr>
        <w:ind w:left="2200" w:hanging="896"/>
        <w:spacing w:after="0"/>
        <w:tabs>
          <w:tab w:leader="none" w:pos="2200" w:val="left"/>
        </w:tabs>
        <w:numPr>
          <w:ilvl w:val="2"/>
          <w:numId w:val="53"/>
        </w:numPr>
        <w:rPr>
          <w:rFonts w:ascii="Arial" w:cs="Arial" w:eastAsia="Arial" w:hAnsi="Arial"/>
          <w:sz w:val="19"/>
          <w:szCs w:val="19"/>
          <w:color w:val="auto"/>
        </w:rPr>
      </w:pPr>
      <w:r>
        <w:rPr>
          <w:rFonts w:ascii="Arial" w:cs="Arial" w:eastAsia="Arial" w:hAnsi="Arial"/>
          <w:sz w:val="19"/>
          <w:szCs w:val="19"/>
          <w:color w:val="auto"/>
        </w:rPr>
        <w:t>certify in writing to the Company that the Consultant has complied with the requirements of this clause.</w:t>
      </w:r>
    </w:p>
    <w:p>
      <w:pPr>
        <w:spacing w:after="0" w:line="236" w:lineRule="exact"/>
        <w:rPr>
          <w:rFonts w:ascii="Arial" w:cs="Arial" w:eastAsia="Arial" w:hAnsi="Arial"/>
          <w:sz w:val="19"/>
          <w:szCs w:val="19"/>
          <w:color w:val="auto"/>
        </w:rPr>
      </w:pPr>
    </w:p>
    <w:p>
      <w:pPr>
        <w:ind w:right="20" w:firstLine="656"/>
        <w:spacing w:after="0" w:line="298" w:lineRule="auto"/>
        <w:tabs>
          <w:tab w:leader="none" w:pos="1464" w:val="left"/>
        </w:tabs>
        <w:numPr>
          <w:ilvl w:val="1"/>
          <w:numId w:val="54"/>
        </w:numPr>
        <w:rPr>
          <w:rFonts w:ascii="Arial" w:cs="Arial" w:eastAsia="Arial" w:hAnsi="Arial"/>
          <w:sz w:val="19"/>
          <w:szCs w:val="19"/>
          <w:color w:val="auto"/>
        </w:rPr>
      </w:pPr>
      <w:r>
        <w:rPr>
          <w:rFonts w:ascii="Arial" w:cs="Arial" w:eastAsia="Arial" w:hAnsi="Arial"/>
          <w:sz w:val="19"/>
          <w:szCs w:val="19"/>
          <w:color w:val="auto"/>
        </w:rPr>
        <w:t xml:space="preserve">The terms and conditions of </w:t>
      </w:r>
      <w:r>
        <w:rPr>
          <w:rFonts w:ascii="Arial" w:cs="Arial" w:eastAsia="Arial" w:hAnsi="Arial"/>
          <w:sz w:val="19"/>
          <w:szCs w:val="19"/>
          <w:b w:val="1"/>
          <w:bCs w:val="1"/>
          <w:i w:val="1"/>
          <w:iCs w:val="1"/>
          <w:color w:val="auto"/>
        </w:rPr>
        <w:t>Section 4, Section 5, Section 6, Section 7, Section 8, Section 9, Section 10, Section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11, Section 12 </w:t>
      </w:r>
      <w:r>
        <w:rPr>
          <w:rFonts w:ascii="Arial" w:cs="Arial" w:eastAsia="Arial" w:hAnsi="Arial"/>
          <w:sz w:val="19"/>
          <w:szCs w:val="19"/>
          <w:color w:val="auto"/>
        </w:rPr>
        <w:t>and</w:t>
      </w:r>
      <w:r>
        <w:rPr>
          <w:rFonts w:ascii="Arial" w:cs="Arial" w:eastAsia="Arial" w:hAnsi="Arial"/>
          <w:sz w:val="19"/>
          <w:szCs w:val="19"/>
          <w:b w:val="1"/>
          <w:bCs w:val="1"/>
          <w:i w:val="1"/>
          <w:iCs w:val="1"/>
          <w:color w:val="auto"/>
        </w:rPr>
        <w:t xml:space="preserve"> Section 13 </w:t>
      </w:r>
      <w:r>
        <w:rPr>
          <w:rFonts w:ascii="Arial" w:cs="Arial" w:eastAsia="Arial" w:hAnsi="Arial"/>
          <w:sz w:val="19"/>
          <w:szCs w:val="19"/>
          <w:color w:val="auto"/>
        </w:rPr>
        <w:t>shall survive the expiration or termination of this Agreement until December 31, 2021.</w:t>
      </w:r>
    </w:p>
    <w:p>
      <w:pPr>
        <w:spacing w:after="0" w:line="145" w:lineRule="exact"/>
        <w:rPr>
          <w:rFonts w:ascii="Arial" w:cs="Arial" w:eastAsia="Arial" w:hAnsi="Arial"/>
          <w:sz w:val="19"/>
          <w:szCs w:val="19"/>
          <w:color w:val="auto"/>
        </w:rPr>
      </w:pPr>
    </w:p>
    <w:p>
      <w:pPr>
        <w:jc w:val="both"/>
        <w:ind w:firstLine="332"/>
        <w:spacing w:after="0" w:line="244" w:lineRule="auto"/>
        <w:tabs>
          <w:tab w:leader="none" w:pos="1152"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OTHER BUSINESS ACTIVITIES</w:t>
      </w:r>
      <w:r>
        <w:rPr>
          <w:rFonts w:ascii="Arial" w:cs="Arial" w:eastAsia="Arial" w:hAnsi="Arial"/>
          <w:sz w:val="19"/>
          <w:szCs w:val="19"/>
          <w:color w:val="auto"/>
        </w:rPr>
        <w:t xml:space="preserve">. The Consultant may be engaged or employed in any other business, trade, profession, or other activity which does not place the Consultant in a conflict of interest with the Company; provided, that, during the Term and until December 31, 2021, regardless of any termination pursuant to </w:t>
      </w:r>
      <w:r>
        <w:rPr>
          <w:rFonts w:ascii="Arial" w:cs="Arial" w:eastAsia="Arial" w:hAnsi="Arial"/>
          <w:sz w:val="19"/>
          <w:szCs w:val="19"/>
          <w:b w:val="1"/>
          <w:bCs w:val="1"/>
          <w:i w:val="1"/>
          <w:iCs w:val="1"/>
          <w:color w:val="auto"/>
        </w:rPr>
        <w:t>Section 8</w:t>
      </w:r>
      <w:r>
        <w:rPr>
          <w:rFonts w:ascii="Arial" w:cs="Arial" w:eastAsia="Arial" w:hAnsi="Arial"/>
          <w:sz w:val="19"/>
          <w:szCs w:val="19"/>
          <w:color w:val="auto"/>
        </w:rPr>
        <w:t xml:space="preserve"> hereof or any voluntary termination or resignation by the Consultant, the Consultant shall not act as an officer, director, employee, partner, independent contractor, consultant, principal, agent, proprietor or in any other capacity for, nor lend any assistance (financial or otherwise) or cooperation to, any of the following companies (or their subsidiaries or affiliates): Darden Restaurants, Inc., Brinker International, Inc., Texas Roadhouse, Inc., The Cheesecake Factory Incorporated, BJ’s Restaurants, Inc., Dine Brands Global, Inc., Ruth’s Hospitality Group, Inc., Landry’s, Inc or Red Lobster, Inc. (the “Restricted Companies).Notwithstanding the foregoing, it shall not be a violation of this </w:t>
      </w:r>
      <w:r>
        <w:rPr>
          <w:rFonts w:ascii="Arial" w:cs="Arial" w:eastAsia="Arial" w:hAnsi="Arial"/>
          <w:sz w:val="19"/>
          <w:szCs w:val="19"/>
          <w:b w:val="1"/>
          <w:bCs w:val="1"/>
          <w:i w:val="1"/>
          <w:iCs w:val="1"/>
          <w:color w:val="auto"/>
        </w:rPr>
        <w:t>Section 9</w:t>
      </w:r>
      <w:r>
        <w:rPr>
          <w:rFonts w:ascii="Arial" w:cs="Arial" w:eastAsia="Arial" w:hAnsi="Arial"/>
          <w:sz w:val="19"/>
          <w:szCs w:val="19"/>
          <w:color w:val="auto"/>
        </w:rPr>
        <w:t xml:space="preserve"> for the Consultant to own a three percent (3%) or smaller interest in any of the Restricted Companies.</w:t>
      </w:r>
    </w:p>
    <w:p>
      <w:pPr>
        <w:spacing w:after="0" w:line="201" w:lineRule="exact"/>
        <w:rPr>
          <w:rFonts w:ascii="Arial" w:cs="Arial" w:eastAsia="Arial" w:hAnsi="Arial"/>
          <w:sz w:val="19"/>
          <w:szCs w:val="19"/>
          <w:color w:val="auto"/>
        </w:rPr>
      </w:pPr>
    </w:p>
    <w:p>
      <w:pPr>
        <w:jc w:val="both"/>
        <w:ind w:firstLine="332"/>
        <w:spacing w:after="0" w:line="212" w:lineRule="auto"/>
        <w:tabs>
          <w:tab w:leader="none" w:pos="126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 During the Term and until December 31, 2021, except as is the result of a broad solicitation that is not targeting employees of the Company or any of its franchisees or affiliates, the Consultant shall not offer employment to, or hire, any employee of the Company or any of its franchisees or affiliates, or otherwise directly or indirectly solicit or induce any employee of the Company or any of its franchisees or affiliates to terminate his or her employment with the Company or any of its franchisees or affiliates; nor shall the Consultant assist any person or entity in soliciting or otherwise inducing any employee of the Company or any of its franchisees or affiliates to terminate his or her employment with the Company or any of its franchisees or affiliates.</w:t>
      </w:r>
    </w:p>
    <w:p>
      <w:pPr>
        <w:spacing w:after="0" w:line="69" w:lineRule="exact"/>
        <w:rPr>
          <w:rFonts w:ascii="Arial" w:cs="Arial" w:eastAsia="Arial" w:hAnsi="Arial"/>
          <w:sz w:val="22"/>
          <w:szCs w:val="22"/>
          <w:color w:val="auto"/>
        </w:rPr>
      </w:pPr>
    </w:p>
    <w:p>
      <w:pPr>
        <w:jc w:val="both"/>
        <w:ind w:firstLine="332"/>
        <w:spacing w:after="0" w:line="216" w:lineRule="auto"/>
        <w:tabs>
          <w:tab w:leader="none" w:pos="1252"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The Consultant shall not assign any rights, or delegate or subcontract any obligations, under this Agreement without the Company’s prior written consent. Any assignment in violation of the foregoing shall be deemed null and void. The Company may freely assign its rights and obligations under this Agreement at any time. Subject to the limits on assignment stated above, this Agreement will inure to the benefit of, be binding on, and be enforceable against each of the Parties hereto and their respective successors and assigns.</w:t>
      </w:r>
    </w:p>
    <w:p>
      <w:pPr>
        <w:spacing w:after="0" w:line="63" w:lineRule="exact"/>
        <w:rPr>
          <w:rFonts w:ascii="Arial" w:cs="Arial" w:eastAsia="Arial" w:hAnsi="Arial"/>
          <w:sz w:val="22"/>
          <w:szCs w:val="22"/>
          <w:color w:val="auto"/>
        </w:rPr>
      </w:pPr>
    </w:p>
    <w:p>
      <w:pPr>
        <w:jc w:val="both"/>
        <w:ind w:firstLine="332"/>
        <w:spacing w:after="0" w:line="244" w:lineRule="auto"/>
        <w:tabs>
          <w:tab w:leader="none" w:pos="1260"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GOVERNING LAW, JURISDICTION, AND VENUE.</w:t>
      </w:r>
      <w:r>
        <w:rPr>
          <w:rFonts w:ascii="Arial" w:cs="Arial" w:eastAsia="Arial" w:hAnsi="Arial"/>
          <w:sz w:val="19"/>
          <w:szCs w:val="19"/>
          <w:color w:val="auto"/>
        </w:rPr>
        <w:t xml:space="preserve"> The validity, interpretation and performance of this Agreement shall be governed by the laws of the State of Florida without giving effect to the principles of comity or conflicts of laws thereof. The Consultant hereby consents to personal jurisdiction and venue, for any action brought by the Company arising out of a breach or threatened breach of this Agreement or out of the relationship established by this Agreement, exclusively in the United States District Court for the Middle District of Florida, Tampa Division, or in the Circuit Court in and for Hillsborough County, Florida and, if applicable, the federal and state courts in any jurisdiction where the Consultant is employed or resides; the Consultant hereby agrees that any action brought by the Consultant, alone or in combination with others, against the Company, whether arising out of this Agreement or otherwise, shall be brought exclusively in the United States District Court for the Middle District of Florida, Tampa Division, or in the Circuit Court in and for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558" w:right="33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Hillsborough County, Florida.</w:t>
      </w:r>
    </w:p>
    <w:p>
      <w:pPr>
        <w:spacing w:after="0" w:line="233" w:lineRule="exact"/>
        <w:rPr>
          <w:sz w:val="20"/>
          <w:szCs w:val="20"/>
          <w:color w:val="auto"/>
        </w:rPr>
      </w:pPr>
    </w:p>
    <w:p>
      <w:pPr>
        <w:ind w:left="1600" w:hanging="1025"/>
        <w:spacing w:after="0"/>
        <w:tabs>
          <w:tab w:leader="none" w:pos="160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24" w:lineRule="auto"/>
        <w:tabs>
          <w:tab w:leader="none" w:pos="1464" w:val="left"/>
        </w:tabs>
        <w:numPr>
          <w:ilvl w:val="0"/>
          <w:numId w:val="57"/>
        </w:numPr>
        <w:rPr>
          <w:rFonts w:ascii="Arial" w:cs="Arial" w:eastAsia="Arial" w:hAnsi="Arial"/>
          <w:sz w:val="21"/>
          <w:szCs w:val="21"/>
          <w:color w:val="auto"/>
        </w:rPr>
      </w:pPr>
      <w:r>
        <w:rPr>
          <w:rFonts w:ascii="Arial" w:cs="Arial" w:eastAsia="Arial" w:hAnsi="Arial"/>
          <w:sz w:val="21"/>
          <w:szCs w:val="21"/>
          <w:color w:val="auto"/>
        </w:rPr>
        <w:t>All notices, requests, consents, claims, demands, waivers, and other communications hereunder (each, a “</w:t>
      </w:r>
      <w:r>
        <w:rPr>
          <w:rFonts w:ascii="Arial" w:cs="Arial" w:eastAsia="Arial" w:hAnsi="Arial"/>
          <w:sz w:val="21"/>
          <w:szCs w:val="21"/>
          <w:b w:val="1"/>
          <w:bCs w:val="1"/>
          <w:color w:val="auto"/>
        </w:rPr>
        <w:t>Notice</w:t>
      </w:r>
      <w:r>
        <w:rPr>
          <w:rFonts w:ascii="Arial" w:cs="Arial" w:eastAsia="Arial" w:hAnsi="Arial"/>
          <w:sz w:val="21"/>
          <w:szCs w:val="21"/>
          <w:color w:val="auto"/>
        </w:rPr>
        <w:t>”) shall be in writing and addressed to the Parties at such addresses as may be designated by the Parties from time to time in accordance with this Section. All Notices shall be delivered by personal delivery, nationally recognized overnight courier (with all fees prepaid), or certified or registered mail (in each case, return receipt requested, postage prepaid). Except as otherwise provided in this Agreement, a Notice is effective only if (a) the receiving party has received the Notice and (b) the party giving the Notice has complied with the requirements of this Section.</w:t>
      </w:r>
    </w:p>
    <w:p>
      <w:pPr>
        <w:spacing w:after="0" w:line="200" w:lineRule="exact"/>
        <w:rPr>
          <w:rFonts w:ascii="Arial" w:cs="Arial" w:eastAsia="Arial" w:hAnsi="Arial"/>
          <w:sz w:val="21"/>
          <w:szCs w:val="21"/>
          <w:color w:val="auto"/>
        </w:rPr>
      </w:pPr>
    </w:p>
    <w:p>
      <w:pPr>
        <w:jc w:val="both"/>
        <w:ind w:firstLine="656"/>
        <w:spacing w:after="0" w:line="218" w:lineRule="auto"/>
        <w:tabs>
          <w:tab w:leader="none" w:pos="1476"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This Agreement, together with any other documents incorporated therein or herein by reference, and related exhibits and schedules, constitutes the sole and entire agreement of the Parties with respect to the subject matter contained herein, and supersedes all prior and contemporaneous understandings, agreements, representations, and warranties, both written and oral, with respect to such subject matter.</w:t>
      </w:r>
    </w:p>
    <w:p>
      <w:pPr>
        <w:spacing w:after="0" w:line="201" w:lineRule="exact"/>
        <w:rPr>
          <w:rFonts w:ascii="Arial" w:cs="Arial" w:eastAsia="Arial" w:hAnsi="Arial"/>
          <w:sz w:val="22"/>
          <w:szCs w:val="22"/>
          <w:color w:val="auto"/>
        </w:rPr>
      </w:pPr>
    </w:p>
    <w:p>
      <w:pPr>
        <w:jc w:val="both"/>
        <w:ind w:firstLine="656"/>
        <w:spacing w:after="0" w:line="223" w:lineRule="auto"/>
        <w:tabs>
          <w:tab w:leader="none" w:pos="1464"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This Agreement may only be amended, modified, or supplemented by an agreement in writing signed by each party hereto, and any of the terms thereof may be waived, only by a written document signed by each party to this Agreement or, in the case of waiver, by the party or parties waiving compliance.</w:t>
      </w:r>
    </w:p>
    <w:p>
      <w:pPr>
        <w:spacing w:after="0" w:line="199" w:lineRule="exact"/>
        <w:rPr>
          <w:rFonts w:ascii="Arial" w:cs="Arial" w:eastAsia="Arial" w:hAnsi="Arial"/>
          <w:sz w:val="22"/>
          <w:szCs w:val="22"/>
          <w:color w:val="auto"/>
        </w:rPr>
      </w:pPr>
    </w:p>
    <w:p>
      <w:pPr>
        <w:jc w:val="both"/>
        <w:ind w:firstLine="656"/>
        <w:spacing w:after="0" w:line="223" w:lineRule="auto"/>
        <w:tabs>
          <w:tab w:leader="none" w:pos="1476" w:val="left"/>
        </w:tabs>
        <w:numPr>
          <w:ilvl w:val="0"/>
          <w:numId w:val="57"/>
        </w:numPr>
        <w:rPr>
          <w:rFonts w:ascii="Arial" w:cs="Arial" w:eastAsia="Arial" w:hAnsi="Arial"/>
          <w:sz w:val="22"/>
          <w:szCs w:val="22"/>
          <w:color w:val="auto"/>
        </w:rPr>
      </w:pPr>
      <w:r>
        <w:rPr>
          <w:rFonts w:ascii="Arial" w:cs="Arial" w:eastAsia="Arial" w:hAnsi="Arial"/>
          <w:sz w:val="22"/>
          <w:szCs w:val="22"/>
          <w:color w:val="auto"/>
        </w:rPr>
        <w:t>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w:t>
      </w:r>
    </w:p>
    <w:p>
      <w:pPr>
        <w:spacing w:after="0" w:line="199" w:lineRule="exact"/>
        <w:rPr>
          <w:rFonts w:ascii="Arial" w:cs="Arial" w:eastAsia="Arial" w:hAnsi="Arial"/>
          <w:sz w:val="22"/>
          <w:szCs w:val="22"/>
          <w:color w:val="auto"/>
        </w:rPr>
      </w:pPr>
    </w:p>
    <w:p>
      <w:pPr>
        <w:ind w:firstLine="656"/>
        <w:spacing w:after="0" w:line="232" w:lineRule="auto"/>
        <w:tabs>
          <w:tab w:leader="none" w:pos="1464"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This Agreement may be executed in multiple counterparts and by facsimile signature, each of which shall be deemed an original and all of which together shall constitute one instrument.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40"/>
        <w:spacing w:after="0"/>
        <w:tabs>
          <w:tab w:leader="none" w:pos="2240" w:val="left"/>
          <w:tab w:leader="none" w:pos="2960" w:val="left"/>
        </w:tabs>
        <w:rPr>
          <w:sz w:val="20"/>
          <w:szCs w:val="20"/>
          <w:color w:val="auto"/>
        </w:rPr>
      </w:pPr>
      <w:r>
        <w:rPr>
          <w:rFonts w:ascii="Arial" w:cs="Arial" w:eastAsia="Arial" w:hAnsi="Arial"/>
          <w:sz w:val="22"/>
          <w:szCs w:val="22"/>
          <w:color w:val="auto"/>
        </w:rPr>
        <w:t>Executed this</w:t>
      </w:r>
      <w:r>
        <w:rPr>
          <w:sz w:val="20"/>
          <w:szCs w:val="20"/>
          <w:color w:val="auto"/>
        </w:rPr>
        <w:tab/>
      </w:r>
      <w:r>
        <w:rPr>
          <w:rFonts w:ascii="Arial" w:cs="Arial" w:eastAsia="Arial" w:hAnsi="Arial"/>
          <w:sz w:val="22"/>
          <w:szCs w:val="22"/>
          <w:color w:val="auto"/>
        </w:rPr>
        <w:t>20th</w:t>
      </w:r>
      <w:r>
        <w:rPr>
          <w:sz w:val="20"/>
          <w:szCs w:val="20"/>
          <w:color w:val="auto"/>
        </w:rPr>
        <w:tab/>
      </w:r>
      <w:r>
        <w:rPr>
          <w:rFonts w:ascii="Arial" w:cs="Arial" w:eastAsia="Arial" w:hAnsi="Arial"/>
          <w:sz w:val="19"/>
          <w:szCs w:val="19"/>
          <w:color w:val="auto"/>
        </w:rPr>
        <w:t>day of May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24130</wp:posOffset>
            </wp:positionV>
            <wp:extent cx="643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Joseph J. Kadow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8658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47"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JOSEPH J. KADOW, CONSULTANT</w:t>
      </w:r>
    </w:p>
    <w:p>
      <w:pPr>
        <w:spacing w:after="0" w:line="200" w:lineRule="exact"/>
        <w:rPr>
          <w:sz w:val="20"/>
          <w:szCs w:val="20"/>
          <w:color w:val="auto"/>
        </w:rPr>
      </w:pPr>
    </w:p>
    <w:p>
      <w:pPr>
        <w:spacing w:after="0" w:line="294" w:lineRule="exact"/>
        <w:rPr>
          <w:sz w:val="20"/>
          <w:szCs w:val="20"/>
          <w:color w:val="auto"/>
        </w:rPr>
      </w:pPr>
    </w:p>
    <w:p>
      <w:pPr>
        <w:ind w:left="740"/>
        <w:spacing w:after="0"/>
        <w:tabs>
          <w:tab w:leader="none" w:pos="2240" w:val="left"/>
          <w:tab w:leader="none" w:pos="2960" w:val="left"/>
        </w:tabs>
        <w:rPr>
          <w:sz w:val="20"/>
          <w:szCs w:val="20"/>
          <w:color w:val="auto"/>
        </w:rPr>
      </w:pPr>
      <w:r>
        <w:rPr>
          <w:rFonts w:ascii="Arial" w:cs="Arial" w:eastAsia="Arial" w:hAnsi="Arial"/>
          <w:sz w:val="22"/>
          <w:szCs w:val="22"/>
          <w:color w:val="auto"/>
        </w:rPr>
        <w:t>Executed this</w:t>
      </w:r>
      <w:r>
        <w:rPr>
          <w:sz w:val="20"/>
          <w:szCs w:val="20"/>
          <w:color w:val="auto"/>
        </w:rPr>
        <w:tab/>
      </w:r>
      <w:r>
        <w:rPr>
          <w:rFonts w:ascii="Arial" w:cs="Arial" w:eastAsia="Arial" w:hAnsi="Arial"/>
          <w:sz w:val="22"/>
          <w:szCs w:val="22"/>
          <w:color w:val="auto"/>
        </w:rPr>
        <w:t>20th</w:t>
      </w:r>
      <w:r>
        <w:rPr>
          <w:sz w:val="20"/>
          <w:szCs w:val="20"/>
          <w:color w:val="auto"/>
        </w:rPr>
        <w:tab/>
      </w:r>
      <w:r>
        <w:rPr>
          <w:rFonts w:ascii="Arial" w:cs="Arial" w:eastAsia="Arial" w:hAnsi="Arial"/>
          <w:sz w:val="19"/>
          <w:szCs w:val="19"/>
          <w:color w:val="auto"/>
        </w:rPr>
        <w:t>day of May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24130</wp:posOffset>
            </wp:positionV>
            <wp:extent cx="643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20"/>
          <w:szCs w:val="20"/>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David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27305</wp:posOffset>
            </wp:positionV>
            <wp:extent cx="33604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5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DAVID DENO, CHIEF EXECUTIVE OFFICER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604"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David J. Deno, certify that:</w:t>
      </w:r>
    </w:p>
    <w:p>
      <w:pPr>
        <w:spacing w:after="0" w:line="229" w:lineRule="exact"/>
        <w:rPr>
          <w:sz w:val="20"/>
          <w:szCs w:val="20"/>
          <w:color w:val="auto"/>
        </w:rPr>
      </w:pPr>
    </w:p>
    <w:p>
      <w:pPr>
        <w:ind w:left="580" w:hanging="572"/>
        <w:spacing w:after="0"/>
        <w:tabs>
          <w:tab w:leader="none" w:pos="5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Bloomin’ Brands, Inc.;</w:t>
      </w:r>
    </w:p>
    <w:p>
      <w:pPr>
        <w:spacing w:after="0" w:line="229"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300" w:hanging="482"/>
        <w:spacing w:after="0" w:line="291"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300" w:hanging="482"/>
        <w:spacing w:after="0" w:line="269" w:lineRule="auto"/>
        <w:tabs>
          <w:tab w:leader="none" w:pos="1300" w:val="left"/>
        </w:tabs>
        <w:numPr>
          <w:ilvl w:val="1"/>
          <w:numId w:val="5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9"/>
          <w:szCs w:val="19"/>
          <w:color w:val="auto"/>
        </w:rPr>
      </w:pPr>
    </w:p>
    <w:p>
      <w:pPr>
        <w:jc w:val="both"/>
        <w:ind w:left="1300" w:hanging="482"/>
        <w:spacing w:after="0" w:line="250" w:lineRule="auto"/>
        <w:tabs>
          <w:tab w:leader="none" w:pos="1300" w:val="left"/>
        </w:tabs>
        <w:numPr>
          <w:ilvl w:val="1"/>
          <w:numId w:val="5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300" w:hanging="482"/>
        <w:spacing w:after="0" w:line="291"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580" w:hanging="572"/>
        <w:spacing w:after="0" w:line="250" w:lineRule="auto"/>
        <w:tabs>
          <w:tab w:leader="none" w:pos="5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1300" w:hanging="482"/>
        <w:spacing w:after="0" w:line="250" w:lineRule="auto"/>
        <w:tabs>
          <w:tab w:leader="none" w:pos="1300" w:val="left"/>
        </w:tabs>
        <w:numPr>
          <w:ilvl w:val="1"/>
          <w:numId w:val="5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520" w:hanging="1702"/>
        <w:spacing w:after="0" w:line="260" w:lineRule="auto"/>
        <w:tabs>
          <w:tab w:leader="none" w:pos="1305" w:val="left"/>
        </w:tabs>
        <w:numPr>
          <w:ilvl w:val="1"/>
          <w:numId w:val="5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p>
      <w:pPr>
        <w:ind w:left="40"/>
        <w:spacing w:after="0"/>
        <w:tabs>
          <w:tab w:leader="none" w:pos="700" w:val="left"/>
          <w:tab w:leader="none" w:pos="4960" w:val="left"/>
        </w:tabs>
        <w:rPr>
          <w:sz w:val="20"/>
          <w:szCs w:val="20"/>
          <w:color w:val="auto"/>
        </w:rPr>
      </w:pPr>
      <w:r>
        <w:rPr>
          <w:rFonts w:ascii="Arial" w:cs="Arial" w:eastAsia="Arial" w:hAnsi="Arial"/>
          <w:sz w:val="20"/>
          <w:szCs w:val="20"/>
          <w:color w:val="auto"/>
        </w:rPr>
        <w:t>Date:</w:t>
        <w:tab/>
        <w:t>May 21, 2020</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27305</wp:posOffset>
            </wp:positionV>
            <wp:extent cx="398589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3985895" cy="17145"/>
                    </a:xfrm>
                    <a:prstGeom prst="rect">
                      <a:avLst/>
                    </a:prstGeom>
                    <a:noFill/>
                  </pic:spPr>
                </pic:pic>
              </a:graphicData>
            </a:graphic>
          </wp:anchor>
        </w:drawing>
      </w:r>
    </w:p>
    <w:p>
      <w:pPr>
        <w:spacing w:after="0" w:line="61"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David J. Deno</w:t>
      </w:r>
    </w:p>
    <w:p>
      <w:pPr>
        <w:spacing w:after="0" w:line="54"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240"/>
          </w:cols>
          <w:pgMar w:left="320" w:top="346"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Christopher Meyer, certify that:</w:t>
      </w:r>
    </w:p>
    <w:p>
      <w:pPr>
        <w:spacing w:after="0" w:line="216" w:lineRule="exact"/>
        <w:rPr>
          <w:sz w:val="20"/>
          <w:szCs w:val="20"/>
          <w:color w:val="auto"/>
        </w:rPr>
      </w:pPr>
    </w:p>
    <w:p>
      <w:pPr>
        <w:ind w:left="580" w:hanging="572"/>
        <w:spacing w:after="0"/>
        <w:tabs>
          <w:tab w:leader="none" w:pos="5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Bloomin’ Brands, Inc.;</w:t>
      </w:r>
    </w:p>
    <w:p>
      <w:pPr>
        <w:spacing w:after="0" w:line="229"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300" w:hanging="482"/>
        <w:spacing w:after="0" w:line="291"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300" w:hanging="482"/>
        <w:spacing w:after="0" w:line="269" w:lineRule="auto"/>
        <w:tabs>
          <w:tab w:leader="none" w:pos="1300" w:val="left"/>
        </w:tabs>
        <w:numPr>
          <w:ilvl w:val="1"/>
          <w:numId w:val="5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9"/>
          <w:szCs w:val="19"/>
          <w:color w:val="auto"/>
        </w:rPr>
      </w:pPr>
    </w:p>
    <w:p>
      <w:pPr>
        <w:jc w:val="both"/>
        <w:ind w:left="1300" w:hanging="482"/>
        <w:spacing w:after="0" w:line="250" w:lineRule="auto"/>
        <w:tabs>
          <w:tab w:leader="none" w:pos="1300" w:val="left"/>
        </w:tabs>
        <w:numPr>
          <w:ilvl w:val="1"/>
          <w:numId w:val="5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300" w:hanging="482"/>
        <w:spacing w:after="0" w:line="291"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580" w:hanging="572"/>
        <w:spacing w:after="0" w:line="250" w:lineRule="auto"/>
        <w:tabs>
          <w:tab w:leader="none" w:pos="5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1300" w:hanging="482"/>
        <w:spacing w:after="0" w:line="250" w:lineRule="auto"/>
        <w:tabs>
          <w:tab w:leader="none" w:pos="1300" w:val="left"/>
        </w:tabs>
        <w:numPr>
          <w:ilvl w:val="1"/>
          <w:numId w:val="5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520" w:hanging="1702"/>
        <w:spacing w:after="0" w:line="260" w:lineRule="auto"/>
        <w:tabs>
          <w:tab w:leader="none" w:pos="1305" w:val="left"/>
        </w:tabs>
        <w:numPr>
          <w:ilvl w:val="1"/>
          <w:numId w:val="5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p>
      <w:pPr>
        <w:ind w:left="40"/>
        <w:spacing w:after="0"/>
        <w:tabs>
          <w:tab w:leader="none" w:pos="700" w:val="left"/>
          <w:tab w:leader="none" w:pos="4960" w:val="left"/>
        </w:tabs>
        <w:rPr>
          <w:sz w:val="20"/>
          <w:szCs w:val="20"/>
          <w:color w:val="auto"/>
        </w:rPr>
      </w:pPr>
      <w:r>
        <w:rPr>
          <w:rFonts w:ascii="Arial" w:cs="Arial" w:eastAsia="Arial" w:hAnsi="Arial"/>
          <w:sz w:val="20"/>
          <w:szCs w:val="20"/>
          <w:color w:val="auto"/>
        </w:rPr>
        <w:t>Date:</w:t>
        <w:tab/>
        <w:t>May 21, 2020</w:t>
      </w:r>
      <w:r>
        <w:rPr>
          <w:sz w:val="20"/>
          <w:szCs w:val="20"/>
          <w:color w:val="auto"/>
        </w:rPr>
        <w:tab/>
      </w:r>
      <w:r>
        <w:rPr>
          <w:rFonts w:ascii="Arial" w:cs="Arial" w:eastAsia="Arial" w:hAnsi="Arial"/>
          <w:sz w:val="18"/>
          <w:szCs w:val="18"/>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27305</wp:posOffset>
            </wp:positionV>
            <wp:extent cx="398589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3985895" cy="17145"/>
                    </a:xfrm>
                    <a:prstGeom prst="rect">
                      <a:avLst/>
                    </a:prstGeom>
                    <a:noFill/>
                  </pic:spPr>
                </pic:pic>
              </a:graphicData>
            </a:graphic>
          </wp:anchor>
        </w:drawing>
      </w:r>
    </w:p>
    <w:p>
      <w:pPr>
        <w:spacing w:after="0" w:line="61"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Christopher Meyer</w:t>
      </w:r>
    </w:p>
    <w:p>
      <w:pPr>
        <w:spacing w:after="0" w:line="54"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Executive Vice President and Chief Financial Officer</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(Principal Financial and Accounting Officer)</w:t>
      </w:r>
    </w:p>
    <w:p>
      <w:pPr>
        <w:sectPr>
          <w:pgSz w:w="11900" w:h="16838" w:orient="portrait"/>
          <w:cols w:equalWidth="0" w:num="1">
            <w:col w:w="11240"/>
          </w:cols>
          <w:pgMar w:left="320" w:top="346"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340" w:right="5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of Bloomin’ Brands, Inc. (the “Company”) on Form 10-Q for the quarter ended March 29, 2020 as filed with the Securities and Exchange Commission on the date hereof (the “Report”), I, David J. Deno, Chief Executive Officer of the Company, hereby certify, pursuant to 18 U.S.C. Section 1350, as adopted pursuant to Section 906 of the Sarbanes-Oxley Act of 2002, to the best of my knowledge, that:</w:t>
      </w:r>
    </w:p>
    <w:p>
      <w:pPr>
        <w:spacing w:after="0" w:line="191"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352" w:lineRule="exact"/>
        <w:rPr>
          <w:sz w:val="20"/>
          <w:szCs w:val="20"/>
          <w:color w:val="auto"/>
        </w:rPr>
      </w:pPr>
    </w:p>
    <w:p>
      <w:pPr>
        <w:ind w:left="80"/>
        <w:spacing w:after="0"/>
        <w:tabs>
          <w:tab w:leader="none" w:pos="740" w:val="left"/>
          <w:tab w:leader="none" w:pos="5000" w:val="left"/>
        </w:tabs>
        <w:rPr>
          <w:sz w:val="20"/>
          <w:szCs w:val="20"/>
          <w:color w:val="auto"/>
        </w:rPr>
      </w:pPr>
      <w:r>
        <w:rPr>
          <w:rFonts w:ascii="Arial" w:cs="Arial" w:eastAsia="Arial" w:hAnsi="Arial"/>
          <w:sz w:val="20"/>
          <w:szCs w:val="20"/>
          <w:color w:val="auto"/>
        </w:rPr>
        <w:t>Date:</w:t>
        <w:tab/>
        <w:t>May 21, 2020</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27305</wp:posOffset>
            </wp:positionV>
            <wp:extent cx="39687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3968750" cy="17145"/>
                    </a:xfrm>
                    <a:prstGeom prst="rect">
                      <a:avLst/>
                    </a:prstGeom>
                    <a:noFill/>
                  </pic:spPr>
                </pic:pic>
              </a:graphicData>
            </a:graphic>
          </wp:anchor>
        </w:drawing>
      </w:r>
    </w:p>
    <w:p>
      <w:pPr>
        <w:spacing w:after="0" w:line="61"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David J. Deno</w:t>
      </w:r>
    </w:p>
    <w:p>
      <w:pPr>
        <w:spacing w:after="0" w:line="54"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(Principal Executive Officer)</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240"/>
          </w:cols>
          <w:pgMar w:left="320" w:top="549"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340" w:right="5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of Bloomin’ Brands, Inc. (the “Company”) on Form 10-Q for the quarter ended March 29, 2020 as filed with the Securities and Exchange Commission on the date hereof (the “Report”), I, Christopher Meyer, Executive Vice President and Chief Financial Officer of the Company, hereby certify, pursuant to 18 U.S.C. Section 1350, as adopted pursuant to Section 906 of the Sarbanes-Oxley Act of 2002, to the best of my knowledge, that:</w:t>
      </w:r>
    </w:p>
    <w:p>
      <w:pPr>
        <w:spacing w:after="0" w:line="191"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352" w:lineRule="exact"/>
        <w:rPr>
          <w:sz w:val="20"/>
          <w:szCs w:val="20"/>
          <w:color w:val="auto"/>
        </w:rPr>
      </w:pPr>
    </w:p>
    <w:p>
      <w:pPr>
        <w:ind w:left="80"/>
        <w:spacing w:after="0"/>
        <w:tabs>
          <w:tab w:leader="none" w:pos="740" w:val="left"/>
          <w:tab w:leader="none" w:pos="5000" w:val="left"/>
        </w:tabs>
        <w:rPr>
          <w:sz w:val="20"/>
          <w:szCs w:val="20"/>
          <w:color w:val="auto"/>
        </w:rPr>
      </w:pPr>
      <w:r>
        <w:rPr>
          <w:rFonts w:ascii="Arial" w:cs="Arial" w:eastAsia="Arial" w:hAnsi="Arial"/>
          <w:sz w:val="20"/>
          <w:szCs w:val="20"/>
          <w:color w:val="auto"/>
        </w:rPr>
        <w:t>Date:</w:t>
        <w:tab/>
        <w:t>May 21, 2020</w:t>
      </w:r>
      <w:r>
        <w:rPr>
          <w:sz w:val="20"/>
          <w:szCs w:val="20"/>
          <w:color w:val="auto"/>
        </w:rPr>
        <w:tab/>
      </w:r>
      <w:r>
        <w:rPr>
          <w:rFonts w:ascii="Arial" w:cs="Arial" w:eastAsia="Arial" w:hAnsi="Arial"/>
          <w:sz w:val="18"/>
          <w:szCs w:val="18"/>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27305</wp:posOffset>
            </wp:positionV>
            <wp:extent cx="39687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3968750" cy="17145"/>
                    </a:xfrm>
                    <a:prstGeom prst="rect">
                      <a:avLst/>
                    </a:prstGeom>
                    <a:noFill/>
                  </pic:spPr>
                </pic:pic>
              </a:graphicData>
            </a:graphic>
          </wp:anchor>
        </w:drawing>
      </w:r>
    </w:p>
    <w:p>
      <w:pPr>
        <w:spacing w:after="0" w:line="61"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Christopher Meyer</w:t>
      </w:r>
    </w:p>
    <w:p>
      <w:pPr>
        <w:spacing w:after="0" w:line="54"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Executive Vice President and Chief Financial Officer</w:t>
      </w:r>
    </w:p>
    <w:p>
      <w:pPr>
        <w:spacing w:after="0" w:line="16"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(Principal Financial and Accounting Officer)</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1"/>
    </w:lvl>
  </w:abstractNum>
  <w:abstractNum w:abstractNumId="14">
    <w:nsid w:val="5C482A97"/>
    <w:multiLevelType w:val="hybridMultilevel"/>
    <w:lvl w:ilvl="0">
      <w:lvlJc w:val="left"/>
      <w:lvlText w:val="%1."/>
      <w:numFmt w:val="decimal"/>
      <w:start w:val="12"/>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1"/>
    </w:lvl>
    <w:lvl w:ilvl="1">
      <w:lvlJc w:val="left"/>
      <w:lvlText w:val="%2)"/>
      <w:numFmt w:val="decimal"/>
      <w:start w:val="3"/>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lowerRoman"/>
      <w:start w:val="1"/>
    </w:lvl>
  </w:abstractNum>
  <w:abstractNum w:abstractNumId="22">
    <w:nsid w:val="70A64E2A"/>
    <w:multiLevelType w:val="hybridMultilevel"/>
    <w:lvl w:ilvl="0">
      <w:lvlJc w:val="left"/>
      <w:lvlText w:val="(%1)"/>
      <w:numFmt w:val="lowerRoman"/>
      <w:start w:val="7"/>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lvl w:ilvl="1">
      <w:lvlJc w:val="left"/>
      <w:lvlText w:val="(%2)"/>
      <w:numFmt w:val="lowerRoman"/>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1."/>
      <w:numFmt w:val="decimal"/>
      <w:start w:val="2"/>
    </w:lvl>
  </w:abstractNum>
  <w:abstractNum w:abstractNumId="44">
    <w:nsid w:val="70C6A529"/>
    <w:multiLevelType w:val="hybridMultilevel"/>
    <w:lvl w:ilvl="0">
      <w:lvlJc w:val="left"/>
      <w:lvlText w:val="%1."/>
      <w:numFmt w:val="decimal"/>
      <w:start w:val="4"/>
    </w:lvl>
  </w:abstractNum>
  <w:abstractNum w:abstractNumId="45">
    <w:nsid w:val="520EEDD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6">
    <w:nsid w:val="374A3FE6"/>
    <w:multiLevelType w:val="hybridMultilevel"/>
    <w:lvl w:ilvl="0">
      <w:lvlJc w:val="left"/>
      <w:lvlText w:val="(%1)"/>
      <w:numFmt w:val="decimal"/>
      <w:start w:val="36"/>
    </w:lvl>
    <w:lvl w:ilvl="1">
      <w:lvlJc w:val="left"/>
      <w:lvlText w:val="%2)"/>
      <w:numFmt w:val="decimal"/>
      <w:start w:val="1"/>
    </w:lvl>
    <w:lvl w:ilvl="2">
      <w:lvlJc w:val="left"/>
      <w:lvlText w:val="(%3)"/>
      <w:numFmt w:val="lowerLetter"/>
      <w:start w:val="2"/>
    </w:lvl>
  </w:abstractNum>
  <w:abstractNum w:abstractNumId="47">
    <w:nsid w:val="4F4EF005"/>
    <w:multiLevelType w:val="hybridMultilevel"/>
    <w:lvl w:ilvl="0">
      <w:lvlJc w:val="left"/>
      <w:lvlText w:val="%1"/>
      <w:numFmt w:val="decimal"/>
      <w:start w:val="1"/>
    </w:lvl>
    <w:lvl w:ilvl="1">
      <w:lvlJc w:val="left"/>
      <w:lvlText w:val="%2)"/>
      <w:numFmt w:val="lowerLetter"/>
      <w:start w:val="1"/>
    </w:lvl>
  </w:abstractNum>
  <w:abstractNum w:abstractNumId="48">
    <w:nsid w:val="23F9C13C"/>
    <w:multiLevelType w:val="hybridMultilevel"/>
    <w:lvl w:ilvl="0">
      <w:lvlJc w:val="left"/>
      <w:lvlText w:val="%1)"/>
      <w:numFmt w:val="decimal"/>
      <w:start w:val="4"/>
    </w:lvl>
    <w:lvl w:ilvl="1">
      <w:lvlJc w:val="left"/>
      <w:lvlText w:val="%2)"/>
      <w:numFmt w:val="lowerLetter"/>
      <w:start w:val="1"/>
    </w:lvl>
  </w:abstractNum>
  <w:abstractNum w:abstractNumId="49">
    <w:nsid w:val="649BB77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0">
    <w:nsid w:val="275AC79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1">
    <w:nsid w:val="3938657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2">
    <w:nsid w:val="1CF10F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3">
    <w:nsid w:val="180115B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4">
    <w:nsid w:val="235BA86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5">
    <w:nsid w:val="47398C89"/>
    <w:multiLevelType w:val="hybridMultilevel"/>
    <w:lvl w:ilvl="0">
      <w:lvlJc w:val="left"/>
      <w:lvlText w:val="%1)"/>
      <w:numFmt w:val="decimal"/>
      <w:start w:val="13"/>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33" Type="http://schemas.openxmlformats.org/officeDocument/2006/relationships/hyperlink" Target="https://www.sec.gov/Archives/edgar/data/1546417/000154641720000032/blmn-122919ex1038.htm" TargetMode="External"/><Relationship Id="rId34" Type="http://schemas.openxmlformats.org/officeDocument/2006/relationships/hyperlink" Target="https://www.sec.gov/Archives/edgar/data/1546417/000154641720000032/blmn-122919ex1039.htm" TargetMode="External"/><Relationship Id="rId35" Type="http://schemas.openxmlformats.org/officeDocument/2006/relationships/hyperlink" Target="https://www.sec.gov/Archives/edgar/data/1546417/000154641720000032/blmn-122919ex1040.htm" TargetMode="External"/><Relationship Id="rId36" Type="http://schemas.openxmlformats.org/officeDocument/2006/relationships/hyperlink" Target="https://www.sec.gov/Archives/edgar/data/1546417/000119312520133026/d91929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2020-05-21T15:11:09Z</dcterms:created>
  <dcterms:modified xsi:type="dcterms:W3CDTF">2020-05-21T15:11:09Z</dcterms:modified>
</cp:coreProperties>
</file>